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FC" w:rsidRPr="00A473FC" w:rsidRDefault="00A473FC" w:rsidP="00A473FC">
      <w:pPr>
        <w:pStyle w:val="Heading1"/>
        <w:spacing w:before="0"/>
        <w:rPr>
          <w:rFonts w:ascii="Arial" w:hAnsi="Arial" w:cs="Arial"/>
        </w:rPr>
      </w:pPr>
      <w:r w:rsidRPr="00A473FC">
        <w:rPr>
          <w:rFonts w:ascii="Arial" w:hAnsi="Arial" w:cs="Arial"/>
        </w:rPr>
        <w:t>University of Edinburgh NMH Rates</w:t>
      </w:r>
    </w:p>
    <w:p w:rsidR="00A473FC" w:rsidRPr="00A473FC" w:rsidRDefault="00A473FC" w:rsidP="00A473FC">
      <w:pPr>
        <w:spacing w:after="0" w:line="240" w:lineRule="auto"/>
        <w:rPr>
          <w:rFonts w:ascii="Arial" w:hAnsi="Arial" w:cs="Arial"/>
          <w:b/>
        </w:rPr>
      </w:pPr>
    </w:p>
    <w:p w:rsidR="00A473FC" w:rsidRPr="00A473FC" w:rsidRDefault="00A473FC" w:rsidP="00A473FC">
      <w:pPr>
        <w:spacing w:after="0" w:line="240" w:lineRule="auto"/>
        <w:rPr>
          <w:rFonts w:ascii="Arial" w:hAnsi="Arial" w:cs="Arial"/>
          <w:b/>
        </w:rPr>
      </w:pPr>
      <w:r w:rsidRPr="00A473FC">
        <w:rPr>
          <w:rFonts w:ascii="Arial" w:hAnsi="Arial" w:cs="Arial"/>
          <w:lang w:val="en"/>
        </w:rPr>
        <w:t>The table below shows NMH rates. The greyed out cells indicate that the institution does not offer these services. Also, for some services, there may be more than one provider. Where this is the case, each provider is listed, along with their rates.</w:t>
      </w:r>
    </w:p>
    <w:p w:rsidR="00A473FC" w:rsidRPr="00A473FC" w:rsidRDefault="00A473FC" w:rsidP="00A473FC">
      <w:pPr>
        <w:spacing w:after="0" w:line="240" w:lineRule="auto"/>
        <w:rPr>
          <w:rFonts w:ascii="Arial" w:hAnsi="Arial" w:cs="Arial"/>
          <w:b/>
        </w:rPr>
      </w:pPr>
    </w:p>
    <w:p w:rsidR="00A473FC" w:rsidRDefault="00A473FC" w:rsidP="00A473FC">
      <w:pPr>
        <w:spacing w:after="0"/>
        <w:rPr>
          <w:rFonts w:ascii="Arial" w:hAnsi="Arial" w:cs="Arial"/>
        </w:rPr>
      </w:pPr>
      <w:r w:rsidRPr="00A473FC">
        <w:rPr>
          <w:rFonts w:ascii="Arial" w:hAnsi="Arial" w:cs="Arial"/>
          <w:b/>
        </w:rPr>
        <w:t>Note:</w:t>
      </w:r>
      <w:r w:rsidRPr="00A473FC">
        <w:rPr>
          <w:rFonts w:ascii="Arial" w:hAnsi="Arial" w:cs="Arial"/>
        </w:rPr>
        <w:t xml:space="preserve"> Please enter the NMH Support Rates </w:t>
      </w:r>
      <w:r w:rsidRPr="00A473FC">
        <w:rPr>
          <w:rFonts w:ascii="Arial" w:hAnsi="Arial" w:cs="Arial"/>
          <w:b/>
        </w:rPr>
        <w:t>per hour</w:t>
      </w:r>
      <w:r w:rsidRPr="00A473FC">
        <w:rPr>
          <w:rFonts w:ascii="Arial" w:hAnsi="Arial" w:cs="Arial"/>
        </w:rPr>
        <w:t xml:space="preserve"> in the table below.</w:t>
      </w:r>
      <w:r w:rsidR="009B6B7E">
        <w:rPr>
          <w:rFonts w:ascii="Arial" w:hAnsi="Arial" w:cs="Arial"/>
        </w:rPr>
        <w:t xml:space="preserve">  </w:t>
      </w:r>
    </w:p>
    <w:p w:rsidR="009B6B7E" w:rsidRDefault="009B6B7E" w:rsidP="00A473FC">
      <w:pPr>
        <w:spacing w:after="0"/>
        <w:rPr>
          <w:rFonts w:ascii="Arial" w:hAnsi="Arial" w:cs="Arial"/>
        </w:rPr>
      </w:pPr>
    </w:p>
    <w:p w:rsidR="009B6B7E" w:rsidRDefault="009B6B7E" w:rsidP="00A473FC">
      <w:pPr>
        <w:spacing w:after="0"/>
        <w:rPr>
          <w:rFonts w:ascii="Arial" w:hAnsi="Arial" w:cs="Arial"/>
        </w:rPr>
      </w:pPr>
      <w:r>
        <w:rPr>
          <w:rFonts w:ascii="Arial" w:hAnsi="Arial" w:cs="Arial"/>
        </w:rPr>
        <w:t>All rates are VAT exempt.</w:t>
      </w:r>
    </w:p>
    <w:p w:rsidR="00A473FC" w:rsidRPr="00A473FC" w:rsidRDefault="00A473FC" w:rsidP="00A473FC">
      <w:pPr>
        <w:spacing w:after="0"/>
        <w:rPr>
          <w:rFonts w:ascii="Arial" w:hAnsi="Arial" w:cs="Arial"/>
        </w:rPr>
      </w:pPr>
    </w:p>
    <w:tbl>
      <w:tblPr>
        <w:tblStyle w:val="TableGrid"/>
        <w:tblW w:w="7046" w:type="dxa"/>
        <w:tblLayout w:type="fixed"/>
        <w:tblLook w:val="04A0" w:firstRow="1" w:lastRow="0" w:firstColumn="1" w:lastColumn="0" w:noHBand="0" w:noVBand="1"/>
      </w:tblPr>
      <w:tblGrid>
        <w:gridCol w:w="5194"/>
        <w:gridCol w:w="1146"/>
        <w:gridCol w:w="706"/>
      </w:tblGrid>
      <w:tr w:rsidR="009B6B7E" w:rsidRPr="00A473FC" w:rsidTr="009B6B7E">
        <w:tc>
          <w:tcPr>
            <w:tcW w:w="5194" w:type="dxa"/>
          </w:tcPr>
          <w:p w:rsidR="009B6B7E" w:rsidRPr="00A473FC" w:rsidRDefault="009B6B7E" w:rsidP="00646D31">
            <w:pPr>
              <w:rPr>
                <w:rFonts w:ascii="Arial" w:hAnsi="Arial" w:cs="Arial"/>
              </w:rPr>
            </w:pPr>
            <w:r w:rsidRPr="00A473FC">
              <w:rPr>
                <w:rFonts w:ascii="Arial" w:hAnsi="Arial" w:cs="Arial"/>
              </w:rPr>
              <w:t>Assistive Technology Trainer</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Pr>
                <w:rFonts w:ascii="Arial" w:hAnsi="Arial" w:cs="Arial"/>
              </w:rPr>
              <w:t>£30</w:t>
            </w:r>
          </w:p>
        </w:tc>
      </w:tr>
      <w:tr w:rsidR="009B6B7E" w:rsidRPr="00A473FC" w:rsidTr="009B6B7E">
        <w:tc>
          <w:tcPr>
            <w:tcW w:w="5194" w:type="dxa"/>
            <w:shd w:val="clear" w:color="auto" w:fill="D9D9D9" w:themeFill="background1" w:themeFillShade="D9"/>
          </w:tcPr>
          <w:p w:rsidR="009B6B7E" w:rsidRPr="00A473FC" w:rsidRDefault="009B6B7E" w:rsidP="00646D31">
            <w:pPr>
              <w:rPr>
                <w:rFonts w:ascii="Arial" w:hAnsi="Arial" w:cs="Arial"/>
              </w:rPr>
            </w:pPr>
            <w:r w:rsidRPr="00A473FC">
              <w:rPr>
                <w:rFonts w:ascii="Arial" w:hAnsi="Arial" w:cs="Arial"/>
              </w:rPr>
              <w:t>BSL Interpreter</w:t>
            </w:r>
          </w:p>
        </w:tc>
        <w:tc>
          <w:tcPr>
            <w:tcW w:w="114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w:t>
            </w:r>
          </w:p>
        </w:tc>
      </w:tr>
      <w:tr w:rsidR="009B6B7E" w:rsidRPr="00A473FC" w:rsidTr="009B6B7E">
        <w:tc>
          <w:tcPr>
            <w:tcW w:w="5194" w:type="dxa"/>
            <w:shd w:val="clear" w:color="auto" w:fill="D9D9D9" w:themeFill="background1" w:themeFillShade="D9"/>
          </w:tcPr>
          <w:p w:rsidR="009B6B7E" w:rsidRPr="00A473FC" w:rsidRDefault="009B6B7E" w:rsidP="00646D31">
            <w:pPr>
              <w:rPr>
                <w:rFonts w:ascii="Arial" w:hAnsi="Arial" w:cs="Arial"/>
              </w:rPr>
            </w:pPr>
            <w:r w:rsidRPr="00A473FC">
              <w:rPr>
                <w:rFonts w:ascii="Arial" w:hAnsi="Arial" w:cs="Arial"/>
              </w:rPr>
              <w:t>Communication Support Worker</w:t>
            </w:r>
          </w:p>
        </w:tc>
        <w:tc>
          <w:tcPr>
            <w:tcW w:w="114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w:t>
            </w:r>
          </w:p>
        </w:tc>
      </w:tr>
      <w:tr w:rsidR="009B6B7E" w:rsidRPr="00A473FC" w:rsidTr="009B6B7E">
        <w:tc>
          <w:tcPr>
            <w:tcW w:w="5194" w:type="dxa"/>
          </w:tcPr>
          <w:p w:rsidR="009B6B7E" w:rsidRPr="00A473FC" w:rsidRDefault="009B6B7E" w:rsidP="00646D31">
            <w:pPr>
              <w:rPr>
                <w:rFonts w:ascii="Arial" w:hAnsi="Arial" w:cs="Arial"/>
              </w:rPr>
            </w:pPr>
            <w:r w:rsidRPr="00A473FC">
              <w:rPr>
                <w:rFonts w:ascii="Arial" w:hAnsi="Arial" w:cs="Arial"/>
              </w:rPr>
              <w:t>Electronic Note taker</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Pr>
                <w:rFonts w:ascii="Arial" w:hAnsi="Arial" w:cs="Arial"/>
              </w:rPr>
              <w:t>£30</w:t>
            </w:r>
          </w:p>
        </w:tc>
      </w:tr>
      <w:tr w:rsidR="009B6B7E" w:rsidRPr="00A473FC" w:rsidTr="009B6B7E">
        <w:tc>
          <w:tcPr>
            <w:tcW w:w="5194"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Examination Support Worker</w:t>
            </w:r>
          </w:p>
        </w:tc>
        <w:tc>
          <w:tcPr>
            <w:tcW w:w="114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w:t>
            </w:r>
          </w:p>
        </w:tc>
      </w:tr>
      <w:tr w:rsidR="009B6B7E" w:rsidRPr="00A473FC" w:rsidTr="009B6B7E">
        <w:tc>
          <w:tcPr>
            <w:tcW w:w="5194" w:type="dxa"/>
          </w:tcPr>
          <w:p w:rsidR="009B6B7E" w:rsidRPr="00A473FC" w:rsidRDefault="009B6B7E" w:rsidP="00696518">
            <w:pPr>
              <w:rPr>
                <w:rFonts w:ascii="Arial" w:hAnsi="Arial" w:cs="Arial"/>
              </w:rPr>
            </w:pPr>
            <w:r w:rsidRPr="00A473FC">
              <w:rPr>
                <w:rFonts w:ascii="Arial" w:hAnsi="Arial" w:cs="Arial"/>
              </w:rPr>
              <w:t>Laboratory Assistant</w:t>
            </w:r>
          </w:p>
        </w:tc>
        <w:tc>
          <w:tcPr>
            <w:tcW w:w="1146" w:type="dxa"/>
          </w:tcPr>
          <w:p w:rsidR="009B6B7E" w:rsidRPr="00A473FC" w:rsidRDefault="009B6B7E" w:rsidP="00696518">
            <w:pPr>
              <w:rPr>
                <w:rFonts w:ascii="Arial" w:hAnsi="Arial" w:cs="Arial"/>
              </w:rPr>
            </w:pPr>
            <w:r w:rsidRPr="00A473FC">
              <w:rPr>
                <w:rFonts w:ascii="Arial" w:hAnsi="Arial" w:cs="Arial"/>
              </w:rPr>
              <w:t>SDS</w:t>
            </w:r>
          </w:p>
        </w:tc>
        <w:tc>
          <w:tcPr>
            <w:tcW w:w="706" w:type="dxa"/>
          </w:tcPr>
          <w:p w:rsidR="009B6B7E" w:rsidRPr="00A473FC" w:rsidRDefault="009B6B7E" w:rsidP="00696518">
            <w:pPr>
              <w:rPr>
                <w:rFonts w:ascii="Arial" w:hAnsi="Arial" w:cs="Arial"/>
              </w:rPr>
            </w:pPr>
            <w:r>
              <w:rPr>
                <w:rFonts w:ascii="Arial" w:hAnsi="Arial" w:cs="Arial"/>
              </w:rPr>
              <w:t>£25</w:t>
            </w:r>
          </w:p>
        </w:tc>
      </w:tr>
      <w:tr w:rsidR="009B6B7E" w:rsidRPr="00A473FC" w:rsidTr="009B6B7E">
        <w:tc>
          <w:tcPr>
            <w:tcW w:w="5194" w:type="dxa"/>
            <w:shd w:val="clear" w:color="auto" w:fill="D9D9D9" w:themeFill="background1" w:themeFillShade="D9"/>
          </w:tcPr>
          <w:p w:rsidR="009B6B7E" w:rsidRPr="00A473FC" w:rsidRDefault="009B6B7E" w:rsidP="00646D31">
            <w:pPr>
              <w:rPr>
                <w:rFonts w:ascii="Arial" w:hAnsi="Arial" w:cs="Arial"/>
              </w:rPr>
            </w:pPr>
            <w:r w:rsidRPr="00A473FC">
              <w:rPr>
                <w:rFonts w:ascii="Arial" w:hAnsi="Arial" w:cs="Arial"/>
              </w:rPr>
              <w:t>Language Support Tutor for deaf students</w:t>
            </w:r>
          </w:p>
        </w:tc>
        <w:tc>
          <w:tcPr>
            <w:tcW w:w="114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w:t>
            </w:r>
          </w:p>
        </w:tc>
      </w:tr>
      <w:tr w:rsidR="009B6B7E" w:rsidRPr="00A473FC" w:rsidTr="009B6B7E">
        <w:tc>
          <w:tcPr>
            <w:tcW w:w="5194" w:type="dxa"/>
          </w:tcPr>
          <w:p w:rsidR="009B6B7E" w:rsidRPr="00A473FC" w:rsidRDefault="009B6B7E">
            <w:pPr>
              <w:rPr>
                <w:rFonts w:ascii="Arial" w:hAnsi="Arial" w:cs="Arial"/>
              </w:rPr>
            </w:pPr>
            <w:r w:rsidRPr="00A473FC">
              <w:rPr>
                <w:rFonts w:ascii="Arial" w:hAnsi="Arial" w:cs="Arial"/>
              </w:rPr>
              <w:t>Library Support Assistant</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rsidP="00696518">
            <w:pPr>
              <w:rPr>
                <w:rFonts w:ascii="Arial" w:hAnsi="Arial" w:cs="Arial"/>
              </w:rPr>
            </w:pPr>
            <w:r>
              <w:rPr>
                <w:rFonts w:ascii="Arial" w:hAnsi="Arial" w:cs="Arial"/>
              </w:rPr>
              <w:t>£21</w:t>
            </w:r>
          </w:p>
        </w:tc>
      </w:tr>
      <w:tr w:rsidR="009B6B7E" w:rsidRPr="00A473FC" w:rsidTr="009B6B7E">
        <w:tc>
          <w:tcPr>
            <w:tcW w:w="5194" w:type="dxa"/>
          </w:tcPr>
          <w:p w:rsidR="009B6B7E" w:rsidRPr="00A473FC" w:rsidRDefault="009B6B7E">
            <w:pPr>
              <w:rPr>
                <w:rFonts w:ascii="Arial" w:hAnsi="Arial" w:cs="Arial"/>
              </w:rPr>
            </w:pPr>
            <w:r w:rsidRPr="00A473FC">
              <w:rPr>
                <w:rFonts w:ascii="Arial" w:hAnsi="Arial" w:cs="Arial"/>
              </w:rPr>
              <w:t>Manual Note Taker</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Pr>
                <w:rFonts w:ascii="Arial" w:hAnsi="Arial" w:cs="Arial"/>
              </w:rPr>
              <w:t>£21</w:t>
            </w:r>
          </w:p>
        </w:tc>
      </w:tr>
      <w:tr w:rsidR="009B6B7E" w:rsidRPr="00A473FC" w:rsidTr="009B6B7E">
        <w:tc>
          <w:tcPr>
            <w:tcW w:w="5194" w:type="dxa"/>
            <w:shd w:val="clear" w:color="auto" w:fill="D9D9D9" w:themeFill="background1" w:themeFillShade="D9"/>
          </w:tcPr>
          <w:p w:rsidR="009B6B7E" w:rsidRPr="00A473FC" w:rsidRDefault="009B6B7E" w:rsidP="00646D31">
            <w:pPr>
              <w:rPr>
                <w:rFonts w:ascii="Arial" w:hAnsi="Arial" w:cs="Arial"/>
              </w:rPr>
            </w:pPr>
            <w:r w:rsidRPr="00A473FC">
              <w:rPr>
                <w:rFonts w:ascii="Arial" w:hAnsi="Arial" w:cs="Arial"/>
              </w:rPr>
              <w:t>Mobility Trainer</w:t>
            </w:r>
          </w:p>
        </w:tc>
        <w:tc>
          <w:tcPr>
            <w:tcW w:w="114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w:t>
            </w:r>
          </w:p>
        </w:tc>
      </w:tr>
      <w:tr w:rsidR="009B6B7E" w:rsidRPr="00A473FC" w:rsidTr="009B6B7E">
        <w:tc>
          <w:tcPr>
            <w:tcW w:w="5194" w:type="dxa"/>
          </w:tcPr>
          <w:p w:rsidR="009B6B7E" w:rsidRPr="00A473FC" w:rsidRDefault="009B6B7E">
            <w:pPr>
              <w:rPr>
                <w:rFonts w:ascii="Arial" w:hAnsi="Arial" w:cs="Arial"/>
              </w:rPr>
            </w:pPr>
            <w:r w:rsidRPr="00A473FC">
              <w:rPr>
                <w:rFonts w:ascii="Arial" w:hAnsi="Arial" w:cs="Arial"/>
              </w:rPr>
              <w:t>Practical Support Assistant</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Pr>
                <w:rFonts w:ascii="Arial" w:hAnsi="Arial" w:cs="Arial"/>
              </w:rPr>
              <w:t>£21</w:t>
            </w:r>
          </w:p>
        </w:tc>
      </w:tr>
      <w:tr w:rsidR="009B6B7E" w:rsidRPr="00A473FC" w:rsidTr="009B6B7E">
        <w:tc>
          <w:tcPr>
            <w:tcW w:w="5194" w:type="dxa"/>
          </w:tcPr>
          <w:p w:rsidR="009B6B7E" w:rsidRPr="00A473FC" w:rsidRDefault="009B6B7E">
            <w:pPr>
              <w:rPr>
                <w:rFonts w:ascii="Arial" w:hAnsi="Arial" w:cs="Arial"/>
              </w:rPr>
            </w:pPr>
            <w:r w:rsidRPr="00A473FC">
              <w:rPr>
                <w:rFonts w:ascii="Arial" w:hAnsi="Arial" w:cs="Arial"/>
              </w:rPr>
              <w:t>Proof Reader</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Pr>
                <w:rFonts w:ascii="Arial" w:hAnsi="Arial" w:cs="Arial"/>
              </w:rPr>
              <w:t>£25</w:t>
            </w:r>
          </w:p>
        </w:tc>
      </w:tr>
      <w:tr w:rsidR="009B6B7E" w:rsidRPr="00A473FC" w:rsidTr="009B6B7E">
        <w:tc>
          <w:tcPr>
            <w:tcW w:w="5194" w:type="dxa"/>
          </w:tcPr>
          <w:p w:rsidR="009B6B7E" w:rsidRPr="00A473FC" w:rsidRDefault="009B6B7E">
            <w:pPr>
              <w:rPr>
                <w:rFonts w:ascii="Arial" w:hAnsi="Arial" w:cs="Arial"/>
              </w:rPr>
            </w:pPr>
            <w:r w:rsidRPr="00A473FC">
              <w:rPr>
                <w:rFonts w:ascii="Arial" w:hAnsi="Arial" w:cs="Arial"/>
              </w:rPr>
              <w:t>Reader</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rsidP="00696518">
            <w:pPr>
              <w:rPr>
                <w:rFonts w:ascii="Arial" w:hAnsi="Arial" w:cs="Arial"/>
              </w:rPr>
            </w:pPr>
            <w:r>
              <w:rPr>
                <w:rFonts w:ascii="Arial" w:hAnsi="Arial" w:cs="Arial"/>
              </w:rPr>
              <w:t>£21</w:t>
            </w:r>
          </w:p>
        </w:tc>
      </w:tr>
      <w:tr w:rsidR="009B6B7E" w:rsidRPr="00A473FC" w:rsidTr="009B6B7E">
        <w:tc>
          <w:tcPr>
            <w:tcW w:w="5194"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Scribe</w:t>
            </w:r>
          </w:p>
        </w:tc>
        <w:tc>
          <w:tcPr>
            <w:tcW w:w="114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w:t>
            </w:r>
          </w:p>
        </w:tc>
      </w:tr>
      <w:tr w:rsidR="009B6B7E" w:rsidRPr="00A473FC" w:rsidTr="009B6B7E">
        <w:tc>
          <w:tcPr>
            <w:tcW w:w="5194"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Sighted Guide</w:t>
            </w:r>
          </w:p>
        </w:tc>
        <w:tc>
          <w:tcPr>
            <w:tcW w:w="114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w:t>
            </w:r>
          </w:p>
        </w:tc>
      </w:tr>
      <w:tr w:rsidR="009B6B7E" w:rsidRPr="00A473FC" w:rsidTr="009B6B7E">
        <w:tc>
          <w:tcPr>
            <w:tcW w:w="5194" w:type="dxa"/>
          </w:tcPr>
          <w:p w:rsidR="009B6B7E" w:rsidRPr="00A473FC" w:rsidRDefault="009B6B7E" w:rsidP="00345D5D">
            <w:pPr>
              <w:rPr>
                <w:rFonts w:ascii="Arial" w:hAnsi="Arial" w:cs="Arial"/>
              </w:rPr>
            </w:pPr>
            <w:r w:rsidRPr="00A473FC">
              <w:rPr>
                <w:rFonts w:ascii="Arial" w:hAnsi="Arial" w:cs="Arial"/>
              </w:rPr>
              <w:t>Specialist Mentor - Asperger</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sidRPr="00A473FC">
              <w:rPr>
                <w:rFonts w:ascii="Arial" w:hAnsi="Arial" w:cs="Arial"/>
              </w:rPr>
              <w:t>£40</w:t>
            </w:r>
          </w:p>
        </w:tc>
      </w:tr>
      <w:tr w:rsidR="009B6B7E" w:rsidRPr="00A473FC" w:rsidTr="009B6B7E">
        <w:tc>
          <w:tcPr>
            <w:tcW w:w="5194" w:type="dxa"/>
          </w:tcPr>
          <w:p w:rsidR="009B6B7E" w:rsidRPr="00A473FC" w:rsidRDefault="009B6B7E" w:rsidP="00646D31">
            <w:pPr>
              <w:rPr>
                <w:rFonts w:ascii="Arial" w:hAnsi="Arial" w:cs="Arial"/>
              </w:rPr>
            </w:pPr>
            <w:r w:rsidRPr="00A473FC">
              <w:rPr>
                <w:rFonts w:ascii="Arial" w:hAnsi="Arial" w:cs="Arial"/>
              </w:rPr>
              <w:t>Specialist Mentor - Mental Health</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Pr>
                <w:rFonts w:ascii="Arial" w:hAnsi="Arial" w:cs="Arial"/>
              </w:rPr>
              <w:t>£54</w:t>
            </w:r>
          </w:p>
        </w:tc>
      </w:tr>
      <w:tr w:rsidR="009B6B7E" w:rsidRPr="00A473FC" w:rsidTr="009B6B7E">
        <w:tc>
          <w:tcPr>
            <w:tcW w:w="5194" w:type="dxa"/>
          </w:tcPr>
          <w:p w:rsidR="009B6B7E" w:rsidRPr="00A473FC" w:rsidRDefault="009B6B7E" w:rsidP="00646D31">
            <w:pPr>
              <w:rPr>
                <w:rFonts w:ascii="Arial" w:hAnsi="Arial" w:cs="Arial"/>
              </w:rPr>
            </w:pPr>
            <w:r w:rsidRPr="00A473FC">
              <w:rPr>
                <w:rFonts w:ascii="Arial" w:hAnsi="Arial" w:cs="Arial"/>
              </w:rPr>
              <w:t>Specialist One to One Study Skills Support – Spld</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sidRPr="00A473FC">
              <w:rPr>
                <w:rFonts w:ascii="Arial" w:hAnsi="Arial" w:cs="Arial"/>
              </w:rPr>
              <w:t>£58</w:t>
            </w:r>
          </w:p>
        </w:tc>
      </w:tr>
      <w:tr w:rsidR="009B6B7E" w:rsidRPr="00A473FC" w:rsidTr="009B6B7E">
        <w:tc>
          <w:tcPr>
            <w:tcW w:w="5194" w:type="dxa"/>
            <w:shd w:val="clear" w:color="auto" w:fill="D9D9D9" w:themeFill="background1" w:themeFillShade="D9"/>
          </w:tcPr>
          <w:p w:rsidR="009B6B7E" w:rsidRPr="00A473FC" w:rsidRDefault="009B6B7E" w:rsidP="00646D31">
            <w:pPr>
              <w:rPr>
                <w:rFonts w:ascii="Arial" w:hAnsi="Arial" w:cs="Arial"/>
              </w:rPr>
            </w:pPr>
            <w:r w:rsidRPr="00A473FC">
              <w:rPr>
                <w:rFonts w:ascii="Arial" w:hAnsi="Arial" w:cs="Arial"/>
              </w:rPr>
              <w:t>Specialist Transcription Services</w:t>
            </w:r>
          </w:p>
        </w:tc>
        <w:tc>
          <w:tcPr>
            <w:tcW w:w="114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External</w:t>
            </w:r>
          </w:p>
        </w:tc>
        <w:tc>
          <w:tcPr>
            <w:tcW w:w="706" w:type="dxa"/>
            <w:shd w:val="clear" w:color="auto" w:fill="D9D9D9" w:themeFill="background1" w:themeFillShade="D9"/>
          </w:tcPr>
          <w:p w:rsidR="009B6B7E" w:rsidRPr="00A473FC" w:rsidRDefault="009B6B7E">
            <w:pPr>
              <w:rPr>
                <w:rFonts w:ascii="Arial" w:hAnsi="Arial" w:cs="Arial"/>
              </w:rPr>
            </w:pPr>
            <w:r w:rsidRPr="00A473FC">
              <w:rPr>
                <w:rFonts w:ascii="Arial" w:hAnsi="Arial" w:cs="Arial"/>
              </w:rPr>
              <w:t>-</w:t>
            </w:r>
          </w:p>
        </w:tc>
      </w:tr>
      <w:tr w:rsidR="009B6B7E" w:rsidRPr="00A473FC" w:rsidTr="009B6B7E">
        <w:tc>
          <w:tcPr>
            <w:tcW w:w="5194" w:type="dxa"/>
          </w:tcPr>
          <w:p w:rsidR="009B6B7E" w:rsidRPr="00A473FC" w:rsidRDefault="009B6B7E" w:rsidP="00345D5D">
            <w:pPr>
              <w:rPr>
                <w:rFonts w:ascii="Arial" w:hAnsi="Arial" w:cs="Arial"/>
              </w:rPr>
            </w:pPr>
            <w:r>
              <w:rPr>
                <w:rFonts w:ascii="Arial" w:hAnsi="Arial" w:cs="Arial"/>
              </w:rPr>
              <w:t>Studio</w:t>
            </w:r>
            <w:r w:rsidRPr="00A473FC">
              <w:rPr>
                <w:rFonts w:ascii="Arial" w:hAnsi="Arial" w:cs="Arial"/>
              </w:rPr>
              <w:t xml:space="preserve"> / Workshop Assistant</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Pr>
                <w:rFonts w:ascii="Arial" w:hAnsi="Arial" w:cs="Arial"/>
              </w:rPr>
              <w:t>£18</w:t>
            </w:r>
          </w:p>
        </w:tc>
      </w:tr>
      <w:tr w:rsidR="009B6B7E" w:rsidRPr="00A473FC" w:rsidTr="009B6B7E">
        <w:tc>
          <w:tcPr>
            <w:tcW w:w="5194" w:type="dxa"/>
          </w:tcPr>
          <w:p w:rsidR="009B6B7E" w:rsidRPr="00A473FC" w:rsidRDefault="009B6B7E" w:rsidP="0086325D">
            <w:pPr>
              <w:rPr>
                <w:rFonts w:ascii="Arial" w:hAnsi="Arial" w:cs="Arial"/>
              </w:rPr>
            </w:pPr>
            <w:r w:rsidRPr="00A473FC">
              <w:rPr>
                <w:rFonts w:ascii="Arial" w:hAnsi="Arial" w:cs="Arial"/>
              </w:rPr>
              <w:t xml:space="preserve">Study Assistant </w:t>
            </w:r>
          </w:p>
        </w:tc>
        <w:tc>
          <w:tcPr>
            <w:tcW w:w="1146" w:type="dxa"/>
          </w:tcPr>
          <w:p w:rsidR="009B6B7E" w:rsidRPr="00A473FC" w:rsidRDefault="009B6B7E">
            <w:pPr>
              <w:rPr>
                <w:rFonts w:ascii="Arial" w:hAnsi="Arial" w:cs="Arial"/>
              </w:rPr>
            </w:pPr>
            <w:r w:rsidRPr="00A473FC">
              <w:rPr>
                <w:rFonts w:ascii="Arial" w:hAnsi="Arial" w:cs="Arial"/>
              </w:rPr>
              <w:t>SDS</w:t>
            </w:r>
          </w:p>
        </w:tc>
        <w:tc>
          <w:tcPr>
            <w:tcW w:w="706" w:type="dxa"/>
          </w:tcPr>
          <w:p w:rsidR="009B6B7E" w:rsidRPr="00A473FC" w:rsidRDefault="009B6B7E">
            <w:pPr>
              <w:rPr>
                <w:rFonts w:ascii="Arial" w:hAnsi="Arial" w:cs="Arial"/>
              </w:rPr>
            </w:pPr>
            <w:r>
              <w:rPr>
                <w:rFonts w:ascii="Arial" w:hAnsi="Arial" w:cs="Arial"/>
              </w:rPr>
              <w:t>£30</w:t>
            </w:r>
            <w:bookmarkStart w:id="0" w:name="_GoBack"/>
            <w:bookmarkEnd w:id="0"/>
          </w:p>
        </w:tc>
      </w:tr>
    </w:tbl>
    <w:p w:rsidR="00176276" w:rsidRPr="00965E58" w:rsidRDefault="00176276" w:rsidP="00A473FC">
      <w:pPr>
        <w:rPr>
          <w:b/>
        </w:rPr>
      </w:pPr>
    </w:p>
    <w:sectPr w:rsidR="00176276" w:rsidRPr="00965E58" w:rsidSect="00A473FC">
      <w:footerReference w:type="default" r:id="rI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B9" w:rsidRDefault="005152B9" w:rsidP="0086325D">
      <w:pPr>
        <w:spacing w:after="0" w:line="240" w:lineRule="auto"/>
      </w:pPr>
      <w:r>
        <w:separator/>
      </w:r>
    </w:p>
  </w:endnote>
  <w:endnote w:type="continuationSeparator" w:id="0">
    <w:p w:rsidR="005152B9" w:rsidRDefault="005152B9" w:rsidP="0086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B9" w:rsidRDefault="00E91D5C">
    <w:pPr>
      <w:pStyle w:val="Footer"/>
    </w:pPr>
    <w:r>
      <w:t>NMH Template v</w:t>
    </w:r>
    <w:r w:rsidR="005152B9">
      <w:t>1</w:t>
    </w: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B9" w:rsidRDefault="005152B9" w:rsidP="0086325D">
      <w:pPr>
        <w:spacing w:after="0" w:line="240" w:lineRule="auto"/>
      </w:pPr>
      <w:r>
        <w:separator/>
      </w:r>
    </w:p>
  </w:footnote>
  <w:footnote w:type="continuationSeparator" w:id="0">
    <w:p w:rsidR="005152B9" w:rsidRDefault="005152B9" w:rsidP="00863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B7E"/>
    <w:multiLevelType w:val="hybridMultilevel"/>
    <w:tmpl w:val="7B12EC06"/>
    <w:lvl w:ilvl="0" w:tplc="AFC6E958">
      <w:start w:val="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4A"/>
    <w:rsid w:val="00095D95"/>
    <w:rsid w:val="00176276"/>
    <w:rsid w:val="00213A30"/>
    <w:rsid w:val="00345D5D"/>
    <w:rsid w:val="003D2BBA"/>
    <w:rsid w:val="0049329D"/>
    <w:rsid w:val="00494C7C"/>
    <w:rsid w:val="004F7DE4"/>
    <w:rsid w:val="005152B9"/>
    <w:rsid w:val="005C72C7"/>
    <w:rsid w:val="006310A4"/>
    <w:rsid w:val="00646D31"/>
    <w:rsid w:val="006E256C"/>
    <w:rsid w:val="006E57BA"/>
    <w:rsid w:val="007D0EAE"/>
    <w:rsid w:val="0086325D"/>
    <w:rsid w:val="00887E2F"/>
    <w:rsid w:val="008A5A33"/>
    <w:rsid w:val="008B27A4"/>
    <w:rsid w:val="008D7E92"/>
    <w:rsid w:val="008E166C"/>
    <w:rsid w:val="00965E58"/>
    <w:rsid w:val="009B6B7E"/>
    <w:rsid w:val="00A473FC"/>
    <w:rsid w:val="00A820AE"/>
    <w:rsid w:val="00AB0AE2"/>
    <w:rsid w:val="00B50A4C"/>
    <w:rsid w:val="00BB251B"/>
    <w:rsid w:val="00C5744A"/>
    <w:rsid w:val="00CB1A57"/>
    <w:rsid w:val="00CF11BE"/>
    <w:rsid w:val="00D236BC"/>
    <w:rsid w:val="00D8135C"/>
    <w:rsid w:val="00E91D5C"/>
    <w:rsid w:val="00EC12BC"/>
    <w:rsid w:val="00EC697D"/>
    <w:rsid w:val="00EE5C9B"/>
    <w:rsid w:val="00F30A33"/>
    <w:rsid w:val="00FC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5D"/>
  </w:style>
  <w:style w:type="paragraph" w:styleId="Footer">
    <w:name w:val="footer"/>
    <w:basedOn w:val="Normal"/>
    <w:link w:val="FooterChar"/>
    <w:uiPriority w:val="99"/>
    <w:unhideWhenUsed/>
    <w:rsid w:val="0086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5D"/>
  </w:style>
  <w:style w:type="character" w:styleId="Hyperlink">
    <w:name w:val="Hyperlink"/>
    <w:basedOn w:val="DefaultParagraphFont"/>
    <w:uiPriority w:val="99"/>
    <w:unhideWhenUsed/>
    <w:rsid w:val="00176276"/>
    <w:rPr>
      <w:color w:val="0000FF"/>
      <w:u w:val="single"/>
    </w:rPr>
  </w:style>
  <w:style w:type="character" w:customStyle="1" w:styleId="Heading1Char">
    <w:name w:val="Heading 1 Char"/>
    <w:basedOn w:val="DefaultParagraphFont"/>
    <w:link w:val="Heading1"/>
    <w:uiPriority w:val="9"/>
    <w:rsid w:val="00CF11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7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5D"/>
  </w:style>
  <w:style w:type="paragraph" w:styleId="Footer">
    <w:name w:val="footer"/>
    <w:basedOn w:val="Normal"/>
    <w:link w:val="FooterChar"/>
    <w:uiPriority w:val="99"/>
    <w:unhideWhenUsed/>
    <w:rsid w:val="0086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5D"/>
  </w:style>
  <w:style w:type="character" w:styleId="Hyperlink">
    <w:name w:val="Hyperlink"/>
    <w:basedOn w:val="DefaultParagraphFont"/>
    <w:uiPriority w:val="99"/>
    <w:unhideWhenUsed/>
    <w:rsid w:val="00176276"/>
    <w:rPr>
      <w:color w:val="0000FF"/>
      <w:u w:val="single"/>
    </w:rPr>
  </w:style>
  <w:style w:type="character" w:customStyle="1" w:styleId="Heading1Char">
    <w:name w:val="Heading 1 Char"/>
    <w:basedOn w:val="DefaultParagraphFont"/>
    <w:link w:val="Heading1"/>
    <w:uiPriority w:val="9"/>
    <w:rsid w:val="00CF11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Mullen</dc:creator>
  <cp:lastModifiedBy>CAMPBELL Gael</cp:lastModifiedBy>
  <cp:revision>3</cp:revision>
  <dcterms:created xsi:type="dcterms:W3CDTF">2015-03-18T13:50:00Z</dcterms:created>
  <dcterms:modified xsi:type="dcterms:W3CDTF">2015-03-18T13:52:00Z</dcterms:modified>
</cp:coreProperties>
</file>