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827FE" w14:textId="77777777" w:rsidR="00F67107" w:rsidRPr="00FB3C96" w:rsidRDefault="00F67107" w:rsidP="00F67107">
      <w:pPr>
        <w:jc w:val="center"/>
        <w:rPr>
          <w:rFonts w:ascii="Arial" w:hAnsi="Arial" w:cs="Arial"/>
          <w:b/>
        </w:rPr>
      </w:pPr>
      <w:r w:rsidRPr="00FB3C96">
        <w:rPr>
          <w:rFonts w:ascii="Arial" w:hAnsi="Arial" w:cs="Arial"/>
          <w:b/>
        </w:rPr>
        <w:t>University of Edinburgh Risk Policy and Risk Appetite</w:t>
      </w:r>
    </w:p>
    <w:p w14:paraId="1D332C1E" w14:textId="77777777" w:rsidR="00123855" w:rsidRPr="008D5390" w:rsidRDefault="00123855" w:rsidP="00123855">
      <w:pPr>
        <w:pStyle w:val="ListParagraph"/>
        <w:spacing w:after="0" w:line="240" w:lineRule="auto"/>
        <w:ind w:left="567"/>
        <w:rPr>
          <w:rFonts w:ascii="Arial" w:hAnsi="Arial" w:cs="Arial"/>
          <w:b/>
          <w:u w:val="single"/>
        </w:rPr>
      </w:pPr>
      <w:r w:rsidRPr="008D5390">
        <w:rPr>
          <w:rFonts w:ascii="Arial" w:hAnsi="Arial" w:cs="Arial"/>
          <w:b/>
          <w:u w:val="single"/>
        </w:rPr>
        <w:t>General</w:t>
      </w:r>
    </w:p>
    <w:p w14:paraId="4F304381" w14:textId="77777777" w:rsidR="00123855" w:rsidRDefault="00123855" w:rsidP="00123855">
      <w:pPr>
        <w:pStyle w:val="ListParagraph"/>
        <w:spacing w:after="0" w:line="240" w:lineRule="auto"/>
        <w:ind w:left="567"/>
        <w:rPr>
          <w:rFonts w:ascii="Arial" w:hAnsi="Arial" w:cs="Arial"/>
        </w:rPr>
      </w:pPr>
    </w:p>
    <w:p w14:paraId="099A8615" w14:textId="77777777" w:rsidR="00B2545B" w:rsidRDefault="00F67107" w:rsidP="00123855">
      <w:pPr>
        <w:pStyle w:val="ListParagraph"/>
        <w:spacing w:after="0" w:line="240" w:lineRule="auto"/>
        <w:ind w:left="567"/>
        <w:rPr>
          <w:rFonts w:ascii="Arial" w:hAnsi="Arial" w:cs="Arial"/>
        </w:rPr>
      </w:pPr>
      <w:r w:rsidRPr="00B2545B">
        <w:rPr>
          <w:rFonts w:ascii="Arial" w:hAnsi="Arial" w:cs="Arial"/>
        </w:rPr>
        <w:t xml:space="preserve">Pushing the boundaries of knowledge, innovating, and implementing strategic developments will always have risks. Effective risk management increases the probability of successful outcomes, whilst protecting the reputation and sustainability of the University. </w:t>
      </w:r>
      <w:r w:rsidR="00123855">
        <w:rPr>
          <w:rFonts w:ascii="Arial" w:hAnsi="Arial" w:cs="Arial"/>
        </w:rPr>
        <w:t xml:space="preserve">The Court is committed to ensuring a robust and </w:t>
      </w:r>
      <w:r w:rsidR="00B4108D">
        <w:rPr>
          <w:rFonts w:ascii="Arial" w:hAnsi="Arial" w:cs="Arial"/>
        </w:rPr>
        <w:t xml:space="preserve">effective risk management framework and process across all Colleges, Groups and subsidiaries of the University, and expects appropriate risk management to be integrated into all planning, </w:t>
      </w:r>
      <w:r w:rsidR="003024EB">
        <w:rPr>
          <w:rFonts w:ascii="Arial" w:hAnsi="Arial" w:cs="Arial"/>
        </w:rPr>
        <w:t>decision-making</w:t>
      </w:r>
      <w:r w:rsidR="00B4108D">
        <w:rPr>
          <w:rFonts w:ascii="Arial" w:hAnsi="Arial" w:cs="Arial"/>
        </w:rPr>
        <w:t>, and operational activities.</w:t>
      </w:r>
    </w:p>
    <w:p w14:paraId="08167B6B" w14:textId="77777777" w:rsidR="003024EB" w:rsidRDefault="003024EB" w:rsidP="00123855">
      <w:pPr>
        <w:pStyle w:val="ListParagraph"/>
        <w:spacing w:after="0" w:line="240" w:lineRule="auto"/>
        <w:ind w:left="567"/>
        <w:rPr>
          <w:rFonts w:ascii="Arial" w:hAnsi="Arial" w:cs="Arial"/>
        </w:rPr>
      </w:pPr>
    </w:p>
    <w:p w14:paraId="61897CA7" w14:textId="77777777" w:rsidR="003024EB" w:rsidRPr="008D5390" w:rsidRDefault="003024EB" w:rsidP="00123855">
      <w:pPr>
        <w:pStyle w:val="ListParagraph"/>
        <w:spacing w:after="0" w:line="240" w:lineRule="auto"/>
        <w:ind w:left="567"/>
        <w:rPr>
          <w:rFonts w:ascii="Arial" w:hAnsi="Arial" w:cs="Arial"/>
          <w:b/>
          <w:u w:val="single"/>
        </w:rPr>
      </w:pPr>
      <w:r w:rsidRPr="008D5390">
        <w:rPr>
          <w:rFonts w:ascii="Arial" w:hAnsi="Arial" w:cs="Arial"/>
          <w:b/>
          <w:u w:val="single"/>
        </w:rPr>
        <w:t>Objectives</w:t>
      </w:r>
    </w:p>
    <w:p w14:paraId="72800920" w14:textId="77777777" w:rsidR="003024EB" w:rsidRDefault="003024EB" w:rsidP="00123855">
      <w:pPr>
        <w:pStyle w:val="ListParagraph"/>
        <w:spacing w:after="0" w:line="240" w:lineRule="auto"/>
        <w:ind w:left="567"/>
        <w:rPr>
          <w:rFonts w:ascii="Arial" w:hAnsi="Arial" w:cs="Arial"/>
          <w:u w:val="single"/>
        </w:rPr>
      </w:pPr>
    </w:p>
    <w:p w14:paraId="34EB177F" w14:textId="77777777" w:rsidR="003024EB" w:rsidRDefault="003024EB" w:rsidP="00123855">
      <w:pPr>
        <w:pStyle w:val="ListParagraph"/>
        <w:spacing w:after="0" w:line="240" w:lineRule="auto"/>
        <w:ind w:left="567"/>
        <w:rPr>
          <w:rFonts w:ascii="Arial" w:hAnsi="Arial" w:cs="Arial"/>
        </w:rPr>
      </w:pPr>
      <w:r w:rsidRPr="003024EB">
        <w:rPr>
          <w:rFonts w:ascii="Arial" w:hAnsi="Arial" w:cs="Arial"/>
        </w:rPr>
        <w:t>The University</w:t>
      </w:r>
      <w:r>
        <w:rPr>
          <w:rFonts w:ascii="Arial" w:hAnsi="Arial" w:cs="Arial"/>
        </w:rPr>
        <w:t>’s risk management objectives are as follows:</w:t>
      </w:r>
    </w:p>
    <w:p w14:paraId="39F13B2E" w14:textId="77777777" w:rsidR="003024EB" w:rsidRDefault="003024EB" w:rsidP="00123855">
      <w:pPr>
        <w:pStyle w:val="ListParagraph"/>
        <w:spacing w:after="0" w:line="240" w:lineRule="auto"/>
        <w:ind w:left="567"/>
        <w:rPr>
          <w:rFonts w:ascii="Arial" w:hAnsi="Arial" w:cs="Arial"/>
        </w:rPr>
      </w:pPr>
    </w:p>
    <w:p w14:paraId="76781798" w14:textId="77777777" w:rsidR="003024EB" w:rsidRDefault="003024EB" w:rsidP="003024EB">
      <w:pPr>
        <w:pStyle w:val="ListParagraph"/>
        <w:numPr>
          <w:ilvl w:val="0"/>
          <w:numId w:val="12"/>
        </w:numPr>
        <w:spacing w:after="0" w:line="240" w:lineRule="auto"/>
        <w:rPr>
          <w:rFonts w:ascii="Arial" w:hAnsi="Arial" w:cs="Arial"/>
        </w:rPr>
      </w:pPr>
      <w:r>
        <w:rPr>
          <w:rFonts w:ascii="Arial" w:hAnsi="Arial" w:cs="Arial"/>
        </w:rPr>
        <w:t xml:space="preserve">Strategic level decision-making and planning are informed by accurate and congruent assessment of risk across </w:t>
      </w:r>
      <w:r w:rsidR="004B6FE3">
        <w:rPr>
          <w:rFonts w:ascii="Arial" w:hAnsi="Arial" w:cs="Arial"/>
        </w:rPr>
        <w:t xml:space="preserve">the </w:t>
      </w:r>
      <w:r>
        <w:rPr>
          <w:rFonts w:ascii="Arial" w:hAnsi="Arial" w:cs="Arial"/>
        </w:rPr>
        <w:t>diverse</w:t>
      </w:r>
      <w:r w:rsidR="004B6FE3">
        <w:rPr>
          <w:rFonts w:ascii="Arial" w:hAnsi="Arial" w:cs="Arial"/>
        </w:rPr>
        <w:t xml:space="preserve"> Colleges, Groups and subsidiaries through formal University-wide Enterprise Risk Management (ERM) framework and processes.</w:t>
      </w:r>
    </w:p>
    <w:p w14:paraId="782E11C9" w14:textId="77777777" w:rsidR="0016491C" w:rsidRDefault="0016491C" w:rsidP="0016491C">
      <w:pPr>
        <w:pStyle w:val="ListParagraph"/>
        <w:spacing w:after="0" w:line="240" w:lineRule="auto"/>
        <w:ind w:left="927"/>
        <w:rPr>
          <w:rFonts w:ascii="Arial" w:hAnsi="Arial" w:cs="Arial"/>
        </w:rPr>
      </w:pPr>
    </w:p>
    <w:p w14:paraId="1A6D37B2" w14:textId="77777777" w:rsidR="004B6FE3" w:rsidRDefault="004B6FE3" w:rsidP="003024EB">
      <w:pPr>
        <w:pStyle w:val="ListParagraph"/>
        <w:numPr>
          <w:ilvl w:val="0"/>
          <w:numId w:val="12"/>
        </w:numPr>
        <w:spacing w:after="0" w:line="240" w:lineRule="auto"/>
        <w:rPr>
          <w:rFonts w:ascii="Arial" w:hAnsi="Arial" w:cs="Arial"/>
        </w:rPr>
      </w:pPr>
      <w:r>
        <w:rPr>
          <w:rFonts w:ascii="Arial" w:hAnsi="Arial" w:cs="Arial"/>
        </w:rPr>
        <w:t>Effective College, Group and subsidiary operational decision-making is guided by accurate and congruent assessment of risk within and across their diverse business areas. The risk management framework and process in place at this operational level supports and feeds back into the strategic level ERM framework, while meeting the needs of each distinct organization.</w:t>
      </w:r>
    </w:p>
    <w:p w14:paraId="6AFE5BE3" w14:textId="77777777" w:rsidR="0016491C" w:rsidRPr="0016491C" w:rsidRDefault="0016491C" w:rsidP="0016491C">
      <w:pPr>
        <w:spacing w:after="0" w:line="240" w:lineRule="auto"/>
        <w:rPr>
          <w:rFonts w:ascii="Arial" w:hAnsi="Arial" w:cs="Arial"/>
        </w:rPr>
      </w:pPr>
    </w:p>
    <w:p w14:paraId="3B180475" w14:textId="77777777" w:rsidR="004B6FE3" w:rsidRPr="003024EB" w:rsidRDefault="004B6FE3" w:rsidP="003024EB">
      <w:pPr>
        <w:pStyle w:val="ListParagraph"/>
        <w:numPr>
          <w:ilvl w:val="0"/>
          <w:numId w:val="12"/>
        </w:numPr>
        <w:spacing w:after="0" w:line="240" w:lineRule="auto"/>
        <w:rPr>
          <w:rFonts w:ascii="Arial" w:hAnsi="Arial" w:cs="Arial"/>
        </w:rPr>
      </w:pPr>
      <w:r>
        <w:rPr>
          <w:rFonts w:ascii="Arial" w:hAnsi="Arial" w:cs="Arial"/>
        </w:rPr>
        <w:t>All risk management across the University adheres to the current risk management framework established by the Court, while encouraging a culture of innovation and opportunity, informed risk taking within the University’s risk appetite, and an acknowledgement of risk as inherent in all activities of the University.</w:t>
      </w:r>
    </w:p>
    <w:p w14:paraId="236FD30C" w14:textId="77777777" w:rsidR="003024EB" w:rsidRPr="00B2545B" w:rsidRDefault="003024EB" w:rsidP="00123855">
      <w:pPr>
        <w:pStyle w:val="ListParagraph"/>
        <w:spacing w:after="0" w:line="240" w:lineRule="auto"/>
        <w:ind w:left="567"/>
        <w:rPr>
          <w:rFonts w:ascii="Arial" w:hAnsi="Arial" w:cs="Arial"/>
        </w:rPr>
      </w:pPr>
    </w:p>
    <w:p w14:paraId="14004555" w14:textId="77777777" w:rsidR="003024EB" w:rsidRPr="008D5390" w:rsidRDefault="003024EB" w:rsidP="00123855">
      <w:pPr>
        <w:pStyle w:val="ListParagraph"/>
        <w:spacing w:after="0" w:line="240" w:lineRule="auto"/>
        <w:ind w:left="567"/>
        <w:rPr>
          <w:rFonts w:ascii="Arial" w:hAnsi="Arial" w:cs="Arial"/>
          <w:b/>
          <w:u w:val="single"/>
        </w:rPr>
      </w:pPr>
      <w:r w:rsidRPr="008D5390">
        <w:rPr>
          <w:rFonts w:ascii="Arial" w:hAnsi="Arial" w:cs="Arial"/>
          <w:b/>
          <w:u w:val="single"/>
        </w:rPr>
        <w:t>Framework</w:t>
      </w:r>
    </w:p>
    <w:p w14:paraId="69709CC7" w14:textId="77777777" w:rsidR="003024EB" w:rsidRDefault="003024EB" w:rsidP="00123855">
      <w:pPr>
        <w:pStyle w:val="ListParagraph"/>
        <w:spacing w:after="0" w:line="240" w:lineRule="auto"/>
        <w:ind w:left="567"/>
        <w:rPr>
          <w:rFonts w:ascii="Arial" w:hAnsi="Arial" w:cs="Arial"/>
        </w:rPr>
      </w:pPr>
    </w:p>
    <w:p w14:paraId="203B6266" w14:textId="77777777" w:rsidR="00B2545B" w:rsidRDefault="00B2545B" w:rsidP="00123855">
      <w:pPr>
        <w:pStyle w:val="ListParagraph"/>
        <w:spacing w:after="0" w:line="240" w:lineRule="auto"/>
        <w:ind w:left="567"/>
        <w:rPr>
          <w:rFonts w:ascii="Arial" w:hAnsi="Arial" w:cs="Arial"/>
        </w:rPr>
      </w:pPr>
      <w:r w:rsidRPr="00B2545B">
        <w:rPr>
          <w:rFonts w:ascii="Arial" w:hAnsi="Arial" w:cs="Arial"/>
        </w:rPr>
        <w:t xml:space="preserve">The management of risks in the University is undertaken within a framework comprising: </w:t>
      </w:r>
    </w:p>
    <w:p w14:paraId="213AB04F" w14:textId="77777777" w:rsidR="009C0039" w:rsidRPr="009C0039" w:rsidRDefault="009C0039" w:rsidP="009C0039">
      <w:pPr>
        <w:spacing w:after="0" w:line="240" w:lineRule="auto"/>
        <w:rPr>
          <w:rFonts w:ascii="Arial" w:hAnsi="Arial" w:cs="Arial"/>
        </w:rPr>
      </w:pPr>
    </w:p>
    <w:p w14:paraId="638A8497" w14:textId="77777777" w:rsidR="00B2545B" w:rsidRPr="00B2545B" w:rsidRDefault="00B2545B" w:rsidP="009C0039">
      <w:pPr>
        <w:pStyle w:val="Default"/>
        <w:numPr>
          <w:ilvl w:val="0"/>
          <w:numId w:val="11"/>
        </w:numPr>
        <w:spacing w:after="14"/>
        <w:ind w:left="851" w:hanging="284"/>
        <w:rPr>
          <w:sz w:val="22"/>
          <w:szCs w:val="22"/>
        </w:rPr>
      </w:pPr>
      <w:r w:rsidRPr="00B2545B">
        <w:rPr>
          <w:sz w:val="22"/>
          <w:szCs w:val="22"/>
        </w:rPr>
        <w:t xml:space="preserve">the values, vision, </w:t>
      </w:r>
      <w:r w:rsidR="00B4108D">
        <w:rPr>
          <w:sz w:val="22"/>
          <w:szCs w:val="22"/>
        </w:rPr>
        <w:t xml:space="preserve">culture, </w:t>
      </w:r>
      <w:r w:rsidRPr="00B2545B">
        <w:rPr>
          <w:sz w:val="22"/>
          <w:szCs w:val="22"/>
        </w:rPr>
        <w:t>m</w:t>
      </w:r>
      <w:r w:rsidR="00B4108D">
        <w:rPr>
          <w:sz w:val="22"/>
          <w:szCs w:val="22"/>
        </w:rPr>
        <w:t>ission</w:t>
      </w:r>
      <w:r w:rsidRPr="00B2545B">
        <w:rPr>
          <w:sz w:val="22"/>
          <w:szCs w:val="22"/>
        </w:rPr>
        <w:t xml:space="preserve"> and goals of the University</w:t>
      </w:r>
      <w:r w:rsidR="00B4108D">
        <w:rPr>
          <w:sz w:val="22"/>
          <w:szCs w:val="22"/>
        </w:rPr>
        <w:t xml:space="preserve"> and its constituent organizations</w:t>
      </w:r>
      <w:r w:rsidRPr="00B2545B">
        <w:rPr>
          <w:sz w:val="22"/>
          <w:szCs w:val="22"/>
        </w:rPr>
        <w:t xml:space="preserve">; </w:t>
      </w:r>
    </w:p>
    <w:p w14:paraId="540D700B" w14:textId="77777777" w:rsidR="00B2545B" w:rsidRPr="00B2545B" w:rsidRDefault="00B2545B" w:rsidP="009C0039">
      <w:pPr>
        <w:pStyle w:val="Default"/>
        <w:numPr>
          <w:ilvl w:val="0"/>
          <w:numId w:val="11"/>
        </w:numPr>
        <w:spacing w:after="14"/>
        <w:ind w:left="851" w:hanging="284"/>
        <w:rPr>
          <w:sz w:val="22"/>
          <w:szCs w:val="22"/>
        </w:rPr>
      </w:pPr>
      <w:r w:rsidRPr="00B2545B">
        <w:rPr>
          <w:sz w:val="22"/>
          <w:szCs w:val="22"/>
        </w:rPr>
        <w:t>the University’s governance and reporting structures;</w:t>
      </w:r>
    </w:p>
    <w:p w14:paraId="22903203" w14:textId="77777777" w:rsidR="00B4108D" w:rsidRPr="00B2545B" w:rsidRDefault="00B4108D" w:rsidP="00B4108D">
      <w:pPr>
        <w:pStyle w:val="Default"/>
        <w:numPr>
          <w:ilvl w:val="0"/>
          <w:numId w:val="11"/>
        </w:numPr>
        <w:spacing w:after="14"/>
        <w:ind w:left="851" w:hanging="284"/>
        <w:rPr>
          <w:sz w:val="22"/>
          <w:szCs w:val="22"/>
        </w:rPr>
      </w:pPr>
      <w:r>
        <w:rPr>
          <w:sz w:val="22"/>
          <w:szCs w:val="22"/>
        </w:rPr>
        <w:t>th</w:t>
      </w:r>
      <w:r w:rsidR="00B654E4">
        <w:rPr>
          <w:sz w:val="22"/>
          <w:szCs w:val="22"/>
        </w:rPr>
        <w:t>is</w:t>
      </w:r>
      <w:r w:rsidRPr="00B2545B">
        <w:rPr>
          <w:sz w:val="22"/>
          <w:szCs w:val="22"/>
        </w:rPr>
        <w:t xml:space="preserve"> </w:t>
      </w:r>
      <w:r w:rsidRPr="0016491C">
        <w:rPr>
          <w:i/>
          <w:sz w:val="22"/>
          <w:szCs w:val="22"/>
        </w:rPr>
        <w:t>Risk Policy and Appetite</w:t>
      </w:r>
      <w:r w:rsidRPr="00B2545B">
        <w:rPr>
          <w:sz w:val="22"/>
          <w:szCs w:val="22"/>
        </w:rPr>
        <w:t xml:space="preserve"> statement issued by the Court; </w:t>
      </w:r>
    </w:p>
    <w:p w14:paraId="10DB52AB" w14:textId="77777777" w:rsidR="00B2545B" w:rsidRPr="00B2545B" w:rsidRDefault="00C94108" w:rsidP="009C0039">
      <w:pPr>
        <w:pStyle w:val="Default"/>
        <w:numPr>
          <w:ilvl w:val="0"/>
          <w:numId w:val="11"/>
        </w:numPr>
        <w:spacing w:after="14"/>
        <w:ind w:left="851" w:hanging="284"/>
        <w:rPr>
          <w:sz w:val="22"/>
          <w:szCs w:val="22"/>
        </w:rPr>
      </w:pPr>
      <w:hyperlink r:id="rId8" w:history="1">
        <w:r w:rsidR="00B2545B" w:rsidRPr="00B654E4">
          <w:rPr>
            <w:rStyle w:val="Hyperlink"/>
            <w:i/>
            <w:sz w:val="22"/>
            <w:szCs w:val="22"/>
          </w:rPr>
          <w:t>BS/ISO 31000:2018 Risk management – Guidance</w:t>
        </w:r>
        <w:r w:rsidR="00CF4910" w:rsidRPr="00B654E4">
          <w:rPr>
            <w:rStyle w:val="Hyperlink"/>
            <w:i/>
            <w:sz w:val="22"/>
            <w:szCs w:val="22"/>
          </w:rPr>
          <w:t xml:space="preserve"> standard</w:t>
        </w:r>
      </w:hyperlink>
      <w:r w:rsidR="00B2545B" w:rsidRPr="00B2545B">
        <w:rPr>
          <w:sz w:val="22"/>
          <w:szCs w:val="22"/>
        </w:rPr>
        <w:t>, which defines the risk management process adopted by the University;</w:t>
      </w:r>
    </w:p>
    <w:p w14:paraId="48FF18BA" w14:textId="77777777" w:rsidR="00B4108D" w:rsidRDefault="009C0039" w:rsidP="009C0039">
      <w:pPr>
        <w:pStyle w:val="Default"/>
        <w:numPr>
          <w:ilvl w:val="0"/>
          <w:numId w:val="11"/>
        </w:numPr>
        <w:spacing w:after="14"/>
        <w:ind w:left="851" w:hanging="284"/>
        <w:rPr>
          <w:sz w:val="22"/>
          <w:szCs w:val="22"/>
        </w:rPr>
      </w:pPr>
      <w:r>
        <w:rPr>
          <w:sz w:val="22"/>
          <w:szCs w:val="22"/>
        </w:rPr>
        <w:t xml:space="preserve">the </w:t>
      </w:r>
      <w:r w:rsidRPr="0016491C">
        <w:rPr>
          <w:i/>
          <w:sz w:val="22"/>
          <w:szCs w:val="22"/>
        </w:rPr>
        <w:t>University Risk Management Guidance Manual</w:t>
      </w:r>
      <w:r>
        <w:rPr>
          <w:sz w:val="22"/>
          <w:szCs w:val="22"/>
        </w:rPr>
        <w:t xml:space="preserve">; </w:t>
      </w:r>
    </w:p>
    <w:p w14:paraId="7D6470A8" w14:textId="77777777" w:rsidR="00B2545B" w:rsidRPr="00B2545B" w:rsidRDefault="003024EB" w:rsidP="009C0039">
      <w:pPr>
        <w:pStyle w:val="Default"/>
        <w:numPr>
          <w:ilvl w:val="0"/>
          <w:numId w:val="11"/>
        </w:numPr>
        <w:spacing w:after="14"/>
        <w:ind w:left="851" w:hanging="284"/>
        <w:rPr>
          <w:sz w:val="22"/>
          <w:szCs w:val="22"/>
        </w:rPr>
      </w:pPr>
      <w:r>
        <w:rPr>
          <w:sz w:val="22"/>
          <w:szCs w:val="22"/>
        </w:rPr>
        <w:t xml:space="preserve">supporting tools and documents, such as risk register templates, likelihood and consequence criteria, and partner policies such as insurance, procurement, emergency management and business continuity, security, IT, and financial control policies; and </w:t>
      </w:r>
    </w:p>
    <w:p w14:paraId="1142DC1D" w14:textId="77777777" w:rsidR="00B2545B" w:rsidRPr="00B2545B" w:rsidRDefault="009C0039" w:rsidP="009C0039">
      <w:pPr>
        <w:pStyle w:val="Default"/>
        <w:numPr>
          <w:ilvl w:val="0"/>
          <w:numId w:val="11"/>
        </w:numPr>
        <w:spacing w:after="14"/>
        <w:ind w:left="851" w:hanging="284"/>
        <w:rPr>
          <w:sz w:val="22"/>
          <w:szCs w:val="22"/>
        </w:rPr>
      </w:pPr>
      <w:r>
        <w:rPr>
          <w:sz w:val="22"/>
          <w:szCs w:val="22"/>
        </w:rPr>
        <w:t xml:space="preserve">the </w:t>
      </w:r>
      <w:r w:rsidR="00B2545B" w:rsidRPr="00B2545B">
        <w:rPr>
          <w:sz w:val="22"/>
          <w:szCs w:val="22"/>
        </w:rPr>
        <w:t>assurance and audit processes</w:t>
      </w:r>
      <w:r>
        <w:rPr>
          <w:sz w:val="22"/>
          <w:szCs w:val="22"/>
        </w:rPr>
        <w:t>.</w:t>
      </w:r>
      <w:r w:rsidR="00B2545B" w:rsidRPr="00B2545B">
        <w:rPr>
          <w:sz w:val="22"/>
          <w:szCs w:val="22"/>
        </w:rPr>
        <w:t xml:space="preserve"> </w:t>
      </w:r>
    </w:p>
    <w:p w14:paraId="4D02FA68" w14:textId="77777777" w:rsidR="00F67107" w:rsidRPr="00B2545B" w:rsidRDefault="00F67107" w:rsidP="00F67107">
      <w:pPr>
        <w:pStyle w:val="ListParagraph"/>
        <w:ind w:left="567"/>
        <w:rPr>
          <w:rFonts w:ascii="Arial" w:hAnsi="Arial" w:cs="Arial"/>
        </w:rPr>
      </w:pPr>
    </w:p>
    <w:p w14:paraId="064D58A1" w14:textId="77777777" w:rsidR="004B6FE3" w:rsidRPr="008D5390" w:rsidRDefault="004B6FE3" w:rsidP="00C55E2A">
      <w:pPr>
        <w:pStyle w:val="ListParagraph"/>
        <w:spacing w:after="0" w:line="240" w:lineRule="auto"/>
        <w:ind w:left="567"/>
        <w:rPr>
          <w:rFonts w:ascii="Arial" w:hAnsi="Arial" w:cs="Arial"/>
          <w:b/>
          <w:u w:val="single"/>
        </w:rPr>
      </w:pPr>
      <w:r w:rsidRPr="008D5390">
        <w:rPr>
          <w:rFonts w:ascii="Arial" w:hAnsi="Arial" w:cs="Arial"/>
          <w:b/>
          <w:u w:val="single"/>
        </w:rPr>
        <w:t>Rol</w:t>
      </w:r>
      <w:r w:rsidR="004B4C0A">
        <w:rPr>
          <w:rFonts w:ascii="Arial" w:hAnsi="Arial" w:cs="Arial"/>
          <w:b/>
          <w:u w:val="single"/>
        </w:rPr>
        <w:t>e</w:t>
      </w:r>
      <w:r w:rsidRPr="008D5390">
        <w:rPr>
          <w:rFonts w:ascii="Arial" w:hAnsi="Arial" w:cs="Arial"/>
          <w:b/>
          <w:u w:val="single"/>
        </w:rPr>
        <w:t>s and Responsibilities</w:t>
      </w:r>
    </w:p>
    <w:p w14:paraId="604DBABB" w14:textId="77777777" w:rsidR="004B6FE3" w:rsidRPr="008D5390" w:rsidRDefault="004B6FE3" w:rsidP="00C55E2A">
      <w:pPr>
        <w:pStyle w:val="ListParagraph"/>
        <w:spacing w:after="0" w:line="240" w:lineRule="auto"/>
        <w:ind w:left="567"/>
        <w:rPr>
          <w:rFonts w:ascii="Arial" w:hAnsi="Arial" w:cs="Arial"/>
        </w:rPr>
      </w:pPr>
    </w:p>
    <w:p w14:paraId="21017226" w14:textId="77777777" w:rsidR="00C55E2A" w:rsidRPr="008D5390" w:rsidRDefault="00C55E2A" w:rsidP="00C55E2A">
      <w:pPr>
        <w:pStyle w:val="Default"/>
        <w:ind w:left="567"/>
        <w:rPr>
          <w:sz w:val="22"/>
          <w:szCs w:val="22"/>
        </w:rPr>
      </w:pPr>
      <w:r w:rsidRPr="008D5390">
        <w:rPr>
          <w:sz w:val="22"/>
          <w:szCs w:val="22"/>
        </w:rPr>
        <w:t xml:space="preserve">An effective risk management programme should permeate existing management processes and provide assurance over the management of key risks. It requires interdependence between strategic and operational objectives, management processes, governance arrangements and other policies. </w:t>
      </w:r>
    </w:p>
    <w:p w14:paraId="4F84E9F4" w14:textId="77777777" w:rsidR="00C55E2A" w:rsidRPr="008D5390" w:rsidRDefault="00C55E2A" w:rsidP="00C55E2A">
      <w:pPr>
        <w:pStyle w:val="Default"/>
        <w:ind w:left="567"/>
        <w:rPr>
          <w:sz w:val="22"/>
          <w:szCs w:val="22"/>
        </w:rPr>
      </w:pPr>
    </w:p>
    <w:p w14:paraId="391020CA" w14:textId="77777777" w:rsidR="00C55E2A" w:rsidRPr="008D5390" w:rsidRDefault="00C55E2A" w:rsidP="00C55E2A">
      <w:pPr>
        <w:pStyle w:val="Default"/>
        <w:ind w:left="567"/>
        <w:rPr>
          <w:sz w:val="22"/>
          <w:szCs w:val="22"/>
        </w:rPr>
      </w:pPr>
      <w:r w:rsidRPr="008D5390">
        <w:rPr>
          <w:sz w:val="22"/>
          <w:szCs w:val="22"/>
        </w:rPr>
        <w:t xml:space="preserve">The Court recognises that in order to pursue its objectives and to take advantage of opportunities, the University cannot avoid taking risks, and that no risk management programme can aim to eliminate risk fully. Accordingly, the University’s approach to risk </w:t>
      </w:r>
      <w:r w:rsidRPr="008D5390">
        <w:rPr>
          <w:sz w:val="22"/>
          <w:szCs w:val="22"/>
        </w:rPr>
        <w:lastRenderedPageBreak/>
        <w:t xml:space="preserve">management is intended to increase institutional risk awareness and understanding, and thus support taking risks where appropriate, in a </w:t>
      </w:r>
      <w:r w:rsidR="00CF4910">
        <w:rPr>
          <w:sz w:val="22"/>
          <w:szCs w:val="22"/>
        </w:rPr>
        <w:t xml:space="preserve">conscious, </w:t>
      </w:r>
      <w:r w:rsidRPr="008D5390">
        <w:rPr>
          <w:sz w:val="22"/>
          <w:szCs w:val="22"/>
        </w:rPr>
        <w:t xml:space="preserve">structured and controlled manner. Risk management must be embedded throughout the University. It is not the sole responsibility of senior managers but should be exercised by all staff, particularly those with management or operational responsibilities. </w:t>
      </w:r>
    </w:p>
    <w:p w14:paraId="3AC6B57B" w14:textId="77777777" w:rsidR="00C55E2A" w:rsidRPr="008D5390" w:rsidRDefault="00C55E2A" w:rsidP="00C55E2A">
      <w:pPr>
        <w:pStyle w:val="Default"/>
        <w:ind w:left="567"/>
        <w:rPr>
          <w:sz w:val="22"/>
          <w:szCs w:val="22"/>
        </w:rPr>
      </w:pPr>
    </w:p>
    <w:p w14:paraId="742D1030" w14:textId="77777777" w:rsidR="00C55E2A" w:rsidRPr="00E837FF" w:rsidRDefault="00C55E2A" w:rsidP="00C55E2A">
      <w:pPr>
        <w:pStyle w:val="Default"/>
        <w:ind w:left="567"/>
        <w:rPr>
          <w:sz w:val="22"/>
          <w:szCs w:val="22"/>
          <w:u w:val="single"/>
        </w:rPr>
      </w:pPr>
      <w:r w:rsidRPr="00E837FF">
        <w:rPr>
          <w:bCs/>
          <w:sz w:val="22"/>
          <w:szCs w:val="22"/>
          <w:u w:val="single"/>
        </w:rPr>
        <w:t xml:space="preserve">Role of </w:t>
      </w:r>
      <w:r w:rsidR="00E837FF">
        <w:rPr>
          <w:bCs/>
          <w:sz w:val="22"/>
          <w:szCs w:val="22"/>
          <w:u w:val="single"/>
        </w:rPr>
        <w:t xml:space="preserve">the </w:t>
      </w:r>
      <w:r w:rsidRPr="00E837FF">
        <w:rPr>
          <w:bCs/>
          <w:sz w:val="22"/>
          <w:szCs w:val="22"/>
          <w:u w:val="single"/>
        </w:rPr>
        <w:t xml:space="preserve">Court </w:t>
      </w:r>
    </w:p>
    <w:p w14:paraId="7FD2FFD7" w14:textId="77777777" w:rsidR="0003000F" w:rsidRPr="00E837FF" w:rsidRDefault="0003000F" w:rsidP="00762CCF">
      <w:pPr>
        <w:pStyle w:val="Default"/>
        <w:ind w:left="567"/>
        <w:rPr>
          <w:sz w:val="22"/>
          <w:szCs w:val="22"/>
        </w:rPr>
      </w:pPr>
    </w:p>
    <w:p w14:paraId="5CADC56D" w14:textId="77777777" w:rsidR="002B7E6A" w:rsidRPr="00E837FF" w:rsidRDefault="00C55E2A" w:rsidP="00762CCF">
      <w:pPr>
        <w:autoSpaceDE w:val="0"/>
        <w:autoSpaceDN w:val="0"/>
        <w:adjustRightInd w:val="0"/>
        <w:spacing w:after="0" w:line="240" w:lineRule="auto"/>
        <w:ind w:left="567"/>
        <w:rPr>
          <w:rFonts w:ascii="Arial" w:hAnsi="Arial" w:cs="Arial"/>
        </w:rPr>
      </w:pPr>
      <w:r w:rsidRPr="00E837FF">
        <w:rPr>
          <w:rFonts w:ascii="Arial" w:hAnsi="Arial" w:cs="Arial"/>
        </w:rPr>
        <w:t xml:space="preserve">Court has a </w:t>
      </w:r>
      <w:r w:rsidR="002B7E6A" w:rsidRPr="00E837FF">
        <w:rPr>
          <w:rFonts w:ascii="Arial" w:hAnsi="Arial" w:cs="Arial"/>
        </w:rPr>
        <w:t>requirement under the Higher Education Governance (Scotland) Act</w:t>
      </w:r>
    </w:p>
    <w:p w14:paraId="117BDD36" w14:textId="77777777" w:rsidR="0003000F" w:rsidRPr="00E837FF" w:rsidRDefault="002B7E6A" w:rsidP="00271763">
      <w:pPr>
        <w:autoSpaceDE w:val="0"/>
        <w:autoSpaceDN w:val="0"/>
        <w:adjustRightInd w:val="0"/>
        <w:spacing w:after="0" w:line="240" w:lineRule="auto"/>
        <w:ind w:left="567"/>
        <w:rPr>
          <w:rFonts w:ascii="Arial" w:hAnsi="Arial" w:cs="Arial"/>
        </w:rPr>
      </w:pPr>
      <w:r w:rsidRPr="00E837FF">
        <w:rPr>
          <w:rFonts w:ascii="Arial" w:hAnsi="Arial" w:cs="Arial"/>
        </w:rPr>
        <w:t>2016</w:t>
      </w:r>
      <w:r w:rsidR="00762CCF" w:rsidRPr="00E837FF">
        <w:rPr>
          <w:rFonts w:ascii="Arial" w:hAnsi="Arial" w:cs="Arial"/>
        </w:rPr>
        <w:t xml:space="preserve"> and the </w:t>
      </w:r>
      <w:r w:rsidR="00762CCF" w:rsidRPr="00E837FF">
        <w:rPr>
          <w:rFonts w:ascii="Arial" w:hAnsi="Arial" w:cs="Arial"/>
          <w:bCs/>
        </w:rPr>
        <w:t>Scottish Code of Good Higher Education Governance (2017 edition)</w:t>
      </w:r>
      <w:r w:rsidRPr="00E837FF">
        <w:rPr>
          <w:rFonts w:ascii="Arial" w:hAnsi="Arial" w:cs="Arial"/>
        </w:rPr>
        <w:t xml:space="preserve"> to ensure</w:t>
      </w:r>
      <w:r w:rsidR="00762CCF" w:rsidRPr="00E837FF">
        <w:rPr>
          <w:rFonts w:ascii="Arial" w:hAnsi="Arial" w:cs="Arial"/>
        </w:rPr>
        <w:t xml:space="preserve"> the establishment and monitoring of systems of control and accountability, including risk management.</w:t>
      </w:r>
      <w:r w:rsidRPr="00E837FF">
        <w:rPr>
          <w:rFonts w:ascii="Arial" w:hAnsi="Arial" w:cs="Arial"/>
        </w:rPr>
        <w:t xml:space="preserve"> </w:t>
      </w:r>
      <w:r w:rsidR="00762CCF" w:rsidRPr="00E837FF">
        <w:rPr>
          <w:rFonts w:ascii="Arial" w:hAnsi="Arial" w:cs="Arial"/>
        </w:rPr>
        <w:t>Accordingly, i</w:t>
      </w:r>
      <w:r w:rsidR="00C55E2A" w:rsidRPr="00E837FF">
        <w:rPr>
          <w:rFonts w:ascii="Arial" w:hAnsi="Arial" w:cs="Arial"/>
        </w:rPr>
        <w:t xml:space="preserve">ts role is to: </w:t>
      </w:r>
    </w:p>
    <w:p w14:paraId="57E228B2" w14:textId="77777777" w:rsidR="0003000F" w:rsidRPr="00E837FF" w:rsidRDefault="0003000F" w:rsidP="0003000F">
      <w:pPr>
        <w:pStyle w:val="Default"/>
        <w:ind w:left="567"/>
        <w:rPr>
          <w:sz w:val="22"/>
          <w:szCs w:val="22"/>
        </w:rPr>
      </w:pPr>
    </w:p>
    <w:p w14:paraId="1A402AD4" w14:textId="77777777" w:rsidR="00D575EE" w:rsidRPr="00E837FF" w:rsidRDefault="00D575EE" w:rsidP="00D575EE">
      <w:pPr>
        <w:pStyle w:val="ListParagraph"/>
        <w:numPr>
          <w:ilvl w:val="0"/>
          <w:numId w:val="16"/>
        </w:numPr>
        <w:autoSpaceDE w:val="0"/>
        <w:autoSpaceDN w:val="0"/>
        <w:adjustRightInd w:val="0"/>
        <w:spacing w:after="0" w:line="240" w:lineRule="auto"/>
        <w:rPr>
          <w:rFonts w:ascii="Arial" w:hAnsi="Arial" w:cs="Arial"/>
        </w:rPr>
      </w:pPr>
      <w:r w:rsidRPr="00E837FF">
        <w:rPr>
          <w:rFonts w:ascii="Arial" w:hAnsi="Arial" w:cs="Arial"/>
        </w:rPr>
        <w:t xml:space="preserve">Set the tone and influence the culture of risk management within the institution; </w:t>
      </w:r>
    </w:p>
    <w:p w14:paraId="2AB7CBA7" w14:textId="77777777" w:rsidR="00D575EE" w:rsidRPr="00E837FF" w:rsidRDefault="00D575EE" w:rsidP="00D575EE">
      <w:pPr>
        <w:pStyle w:val="ListParagraph"/>
        <w:numPr>
          <w:ilvl w:val="0"/>
          <w:numId w:val="16"/>
        </w:numPr>
        <w:autoSpaceDE w:val="0"/>
        <w:autoSpaceDN w:val="0"/>
        <w:adjustRightInd w:val="0"/>
        <w:spacing w:after="0" w:line="240" w:lineRule="auto"/>
        <w:rPr>
          <w:rFonts w:ascii="Arial" w:hAnsi="Arial" w:cs="Arial"/>
        </w:rPr>
      </w:pPr>
      <w:r w:rsidRPr="00E837FF">
        <w:rPr>
          <w:rFonts w:ascii="Arial" w:hAnsi="Arial" w:cs="Arial"/>
        </w:rPr>
        <w:t>Determine the nature and extent of the principal risks it is willing to take in pursuing the University’s strategic plan. This includes determining what types of risk are acceptable and which are not, and providing a risk appetite framework within which the appropriate level of exposure to risk can be determined in particular circumstances;</w:t>
      </w:r>
    </w:p>
    <w:p w14:paraId="680C87D4" w14:textId="77777777" w:rsidR="00D575EE" w:rsidRPr="00E837FF" w:rsidRDefault="00D575EE" w:rsidP="00D575EE">
      <w:pPr>
        <w:pStyle w:val="Default"/>
        <w:numPr>
          <w:ilvl w:val="0"/>
          <w:numId w:val="16"/>
        </w:numPr>
        <w:rPr>
          <w:sz w:val="22"/>
          <w:szCs w:val="22"/>
        </w:rPr>
      </w:pPr>
      <w:r w:rsidRPr="00E837FF">
        <w:rPr>
          <w:sz w:val="22"/>
          <w:szCs w:val="22"/>
        </w:rPr>
        <w:t xml:space="preserve">Approve major decisions affecting the University’s risk profile or exposure. </w:t>
      </w:r>
    </w:p>
    <w:p w14:paraId="43C3B8C4" w14:textId="77777777" w:rsidR="00D575EE" w:rsidRPr="00E837FF" w:rsidRDefault="00D575EE" w:rsidP="00D575EE">
      <w:pPr>
        <w:pStyle w:val="ListParagraph"/>
        <w:numPr>
          <w:ilvl w:val="0"/>
          <w:numId w:val="16"/>
        </w:numPr>
        <w:autoSpaceDE w:val="0"/>
        <w:autoSpaceDN w:val="0"/>
        <w:adjustRightInd w:val="0"/>
        <w:spacing w:after="0" w:line="240" w:lineRule="auto"/>
        <w:rPr>
          <w:rFonts w:ascii="Arial" w:hAnsi="Arial" w:cs="Arial"/>
        </w:rPr>
      </w:pPr>
      <w:r w:rsidRPr="00E837FF">
        <w:rPr>
          <w:rFonts w:ascii="Arial" w:hAnsi="Arial" w:cs="Arial"/>
        </w:rPr>
        <w:t>Ensure the establishment and maintenance of a risk register;</w:t>
      </w:r>
    </w:p>
    <w:p w14:paraId="46940E7F" w14:textId="77777777" w:rsidR="00D575EE" w:rsidRPr="00E837FF" w:rsidRDefault="00D575EE" w:rsidP="00D575EE">
      <w:pPr>
        <w:pStyle w:val="Default"/>
        <w:numPr>
          <w:ilvl w:val="0"/>
          <w:numId w:val="16"/>
        </w:numPr>
        <w:rPr>
          <w:sz w:val="22"/>
          <w:szCs w:val="22"/>
        </w:rPr>
      </w:pPr>
      <w:r w:rsidRPr="00E837FF">
        <w:rPr>
          <w:sz w:val="22"/>
          <w:szCs w:val="22"/>
        </w:rPr>
        <w:t xml:space="preserve">Provide an annual disclosure about risk management in audited financial statements and submit an annual Corporate Governance statement to the Funding Council following advice from the Audit </w:t>
      </w:r>
      <w:r w:rsidR="00D66912">
        <w:rPr>
          <w:sz w:val="22"/>
          <w:szCs w:val="22"/>
        </w:rPr>
        <w:t xml:space="preserve">&amp; Risk </w:t>
      </w:r>
      <w:r w:rsidRPr="00E837FF">
        <w:rPr>
          <w:sz w:val="22"/>
          <w:szCs w:val="22"/>
        </w:rPr>
        <w:t>Committee, Risk Management Committee, senior management, external and internal audit.</w:t>
      </w:r>
    </w:p>
    <w:p w14:paraId="38FCE911" w14:textId="77777777" w:rsidR="00C55E2A" w:rsidRPr="008D5390" w:rsidRDefault="00C55E2A" w:rsidP="00D575EE">
      <w:pPr>
        <w:pStyle w:val="Default"/>
        <w:ind w:left="567"/>
        <w:rPr>
          <w:sz w:val="22"/>
          <w:szCs w:val="22"/>
        </w:rPr>
      </w:pPr>
    </w:p>
    <w:p w14:paraId="5985FD3A" w14:textId="77777777" w:rsidR="00C55E2A" w:rsidRPr="008D5390" w:rsidRDefault="00C55E2A" w:rsidP="00C55E2A">
      <w:pPr>
        <w:pStyle w:val="Default"/>
        <w:ind w:left="567"/>
        <w:rPr>
          <w:sz w:val="22"/>
          <w:szCs w:val="22"/>
          <w:u w:val="single"/>
        </w:rPr>
      </w:pPr>
      <w:r w:rsidRPr="008D5390">
        <w:rPr>
          <w:bCs/>
          <w:sz w:val="22"/>
          <w:szCs w:val="22"/>
          <w:u w:val="single"/>
        </w:rPr>
        <w:t xml:space="preserve">Role of the </w:t>
      </w:r>
      <w:r w:rsidR="00F85115">
        <w:rPr>
          <w:bCs/>
          <w:sz w:val="22"/>
          <w:szCs w:val="22"/>
          <w:u w:val="single"/>
        </w:rPr>
        <w:t>University Executive</w:t>
      </w:r>
      <w:r w:rsidRPr="008D5390">
        <w:rPr>
          <w:bCs/>
          <w:sz w:val="22"/>
          <w:szCs w:val="22"/>
          <w:u w:val="single"/>
        </w:rPr>
        <w:t xml:space="preserve"> </w:t>
      </w:r>
      <w:r w:rsidR="007A23CD">
        <w:rPr>
          <w:bCs/>
          <w:sz w:val="22"/>
          <w:szCs w:val="22"/>
          <w:u w:val="single"/>
        </w:rPr>
        <w:t>(</w:t>
      </w:r>
      <w:r w:rsidR="004B4C0A">
        <w:rPr>
          <w:bCs/>
          <w:sz w:val="22"/>
          <w:szCs w:val="22"/>
          <w:u w:val="single"/>
        </w:rPr>
        <w:t>UE</w:t>
      </w:r>
      <w:r w:rsidR="007A23CD">
        <w:rPr>
          <w:bCs/>
          <w:sz w:val="22"/>
          <w:szCs w:val="22"/>
          <w:u w:val="single"/>
        </w:rPr>
        <w:t>)</w:t>
      </w:r>
    </w:p>
    <w:p w14:paraId="045081ED" w14:textId="77777777" w:rsidR="0003000F" w:rsidRPr="008D5390" w:rsidRDefault="0003000F" w:rsidP="0003000F">
      <w:pPr>
        <w:pStyle w:val="Default"/>
        <w:tabs>
          <w:tab w:val="left" w:pos="3900"/>
        </w:tabs>
        <w:ind w:left="567"/>
        <w:rPr>
          <w:sz w:val="22"/>
          <w:szCs w:val="22"/>
        </w:rPr>
      </w:pPr>
    </w:p>
    <w:p w14:paraId="1F950B22" w14:textId="77777777" w:rsidR="0003000F" w:rsidRPr="008D5390" w:rsidRDefault="00F85115" w:rsidP="0003000F">
      <w:pPr>
        <w:pStyle w:val="Default"/>
        <w:tabs>
          <w:tab w:val="left" w:pos="3900"/>
        </w:tabs>
        <w:ind w:left="567"/>
        <w:rPr>
          <w:sz w:val="22"/>
          <w:szCs w:val="22"/>
        </w:rPr>
      </w:pPr>
      <w:r>
        <w:rPr>
          <w:sz w:val="22"/>
          <w:szCs w:val="22"/>
        </w:rPr>
        <w:t xml:space="preserve">The </w:t>
      </w:r>
      <w:r w:rsidR="004B4C0A">
        <w:rPr>
          <w:sz w:val="22"/>
          <w:szCs w:val="22"/>
        </w:rPr>
        <w:t>UE</w:t>
      </w:r>
      <w:r w:rsidR="0003000F" w:rsidRPr="008D5390">
        <w:rPr>
          <w:sz w:val="22"/>
          <w:szCs w:val="22"/>
        </w:rPr>
        <w:t xml:space="preserve"> is responsible for: </w:t>
      </w:r>
      <w:r w:rsidR="0003000F" w:rsidRPr="008D5390">
        <w:rPr>
          <w:sz w:val="22"/>
          <w:szCs w:val="22"/>
        </w:rPr>
        <w:tab/>
      </w:r>
    </w:p>
    <w:p w14:paraId="33D8ED5F" w14:textId="77777777" w:rsidR="0003000F" w:rsidRPr="008D5390" w:rsidRDefault="0003000F" w:rsidP="0003000F">
      <w:pPr>
        <w:pStyle w:val="Default"/>
        <w:tabs>
          <w:tab w:val="left" w:pos="3900"/>
        </w:tabs>
        <w:ind w:left="567"/>
        <w:rPr>
          <w:sz w:val="22"/>
          <w:szCs w:val="22"/>
        </w:rPr>
      </w:pPr>
    </w:p>
    <w:p w14:paraId="24171D12" w14:textId="77777777" w:rsidR="0003000F" w:rsidRPr="008D5390" w:rsidRDefault="00C55E2A" w:rsidP="0003000F">
      <w:pPr>
        <w:pStyle w:val="Default"/>
        <w:numPr>
          <w:ilvl w:val="0"/>
          <w:numId w:val="18"/>
        </w:numPr>
        <w:rPr>
          <w:sz w:val="22"/>
          <w:szCs w:val="22"/>
        </w:rPr>
      </w:pPr>
      <w:r w:rsidRPr="008D5390">
        <w:rPr>
          <w:sz w:val="22"/>
          <w:szCs w:val="22"/>
        </w:rPr>
        <w:t>Implementing Court’s risk management policy.</w:t>
      </w:r>
      <w:r w:rsidR="0003000F" w:rsidRPr="008D5390">
        <w:rPr>
          <w:sz w:val="22"/>
          <w:szCs w:val="22"/>
        </w:rPr>
        <w:t xml:space="preserve"> </w:t>
      </w:r>
    </w:p>
    <w:p w14:paraId="25C300ED" w14:textId="77777777" w:rsidR="0003000F" w:rsidRPr="008D5390" w:rsidRDefault="00C55E2A" w:rsidP="0003000F">
      <w:pPr>
        <w:pStyle w:val="Default"/>
        <w:numPr>
          <w:ilvl w:val="0"/>
          <w:numId w:val="18"/>
        </w:numPr>
        <w:rPr>
          <w:sz w:val="22"/>
          <w:szCs w:val="22"/>
        </w:rPr>
      </w:pPr>
      <w:r w:rsidRPr="008D5390">
        <w:rPr>
          <w:sz w:val="22"/>
          <w:szCs w:val="22"/>
        </w:rPr>
        <w:t xml:space="preserve">Ensuring that the major risks associated with significant proposals put to it have been properly considered and can be appropriately managed within the policy framework set by Court. </w:t>
      </w:r>
    </w:p>
    <w:p w14:paraId="45073F37" w14:textId="77777777" w:rsidR="0003000F" w:rsidRPr="008D5390" w:rsidRDefault="00C55E2A" w:rsidP="0003000F">
      <w:pPr>
        <w:pStyle w:val="Default"/>
        <w:numPr>
          <w:ilvl w:val="0"/>
          <w:numId w:val="18"/>
        </w:numPr>
        <w:rPr>
          <w:sz w:val="22"/>
          <w:szCs w:val="22"/>
        </w:rPr>
      </w:pPr>
      <w:r w:rsidRPr="008D5390">
        <w:rPr>
          <w:sz w:val="22"/>
          <w:szCs w:val="22"/>
        </w:rPr>
        <w:t xml:space="preserve">Ensuring that corporate risks are properly managed, reviewing evidence to this effect and ensuring measurement of results as appropriate. </w:t>
      </w:r>
    </w:p>
    <w:p w14:paraId="421106E2" w14:textId="77777777" w:rsidR="00C55E2A" w:rsidRPr="008D5390" w:rsidRDefault="00C55E2A" w:rsidP="0003000F">
      <w:pPr>
        <w:pStyle w:val="Default"/>
        <w:numPr>
          <w:ilvl w:val="0"/>
          <w:numId w:val="18"/>
        </w:numPr>
        <w:rPr>
          <w:sz w:val="22"/>
          <w:szCs w:val="22"/>
        </w:rPr>
      </w:pPr>
      <w:r w:rsidRPr="008D5390">
        <w:rPr>
          <w:sz w:val="22"/>
          <w:szCs w:val="22"/>
        </w:rPr>
        <w:t xml:space="preserve">Communicating University policy and information about the risk management programme to all staff, subsidiary organisations and external partners. </w:t>
      </w:r>
    </w:p>
    <w:p w14:paraId="2241E724" w14:textId="77777777" w:rsidR="00C55E2A" w:rsidRPr="008D5390" w:rsidRDefault="00C55E2A" w:rsidP="00C55E2A">
      <w:pPr>
        <w:pStyle w:val="Default"/>
        <w:ind w:left="567"/>
        <w:rPr>
          <w:sz w:val="22"/>
          <w:szCs w:val="22"/>
        </w:rPr>
      </w:pPr>
    </w:p>
    <w:p w14:paraId="554D1E27" w14:textId="77777777" w:rsidR="008D5390" w:rsidRPr="008D5390" w:rsidRDefault="00C55E2A" w:rsidP="008D5390">
      <w:pPr>
        <w:pStyle w:val="Default"/>
        <w:ind w:left="567"/>
        <w:rPr>
          <w:bCs/>
          <w:sz w:val="22"/>
          <w:szCs w:val="22"/>
          <w:u w:val="single"/>
        </w:rPr>
      </w:pPr>
      <w:r w:rsidRPr="008D5390">
        <w:rPr>
          <w:bCs/>
          <w:sz w:val="22"/>
          <w:szCs w:val="22"/>
          <w:u w:val="single"/>
        </w:rPr>
        <w:t xml:space="preserve">Roles of Heads of Colleges, Schools and </w:t>
      </w:r>
      <w:r w:rsidR="00026931">
        <w:rPr>
          <w:bCs/>
          <w:sz w:val="22"/>
          <w:szCs w:val="22"/>
          <w:u w:val="single"/>
        </w:rPr>
        <w:t>Professional</w:t>
      </w:r>
      <w:r w:rsidRPr="008D5390">
        <w:rPr>
          <w:bCs/>
          <w:sz w:val="22"/>
          <w:szCs w:val="22"/>
          <w:u w:val="single"/>
        </w:rPr>
        <w:t xml:space="preserve"> Services</w:t>
      </w:r>
    </w:p>
    <w:p w14:paraId="0A8AA25A" w14:textId="77777777" w:rsidR="008D5390" w:rsidRDefault="008D5390" w:rsidP="008D5390">
      <w:pPr>
        <w:pStyle w:val="Default"/>
        <w:ind w:left="567"/>
        <w:rPr>
          <w:bCs/>
          <w:sz w:val="22"/>
          <w:szCs w:val="22"/>
        </w:rPr>
      </w:pPr>
    </w:p>
    <w:p w14:paraId="0383048E" w14:textId="77777777" w:rsidR="008D5390" w:rsidRDefault="00C55E2A" w:rsidP="008D5390">
      <w:pPr>
        <w:pStyle w:val="Default"/>
        <w:ind w:left="567"/>
        <w:rPr>
          <w:sz w:val="22"/>
          <w:szCs w:val="22"/>
        </w:rPr>
      </w:pPr>
      <w:r w:rsidRPr="008D5390">
        <w:rPr>
          <w:sz w:val="22"/>
          <w:szCs w:val="22"/>
        </w:rPr>
        <w:t xml:space="preserve">Responsibility for identifying and managing the risks in the University, as in any other organisation, lies with the management of the University. Heads of Colleges, Schools, and </w:t>
      </w:r>
      <w:r w:rsidR="00026931">
        <w:rPr>
          <w:sz w:val="22"/>
          <w:szCs w:val="22"/>
        </w:rPr>
        <w:t>Professional</w:t>
      </w:r>
      <w:r w:rsidRPr="008D5390">
        <w:rPr>
          <w:sz w:val="22"/>
          <w:szCs w:val="22"/>
        </w:rPr>
        <w:t xml:space="preserve"> Services are responsible for</w:t>
      </w:r>
      <w:r w:rsidR="008D5390">
        <w:rPr>
          <w:sz w:val="22"/>
          <w:szCs w:val="22"/>
        </w:rPr>
        <w:t>:</w:t>
      </w:r>
    </w:p>
    <w:p w14:paraId="5452755B" w14:textId="77777777" w:rsidR="008D5390" w:rsidRDefault="008D5390" w:rsidP="008D5390">
      <w:pPr>
        <w:pStyle w:val="Default"/>
        <w:ind w:left="567"/>
        <w:rPr>
          <w:sz w:val="22"/>
          <w:szCs w:val="22"/>
        </w:rPr>
      </w:pPr>
    </w:p>
    <w:p w14:paraId="7A6CFF9E" w14:textId="77777777" w:rsidR="00A243F7" w:rsidRPr="00A243F7" w:rsidRDefault="00A243F7" w:rsidP="008D5390">
      <w:pPr>
        <w:pStyle w:val="Default"/>
        <w:numPr>
          <w:ilvl w:val="0"/>
          <w:numId w:val="22"/>
        </w:numPr>
        <w:rPr>
          <w:bCs/>
          <w:sz w:val="22"/>
          <w:szCs w:val="22"/>
        </w:rPr>
      </w:pPr>
      <w:r>
        <w:rPr>
          <w:bCs/>
          <w:sz w:val="22"/>
          <w:szCs w:val="22"/>
        </w:rPr>
        <w:t>Appointing a senior manager to coordinate risk management within their organization.</w:t>
      </w:r>
    </w:p>
    <w:p w14:paraId="42974F41" w14:textId="77777777" w:rsidR="0003000F" w:rsidRPr="00301DC9" w:rsidRDefault="008D5390" w:rsidP="00D575EE">
      <w:pPr>
        <w:pStyle w:val="Default"/>
        <w:numPr>
          <w:ilvl w:val="0"/>
          <w:numId w:val="22"/>
        </w:numPr>
        <w:rPr>
          <w:bCs/>
          <w:sz w:val="22"/>
          <w:szCs w:val="22"/>
        </w:rPr>
      </w:pPr>
      <w:r w:rsidRPr="00D575EE">
        <w:rPr>
          <w:sz w:val="22"/>
          <w:szCs w:val="22"/>
        </w:rPr>
        <w:t>E</w:t>
      </w:r>
      <w:r w:rsidR="00C55E2A" w:rsidRPr="00D575EE">
        <w:rPr>
          <w:sz w:val="22"/>
          <w:szCs w:val="22"/>
        </w:rPr>
        <w:t xml:space="preserve">nsuring compliance with University and College policies. They have a responsibility to identify, evaluate and manage strategic and operational risks </w:t>
      </w:r>
      <w:r w:rsidR="00D575EE" w:rsidRPr="00D575EE">
        <w:rPr>
          <w:bCs/>
          <w:sz w:val="22"/>
          <w:szCs w:val="22"/>
        </w:rPr>
        <w:t xml:space="preserve">in accordance with the University’s risk management policy and process, </w:t>
      </w:r>
      <w:r w:rsidR="00301DC9">
        <w:rPr>
          <w:bCs/>
          <w:sz w:val="22"/>
          <w:szCs w:val="22"/>
        </w:rPr>
        <w:t xml:space="preserve">ensure each risk is assigned a risk owner, </w:t>
      </w:r>
      <w:r w:rsidR="00C55E2A" w:rsidRPr="00301DC9">
        <w:rPr>
          <w:sz w:val="22"/>
          <w:szCs w:val="22"/>
        </w:rPr>
        <w:t xml:space="preserve">and bring emerging corporate risks to </w:t>
      </w:r>
      <w:r w:rsidR="00F85115" w:rsidRPr="00301DC9">
        <w:rPr>
          <w:sz w:val="22"/>
          <w:szCs w:val="22"/>
        </w:rPr>
        <w:t xml:space="preserve">the </w:t>
      </w:r>
      <w:r w:rsidR="004B4C0A" w:rsidRPr="00301DC9">
        <w:rPr>
          <w:sz w:val="22"/>
          <w:szCs w:val="22"/>
        </w:rPr>
        <w:t>UE</w:t>
      </w:r>
      <w:r w:rsidR="00C55E2A" w:rsidRPr="00301DC9">
        <w:rPr>
          <w:sz w:val="22"/>
          <w:szCs w:val="22"/>
        </w:rPr>
        <w:t>’s attention.</w:t>
      </w:r>
      <w:r w:rsidR="0003000F" w:rsidRPr="00301DC9">
        <w:rPr>
          <w:sz w:val="22"/>
          <w:szCs w:val="22"/>
        </w:rPr>
        <w:t xml:space="preserve"> </w:t>
      </w:r>
    </w:p>
    <w:p w14:paraId="41C83805" w14:textId="77777777" w:rsidR="00C55E2A" w:rsidRPr="008D5390" w:rsidRDefault="00C55E2A" w:rsidP="0003000F">
      <w:pPr>
        <w:pStyle w:val="Default"/>
        <w:numPr>
          <w:ilvl w:val="0"/>
          <w:numId w:val="22"/>
        </w:numPr>
        <w:rPr>
          <w:sz w:val="22"/>
          <w:szCs w:val="22"/>
        </w:rPr>
      </w:pPr>
      <w:r w:rsidRPr="008D5390">
        <w:rPr>
          <w:sz w:val="22"/>
          <w:szCs w:val="22"/>
        </w:rPr>
        <w:t xml:space="preserve">These managers should ensure that everyone in their area of responsibility understands their risk management responsibilities and must make clear the extent to which staff are empowered to take risks. </w:t>
      </w:r>
    </w:p>
    <w:p w14:paraId="3919F5A1" w14:textId="77777777" w:rsidR="0003000F" w:rsidRPr="008D5390" w:rsidRDefault="0003000F" w:rsidP="00C55E2A">
      <w:pPr>
        <w:pStyle w:val="Default"/>
        <w:ind w:left="567"/>
        <w:rPr>
          <w:sz w:val="22"/>
          <w:szCs w:val="22"/>
        </w:rPr>
      </w:pPr>
    </w:p>
    <w:p w14:paraId="33F0E4DA" w14:textId="77777777" w:rsidR="008D5390" w:rsidRPr="008D5390" w:rsidRDefault="00C55E2A" w:rsidP="008D5390">
      <w:pPr>
        <w:pStyle w:val="Default"/>
        <w:tabs>
          <w:tab w:val="left" w:pos="5115"/>
        </w:tabs>
        <w:ind w:left="567"/>
        <w:rPr>
          <w:bCs/>
          <w:sz w:val="22"/>
          <w:szCs w:val="22"/>
          <w:u w:val="single"/>
        </w:rPr>
      </w:pPr>
      <w:r w:rsidRPr="008D5390">
        <w:rPr>
          <w:bCs/>
          <w:sz w:val="22"/>
          <w:szCs w:val="22"/>
          <w:u w:val="single"/>
        </w:rPr>
        <w:t xml:space="preserve">Role of the Risk Management Committee </w:t>
      </w:r>
    </w:p>
    <w:p w14:paraId="3B883DFC" w14:textId="77777777" w:rsidR="008D5390" w:rsidRPr="008D5390" w:rsidRDefault="008D5390" w:rsidP="008D5390">
      <w:pPr>
        <w:pStyle w:val="Default"/>
        <w:tabs>
          <w:tab w:val="left" w:pos="5115"/>
        </w:tabs>
        <w:ind w:left="567"/>
        <w:rPr>
          <w:bCs/>
          <w:sz w:val="22"/>
          <w:szCs w:val="22"/>
        </w:rPr>
      </w:pPr>
    </w:p>
    <w:p w14:paraId="74BECEA0" w14:textId="77777777" w:rsidR="00C55E2A" w:rsidRDefault="00C55E2A" w:rsidP="00C55E2A">
      <w:pPr>
        <w:pStyle w:val="Default"/>
        <w:ind w:left="567"/>
        <w:rPr>
          <w:sz w:val="22"/>
          <w:szCs w:val="22"/>
        </w:rPr>
      </w:pPr>
      <w:r w:rsidRPr="008D5390">
        <w:rPr>
          <w:sz w:val="22"/>
          <w:szCs w:val="22"/>
        </w:rPr>
        <w:t xml:space="preserve">The role of the Risk Management Committee is to support and advise </w:t>
      </w:r>
      <w:r w:rsidR="00F85115">
        <w:rPr>
          <w:sz w:val="22"/>
          <w:szCs w:val="22"/>
        </w:rPr>
        <w:t xml:space="preserve">the </w:t>
      </w:r>
      <w:r w:rsidR="00E376F8">
        <w:rPr>
          <w:sz w:val="22"/>
          <w:szCs w:val="22"/>
        </w:rPr>
        <w:t>Audit and Risk Committee</w:t>
      </w:r>
      <w:r w:rsidRPr="008D5390">
        <w:rPr>
          <w:sz w:val="22"/>
          <w:szCs w:val="22"/>
        </w:rPr>
        <w:t xml:space="preserve">, and through it the Court, on the implementation and monitoring of the risk management policy. Its remit is to: </w:t>
      </w:r>
    </w:p>
    <w:p w14:paraId="5709C769" w14:textId="77777777" w:rsidR="008D5390" w:rsidRPr="008D5390" w:rsidRDefault="008D5390" w:rsidP="00C55E2A">
      <w:pPr>
        <w:pStyle w:val="Default"/>
        <w:ind w:left="567"/>
        <w:rPr>
          <w:sz w:val="22"/>
          <w:szCs w:val="22"/>
        </w:rPr>
      </w:pPr>
    </w:p>
    <w:p w14:paraId="2D33E794" w14:textId="77777777" w:rsidR="008D5390" w:rsidRPr="008D5390" w:rsidRDefault="00C55E2A" w:rsidP="008D5390">
      <w:pPr>
        <w:pStyle w:val="Default"/>
        <w:numPr>
          <w:ilvl w:val="0"/>
          <w:numId w:val="25"/>
        </w:numPr>
        <w:rPr>
          <w:sz w:val="22"/>
          <w:szCs w:val="22"/>
        </w:rPr>
      </w:pPr>
      <w:r w:rsidRPr="008D5390">
        <w:rPr>
          <w:sz w:val="22"/>
          <w:szCs w:val="22"/>
        </w:rPr>
        <w:t xml:space="preserve">Ensure that the identification and evaluation of key risks that threaten achievement of the University’s objectives is carried out, and that a register of these risks is maintained. </w:t>
      </w:r>
    </w:p>
    <w:p w14:paraId="3B47E9D7" w14:textId="77777777" w:rsidR="008D5390" w:rsidRPr="008D5390" w:rsidRDefault="00C55E2A" w:rsidP="008D5390">
      <w:pPr>
        <w:pStyle w:val="Default"/>
        <w:numPr>
          <w:ilvl w:val="0"/>
          <w:numId w:val="25"/>
        </w:numPr>
        <w:rPr>
          <w:sz w:val="22"/>
          <w:szCs w:val="22"/>
        </w:rPr>
      </w:pPr>
      <w:r w:rsidRPr="008D5390">
        <w:rPr>
          <w:sz w:val="22"/>
          <w:szCs w:val="22"/>
        </w:rPr>
        <w:t xml:space="preserve">Identify the strategy in place to manage such risks, including identification of appropriate risk owners, and monitoring the satisfactory operation of the management strategy. </w:t>
      </w:r>
    </w:p>
    <w:p w14:paraId="50E2A51C" w14:textId="77777777" w:rsidR="008D5390" w:rsidRPr="008D5390" w:rsidRDefault="00C55E2A" w:rsidP="008D5390">
      <w:pPr>
        <w:pStyle w:val="Default"/>
        <w:numPr>
          <w:ilvl w:val="0"/>
          <w:numId w:val="25"/>
        </w:numPr>
        <w:rPr>
          <w:sz w:val="22"/>
          <w:szCs w:val="22"/>
        </w:rPr>
      </w:pPr>
      <w:r w:rsidRPr="008D5390">
        <w:rPr>
          <w:sz w:val="22"/>
          <w:szCs w:val="22"/>
        </w:rPr>
        <w:t xml:space="preserve">Satisfy itself that other risks are being actively managed, with the appropriate strategies in place and working effectively. </w:t>
      </w:r>
    </w:p>
    <w:p w14:paraId="21E5125E" w14:textId="77777777" w:rsidR="008D5390" w:rsidRPr="008D5390" w:rsidRDefault="00C55E2A" w:rsidP="008D5390">
      <w:pPr>
        <w:pStyle w:val="Default"/>
        <w:numPr>
          <w:ilvl w:val="0"/>
          <w:numId w:val="25"/>
        </w:numPr>
        <w:rPr>
          <w:sz w:val="22"/>
          <w:szCs w:val="22"/>
        </w:rPr>
      </w:pPr>
      <w:r w:rsidRPr="008D5390">
        <w:rPr>
          <w:sz w:val="22"/>
          <w:szCs w:val="22"/>
        </w:rPr>
        <w:t xml:space="preserve">Report regularly to the Court through the </w:t>
      </w:r>
      <w:r w:rsidR="004B4C0A">
        <w:rPr>
          <w:sz w:val="22"/>
          <w:szCs w:val="22"/>
        </w:rPr>
        <w:t>UE</w:t>
      </w:r>
      <w:r w:rsidRPr="008D5390">
        <w:rPr>
          <w:sz w:val="22"/>
          <w:szCs w:val="22"/>
        </w:rPr>
        <w:t xml:space="preserve"> and the Audit </w:t>
      </w:r>
      <w:r w:rsidR="004B4C0A">
        <w:rPr>
          <w:sz w:val="22"/>
          <w:szCs w:val="22"/>
        </w:rPr>
        <w:t xml:space="preserve">&amp; Risk </w:t>
      </w:r>
      <w:r w:rsidRPr="008D5390">
        <w:rPr>
          <w:sz w:val="22"/>
          <w:szCs w:val="22"/>
        </w:rPr>
        <w:t xml:space="preserve">Committee on the achievement of the remit. Contribute to raising awareness of risk generally across the University and to maintaining the profile of risk management. </w:t>
      </w:r>
    </w:p>
    <w:p w14:paraId="6BFE68E7" w14:textId="77777777" w:rsidR="00C55E2A" w:rsidRPr="008D5390" w:rsidRDefault="00C55E2A" w:rsidP="008D5390">
      <w:pPr>
        <w:pStyle w:val="Default"/>
        <w:numPr>
          <w:ilvl w:val="0"/>
          <w:numId w:val="25"/>
        </w:numPr>
        <w:rPr>
          <w:sz w:val="22"/>
          <w:szCs w:val="22"/>
        </w:rPr>
      </w:pPr>
      <w:r w:rsidRPr="008D5390">
        <w:rPr>
          <w:sz w:val="22"/>
          <w:szCs w:val="22"/>
        </w:rPr>
        <w:t xml:space="preserve">Address such other matters related to risk as may arise from time to time. </w:t>
      </w:r>
    </w:p>
    <w:p w14:paraId="1A0B4E12" w14:textId="77777777" w:rsidR="00C55E2A" w:rsidRPr="008D5390" w:rsidRDefault="00C55E2A" w:rsidP="00C55E2A">
      <w:pPr>
        <w:pStyle w:val="Default"/>
        <w:ind w:left="567"/>
        <w:rPr>
          <w:sz w:val="22"/>
          <w:szCs w:val="22"/>
        </w:rPr>
      </w:pPr>
    </w:p>
    <w:p w14:paraId="3EBECE99" w14:textId="77777777" w:rsidR="007A23CD" w:rsidRDefault="007A23CD" w:rsidP="007A23CD">
      <w:pPr>
        <w:pStyle w:val="Default"/>
        <w:ind w:left="567"/>
        <w:rPr>
          <w:bCs/>
          <w:sz w:val="22"/>
          <w:szCs w:val="22"/>
          <w:u w:val="single"/>
        </w:rPr>
      </w:pPr>
      <w:r>
        <w:rPr>
          <w:bCs/>
          <w:sz w:val="22"/>
          <w:szCs w:val="22"/>
          <w:u w:val="single"/>
        </w:rPr>
        <w:t>The University Risk Manager</w:t>
      </w:r>
    </w:p>
    <w:p w14:paraId="3908970E" w14:textId="77777777" w:rsidR="007A23CD" w:rsidRDefault="007A23CD" w:rsidP="007A23CD">
      <w:pPr>
        <w:pStyle w:val="Default"/>
        <w:ind w:left="567"/>
        <w:rPr>
          <w:bCs/>
          <w:sz w:val="22"/>
          <w:szCs w:val="22"/>
          <w:u w:val="single"/>
        </w:rPr>
      </w:pPr>
    </w:p>
    <w:p w14:paraId="1997B4E7" w14:textId="77777777" w:rsidR="007A23CD" w:rsidRDefault="007A23CD" w:rsidP="007A23CD">
      <w:pPr>
        <w:pStyle w:val="Default"/>
        <w:ind w:left="567"/>
        <w:rPr>
          <w:bCs/>
          <w:sz w:val="22"/>
          <w:szCs w:val="22"/>
        </w:rPr>
      </w:pPr>
      <w:r>
        <w:rPr>
          <w:bCs/>
          <w:sz w:val="22"/>
          <w:szCs w:val="22"/>
        </w:rPr>
        <w:t>The risk manager is a part of Corporate Services Group. They are responsible to the Risk Management Committee for:</w:t>
      </w:r>
    </w:p>
    <w:p w14:paraId="6C03B9F6" w14:textId="77777777" w:rsidR="007A23CD" w:rsidRDefault="007A23CD" w:rsidP="007A23CD">
      <w:pPr>
        <w:pStyle w:val="Default"/>
        <w:ind w:left="567"/>
        <w:rPr>
          <w:bCs/>
          <w:sz w:val="22"/>
          <w:szCs w:val="22"/>
        </w:rPr>
      </w:pPr>
    </w:p>
    <w:p w14:paraId="66020D79" w14:textId="77777777" w:rsidR="007A23CD" w:rsidRDefault="007A23CD" w:rsidP="007A23CD">
      <w:pPr>
        <w:pStyle w:val="Default"/>
        <w:numPr>
          <w:ilvl w:val="4"/>
          <w:numId w:val="28"/>
        </w:numPr>
        <w:ind w:left="993" w:hanging="426"/>
        <w:rPr>
          <w:bCs/>
          <w:sz w:val="22"/>
          <w:szCs w:val="22"/>
        </w:rPr>
      </w:pPr>
      <w:r>
        <w:rPr>
          <w:bCs/>
          <w:sz w:val="22"/>
          <w:szCs w:val="22"/>
        </w:rPr>
        <w:t>Facilitating the implementation of the standard risk management framework and process across the University</w:t>
      </w:r>
      <w:r w:rsidRPr="009C52D3">
        <w:rPr>
          <w:bCs/>
          <w:sz w:val="22"/>
          <w:szCs w:val="22"/>
        </w:rPr>
        <w:t xml:space="preserve">. </w:t>
      </w:r>
    </w:p>
    <w:p w14:paraId="77CBC594" w14:textId="77777777" w:rsidR="007A23CD" w:rsidRDefault="007A23CD" w:rsidP="007A23CD">
      <w:pPr>
        <w:pStyle w:val="Default"/>
        <w:numPr>
          <w:ilvl w:val="4"/>
          <w:numId w:val="28"/>
        </w:numPr>
        <w:ind w:left="993" w:hanging="426"/>
        <w:rPr>
          <w:bCs/>
          <w:sz w:val="22"/>
          <w:szCs w:val="22"/>
        </w:rPr>
      </w:pPr>
      <w:r w:rsidRPr="009C52D3">
        <w:rPr>
          <w:bCs/>
          <w:sz w:val="22"/>
          <w:szCs w:val="22"/>
        </w:rPr>
        <w:t xml:space="preserve">Assisting with the analysis of operational level risk and the roll-up of significant risks to the </w:t>
      </w:r>
      <w:r>
        <w:rPr>
          <w:bCs/>
          <w:sz w:val="22"/>
          <w:szCs w:val="22"/>
        </w:rPr>
        <w:t xml:space="preserve">strategic level. </w:t>
      </w:r>
    </w:p>
    <w:p w14:paraId="5F67AAD0" w14:textId="77777777" w:rsidR="007A23CD" w:rsidRDefault="007A23CD" w:rsidP="007A23CD">
      <w:pPr>
        <w:pStyle w:val="Default"/>
        <w:numPr>
          <w:ilvl w:val="4"/>
          <w:numId w:val="28"/>
        </w:numPr>
        <w:ind w:left="993" w:hanging="426"/>
        <w:rPr>
          <w:bCs/>
          <w:sz w:val="22"/>
          <w:szCs w:val="22"/>
        </w:rPr>
      </w:pPr>
      <w:r>
        <w:rPr>
          <w:bCs/>
          <w:sz w:val="22"/>
          <w:szCs w:val="22"/>
        </w:rPr>
        <w:t>Providing risk management advice and assistance to all organizations within the university.</w:t>
      </w:r>
    </w:p>
    <w:p w14:paraId="2710C4B5" w14:textId="77777777" w:rsidR="007A23CD" w:rsidRDefault="007A23CD" w:rsidP="00C55E2A">
      <w:pPr>
        <w:pStyle w:val="Default"/>
        <w:ind w:left="567"/>
        <w:rPr>
          <w:bCs/>
          <w:sz w:val="22"/>
          <w:szCs w:val="22"/>
          <w:u w:val="single"/>
        </w:rPr>
      </w:pPr>
    </w:p>
    <w:p w14:paraId="495710BF" w14:textId="77777777" w:rsidR="00C55E2A" w:rsidRPr="008D5390" w:rsidRDefault="00C55E2A" w:rsidP="00C55E2A">
      <w:pPr>
        <w:pStyle w:val="Default"/>
        <w:ind w:left="567"/>
        <w:rPr>
          <w:bCs/>
          <w:sz w:val="22"/>
          <w:szCs w:val="22"/>
          <w:u w:val="single"/>
        </w:rPr>
      </w:pPr>
      <w:r w:rsidRPr="008D5390">
        <w:rPr>
          <w:bCs/>
          <w:sz w:val="22"/>
          <w:szCs w:val="22"/>
          <w:u w:val="single"/>
        </w:rPr>
        <w:t xml:space="preserve">Role of Internal Audit </w:t>
      </w:r>
    </w:p>
    <w:p w14:paraId="2C2A43AF" w14:textId="77777777" w:rsidR="008D5390" w:rsidRPr="008D5390" w:rsidRDefault="008D5390" w:rsidP="00C55E2A">
      <w:pPr>
        <w:pStyle w:val="Default"/>
        <w:ind w:left="567"/>
        <w:rPr>
          <w:b/>
          <w:bCs/>
          <w:sz w:val="22"/>
          <w:szCs w:val="22"/>
        </w:rPr>
      </w:pPr>
    </w:p>
    <w:p w14:paraId="6C73514F" w14:textId="77777777" w:rsidR="008D5390" w:rsidRDefault="00C55E2A" w:rsidP="008D5390">
      <w:pPr>
        <w:pStyle w:val="Default"/>
        <w:ind w:left="567"/>
        <w:rPr>
          <w:sz w:val="22"/>
          <w:szCs w:val="22"/>
        </w:rPr>
      </w:pPr>
      <w:r w:rsidRPr="008D5390">
        <w:rPr>
          <w:sz w:val="22"/>
          <w:szCs w:val="22"/>
        </w:rPr>
        <w:t xml:space="preserve">Internal </w:t>
      </w:r>
      <w:r w:rsidR="000B0DBA">
        <w:rPr>
          <w:sz w:val="22"/>
          <w:szCs w:val="22"/>
        </w:rPr>
        <w:t>A</w:t>
      </w:r>
      <w:r w:rsidRPr="008D5390">
        <w:rPr>
          <w:sz w:val="22"/>
          <w:szCs w:val="22"/>
        </w:rPr>
        <w:t xml:space="preserve">udit is responsible for independently and regularly reviewing the operation of the overall risk management process in the University. In doing </w:t>
      </w:r>
      <w:r w:rsidR="000B0DBA" w:rsidRPr="008D5390">
        <w:rPr>
          <w:sz w:val="22"/>
          <w:szCs w:val="22"/>
        </w:rPr>
        <w:t>this,</w:t>
      </w:r>
      <w:r w:rsidRPr="008D5390">
        <w:rPr>
          <w:sz w:val="22"/>
          <w:szCs w:val="22"/>
        </w:rPr>
        <w:t xml:space="preserve"> it has regard to best practice as recommended by professional institutes and other relevant organisations. Internal Audit will: </w:t>
      </w:r>
    </w:p>
    <w:p w14:paraId="1F034182" w14:textId="77777777" w:rsidR="000B0DBA" w:rsidRPr="008D5390" w:rsidRDefault="000B0DBA" w:rsidP="008D5390">
      <w:pPr>
        <w:pStyle w:val="Default"/>
        <w:ind w:left="567"/>
        <w:rPr>
          <w:sz w:val="22"/>
          <w:szCs w:val="22"/>
        </w:rPr>
      </w:pPr>
    </w:p>
    <w:p w14:paraId="5AF4CACD" w14:textId="77777777" w:rsidR="008D5390" w:rsidRPr="008D5390" w:rsidRDefault="008D5390" w:rsidP="00A76C07">
      <w:pPr>
        <w:pStyle w:val="Default"/>
        <w:numPr>
          <w:ilvl w:val="0"/>
          <w:numId w:val="31"/>
        </w:numPr>
        <w:ind w:left="993" w:hanging="426"/>
        <w:rPr>
          <w:sz w:val="22"/>
          <w:szCs w:val="22"/>
        </w:rPr>
      </w:pPr>
      <w:r w:rsidRPr="008D5390">
        <w:rPr>
          <w:sz w:val="22"/>
          <w:szCs w:val="22"/>
        </w:rPr>
        <w:t>R</w:t>
      </w:r>
      <w:r w:rsidR="00C55E2A" w:rsidRPr="008D5390">
        <w:rPr>
          <w:sz w:val="22"/>
          <w:szCs w:val="22"/>
        </w:rPr>
        <w:t xml:space="preserve">eport its findings to the Audit </w:t>
      </w:r>
      <w:r w:rsidR="004B4C0A">
        <w:rPr>
          <w:sz w:val="22"/>
          <w:szCs w:val="22"/>
        </w:rPr>
        <w:t xml:space="preserve">&amp; </w:t>
      </w:r>
      <w:r w:rsidR="00E837FF">
        <w:rPr>
          <w:sz w:val="22"/>
          <w:szCs w:val="22"/>
        </w:rPr>
        <w:t>R</w:t>
      </w:r>
      <w:r w:rsidR="004B4C0A">
        <w:rPr>
          <w:sz w:val="22"/>
          <w:szCs w:val="22"/>
        </w:rPr>
        <w:t xml:space="preserve">isk </w:t>
      </w:r>
      <w:r w:rsidR="00C55E2A" w:rsidRPr="008D5390">
        <w:rPr>
          <w:sz w:val="22"/>
          <w:szCs w:val="22"/>
        </w:rPr>
        <w:t xml:space="preserve">Committee. </w:t>
      </w:r>
    </w:p>
    <w:p w14:paraId="7C150B9C" w14:textId="77777777" w:rsidR="00C55E2A" w:rsidRPr="008D5390" w:rsidRDefault="00C55E2A" w:rsidP="00A76C07">
      <w:pPr>
        <w:pStyle w:val="Default"/>
        <w:numPr>
          <w:ilvl w:val="0"/>
          <w:numId w:val="28"/>
        </w:numPr>
        <w:ind w:left="993" w:hanging="426"/>
        <w:rPr>
          <w:sz w:val="22"/>
          <w:szCs w:val="22"/>
        </w:rPr>
      </w:pPr>
      <w:r w:rsidRPr="008D5390">
        <w:rPr>
          <w:sz w:val="22"/>
          <w:szCs w:val="22"/>
        </w:rPr>
        <w:t xml:space="preserve">Advise and make recommendations to the Risk Management Committee and senior managers as appropriate. </w:t>
      </w:r>
    </w:p>
    <w:p w14:paraId="4E6B6A83" w14:textId="77777777" w:rsidR="00C55E2A" w:rsidRPr="008D5390" w:rsidRDefault="00C55E2A" w:rsidP="00C55E2A">
      <w:pPr>
        <w:pStyle w:val="Default"/>
        <w:ind w:left="567"/>
        <w:rPr>
          <w:sz w:val="22"/>
          <w:szCs w:val="22"/>
        </w:rPr>
      </w:pPr>
    </w:p>
    <w:p w14:paraId="09E213C3" w14:textId="77777777" w:rsidR="00C55E2A" w:rsidRPr="008D5390" w:rsidRDefault="00C55E2A" w:rsidP="00C55E2A">
      <w:pPr>
        <w:pStyle w:val="Default"/>
        <w:ind w:left="567"/>
        <w:rPr>
          <w:sz w:val="22"/>
          <w:szCs w:val="22"/>
          <w:u w:val="single"/>
        </w:rPr>
      </w:pPr>
      <w:r w:rsidRPr="008D5390">
        <w:rPr>
          <w:bCs/>
          <w:sz w:val="22"/>
          <w:szCs w:val="22"/>
          <w:u w:val="single"/>
        </w:rPr>
        <w:t xml:space="preserve">Role of the Audit </w:t>
      </w:r>
      <w:r w:rsidR="004B4C0A">
        <w:rPr>
          <w:bCs/>
          <w:sz w:val="22"/>
          <w:szCs w:val="22"/>
          <w:u w:val="single"/>
        </w:rPr>
        <w:t xml:space="preserve">&amp; Risk </w:t>
      </w:r>
      <w:r w:rsidRPr="008D5390">
        <w:rPr>
          <w:bCs/>
          <w:sz w:val="22"/>
          <w:szCs w:val="22"/>
          <w:u w:val="single"/>
        </w:rPr>
        <w:t>Committee</w:t>
      </w:r>
      <w:bookmarkStart w:id="0" w:name="_GoBack"/>
      <w:bookmarkEnd w:id="0"/>
      <w:r w:rsidRPr="008D5390">
        <w:rPr>
          <w:bCs/>
          <w:sz w:val="22"/>
          <w:szCs w:val="22"/>
          <w:u w:val="single"/>
        </w:rPr>
        <w:t xml:space="preserve"> </w:t>
      </w:r>
    </w:p>
    <w:p w14:paraId="411CD018" w14:textId="77777777" w:rsidR="008D5390" w:rsidRPr="008D5390" w:rsidRDefault="008D5390" w:rsidP="00C55E2A">
      <w:pPr>
        <w:pStyle w:val="Default"/>
        <w:ind w:left="567"/>
        <w:rPr>
          <w:sz w:val="22"/>
          <w:szCs w:val="22"/>
        </w:rPr>
      </w:pPr>
    </w:p>
    <w:p w14:paraId="631106B1" w14:textId="6142B760" w:rsidR="00F57008" w:rsidRDefault="00F57008" w:rsidP="00E17DE0">
      <w:pPr>
        <w:pStyle w:val="Default"/>
        <w:rPr>
          <w:sz w:val="22"/>
          <w:szCs w:val="22"/>
        </w:rPr>
      </w:pPr>
    </w:p>
    <w:p w14:paraId="5D082A41" w14:textId="77777777" w:rsidR="00E17DE0" w:rsidRPr="00E17DE0" w:rsidRDefault="00E17DE0" w:rsidP="00E17DE0">
      <w:pPr>
        <w:pStyle w:val="Default"/>
        <w:ind w:left="567"/>
        <w:rPr>
          <w:sz w:val="22"/>
          <w:szCs w:val="22"/>
        </w:rPr>
      </w:pPr>
      <w:r w:rsidRPr="00E17DE0">
        <w:rPr>
          <w:sz w:val="22"/>
          <w:szCs w:val="22"/>
        </w:rPr>
        <w:t>The Audit and Risk Committee is responsible for monitoring the performance and activities of the Risk Management Committee and reporting there on to Court and in particular:</w:t>
      </w:r>
    </w:p>
    <w:p w14:paraId="1D49E717" w14:textId="77777777" w:rsidR="00E17DE0" w:rsidRPr="00E17DE0" w:rsidRDefault="00E17DE0" w:rsidP="00E17DE0">
      <w:pPr>
        <w:pStyle w:val="Default"/>
        <w:numPr>
          <w:ilvl w:val="4"/>
          <w:numId w:val="28"/>
        </w:numPr>
        <w:ind w:left="993" w:firstLine="0"/>
        <w:rPr>
          <w:sz w:val="22"/>
          <w:szCs w:val="22"/>
        </w:rPr>
      </w:pPr>
      <w:r w:rsidRPr="00E17DE0">
        <w:rPr>
          <w:sz w:val="22"/>
          <w:szCs w:val="22"/>
        </w:rPr>
        <w:t>To advise Court on the adequacy and effectiveness of policies and procedures for risk management;</w:t>
      </w:r>
    </w:p>
    <w:p w14:paraId="37333147" w14:textId="77777777" w:rsidR="00E17DE0" w:rsidRPr="00E17DE0" w:rsidRDefault="00E17DE0" w:rsidP="00E17DE0">
      <w:pPr>
        <w:pStyle w:val="Default"/>
        <w:numPr>
          <w:ilvl w:val="4"/>
          <w:numId w:val="28"/>
        </w:numPr>
        <w:ind w:left="993" w:firstLine="0"/>
        <w:rPr>
          <w:sz w:val="22"/>
          <w:szCs w:val="22"/>
        </w:rPr>
      </w:pPr>
      <w:r w:rsidRPr="00E17DE0">
        <w:rPr>
          <w:sz w:val="22"/>
          <w:szCs w:val="22"/>
        </w:rPr>
        <w:t>To annually review the University’s approach to risk management and, if appropriate, recommend changes or improvements to key elements of its processes, policies and procedures;</w:t>
      </w:r>
      <w:r>
        <w:rPr>
          <w:sz w:val="22"/>
          <w:szCs w:val="22"/>
        </w:rPr>
        <w:t xml:space="preserve"> </w:t>
      </w:r>
    </w:p>
    <w:p w14:paraId="0F34791D" w14:textId="77777777" w:rsidR="00E17DE0" w:rsidRDefault="00E17DE0" w:rsidP="00C94108">
      <w:pPr>
        <w:pStyle w:val="Default"/>
        <w:numPr>
          <w:ilvl w:val="4"/>
          <w:numId w:val="28"/>
        </w:numPr>
        <w:ind w:left="993" w:firstLine="0"/>
        <w:rPr>
          <w:sz w:val="22"/>
          <w:szCs w:val="22"/>
        </w:rPr>
      </w:pPr>
      <w:r w:rsidRPr="00E17DE0">
        <w:rPr>
          <w:sz w:val="22"/>
          <w:szCs w:val="22"/>
        </w:rPr>
        <w:t>To provide an annual statement to the Court in relation to effective risk management.</w:t>
      </w:r>
    </w:p>
    <w:p w14:paraId="22C1106D" w14:textId="6B67FBD1" w:rsidR="00F57008" w:rsidRPr="00E17DE0" w:rsidRDefault="00E17DE0" w:rsidP="00C94108">
      <w:pPr>
        <w:pStyle w:val="Default"/>
        <w:numPr>
          <w:ilvl w:val="4"/>
          <w:numId w:val="28"/>
        </w:numPr>
        <w:ind w:left="993" w:firstLine="0"/>
        <w:rPr>
          <w:sz w:val="22"/>
          <w:szCs w:val="22"/>
        </w:rPr>
      </w:pPr>
      <w:r w:rsidRPr="00E17DE0">
        <w:rPr>
          <w:sz w:val="22"/>
          <w:szCs w:val="22"/>
        </w:rPr>
        <w:t>Is responsible for the oversight of the assessment of strategic risks that threaten achievement of the University’s objectives, reviewing the University Risk Register and presenting the Register to Court for approval.</w:t>
      </w:r>
    </w:p>
    <w:p w14:paraId="5781B923" w14:textId="77777777" w:rsidR="00F57008" w:rsidRDefault="00F57008" w:rsidP="00E17DE0">
      <w:pPr>
        <w:pStyle w:val="Default"/>
        <w:ind w:left="993"/>
        <w:rPr>
          <w:sz w:val="22"/>
          <w:szCs w:val="22"/>
        </w:rPr>
      </w:pPr>
    </w:p>
    <w:p w14:paraId="591EB5E3" w14:textId="77777777" w:rsidR="009C52D3" w:rsidRDefault="009C52D3" w:rsidP="009C52D3">
      <w:pPr>
        <w:pStyle w:val="Default"/>
        <w:rPr>
          <w:bCs/>
          <w:sz w:val="22"/>
          <w:szCs w:val="22"/>
        </w:rPr>
      </w:pPr>
    </w:p>
    <w:p w14:paraId="0A349E69" w14:textId="77777777" w:rsidR="00CB27CB" w:rsidRDefault="009C52D3" w:rsidP="00CB27CB">
      <w:pPr>
        <w:pStyle w:val="Default"/>
        <w:ind w:left="567"/>
        <w:rPr>
          <w:bCs/>
          <w:sz w:val="22"/>
          <w:szCs w:val="22"/>
          <w:u w:val="single"/>
        </w:rPr>
      </w:pPr>
      <w:r w:rsidRPr="005B794E">
        <w:rPr>
          <w:bCs/>
          <w:sz w:val="22"/>
          <w:szCs w:val="22"/>
          <w:u w:val="single"/>
        </w:rPr>
        <w:t>Role of all Staff</w:t>
      </w:r>
    </w:p>
    <w:p w14:paraId="1FADC690" w14:textId="77777777" w:rsidR="000B0DBA" w:rsidRDefault="000B0DBA" w:rsidP="00CB27CB">
      <w:pPr>
        <w:pStyle w:val="Default"/>
        <w:ind w:left="567"/>
        <w:rPr>
          <w:bCs/>
          <w:sz w:val="22"/>
          <w:szCs w:val="22"/>
          <w:u w:val="single"/>
        </w:rPr>
      </w:pPr>
    </w:p>
    <w:p w14:paraId="68A7406D" w14:textId="77777777" w:rsidR="000B0DBA" w:rsidRPr="000B0DBA" w:rsidRDefault="000B0DBA" w:rsidP="00CB27CB">
      <w:pPr>
        <w:pStyle w:val="Default"/>
        <w:ind w:left="567"/>
        <w:rPr>
          <w:bCs/>
          <w:sz w:val="22"/>
          <w:szCs w:val="22"/>
        </w:rPr>
      </w:pPr>
      <w:r>
        <w:rPr>
          <w:bCs/>
          <w:sz w:val="22"/>
          <w:szCs w:val="22"/>
        </w:rPr>
        <w:t xml:space="preserve">All staff </w:t>
      </w:r>
      <w:r w:rsidR="00A243F7">
        <w:rPr>
          <w:bCs/>
          <w:sz w:val="22"/>
          <w:szCs w:val="22"/>
        </w:rPr>
        <w:t>have a critical role to play in risk management. As a minimum, all members of the University have a responsibility to:</w:t>
      </w:r>
    </w:p>
    <w:p w14:paraId="735F85B0" w14:textId="77777777" w:rsidR="00CB27CB" w:rsidRDefault="00CB27CB" w:rsidP="00CB27CB">
      <w:pPr>
        <w:pStyle w:val="Default"/>
        <w:ind w:left="567"/>
        <w:rPr>
          <w:bCs/>
          <w:sz w:val="22"/>
          <w:szCs w:val="22"/>
        </w:rPr>
      </w:pPr>
    </w:p>
    <w:p w14:paraId="3298A6F3" w14:textId="77777777" w:rsidR="00CB27CB" w:rsidRDefault="00CB27CB" w:rsidP="00CB27CB">
      <w:pPr>
        <w:pStyle w:val="Default"/>
        <w:numPr>
          <w:ilvl w:val="7"/>
          <w:numId w:val="28"/>
        </w:numPr>
        <w:ind w:left="993" w:hanging="426"/>
        <w:rPr>
          <w:bCs/>
          <w:sz w:val="22"/>
          <w:szCs w:val="22"/>
        </w:rPr>
      </w:pPr>
      <w:r>
        <w:rPr>
          <w:bCs/>
          <w:sz w:val="22"/>
          <w:szCs w:val="22"/>
        </w:rPr>
        <w:lastRenderedPageBreak/>
        <w:t>Effectively manage risk within their areas of responsibility in accordance with the University’s risk management policy and process</w:t>
      </w:r>
      <w:r w:rsidR="005B794E">
        <w:rPr>
          <w:bCs/>
          <w:sz w:val="22"/>
          <w:szCs w:val="22"/>
        </w:rPr>
        <w:t>.</w:t>
      </w:r>
    </w:p>
    <w:p w14:paraId="2549956A" w14:textId="77777777" w:rsidR="00CB27CB" w:rsidRPr="009C52D3" w:rsidRDefault="00CB27CB" w:rsidP="00CB27CB">
      <w:pPr>
        <w:pStyle w:val="Default"/>
        <w:numPr>
          <w:ilvl w:val="7"/>
          <w:numId w:val="28"/>
        </w:numPr>
        <w:ind w:left="993" w:hanging="426"/>
        <w:rPr>
          <w:bCs/>
          <w:sz w:val="22"/>
          <w:szCs w:val="22"/>
        </w:rPr>
      </w:pPr>
      <w:r>
        <w:rPr>
          <w:bCs/>
          <w:sz w:val="22"/>
          <w:szCs w:val="22"/>
        </w:rPr>
        <w:t xml:space="preserve">Report risks beyond their scope of </w:t>
      </w:r>
      <w:r w:rsidR="00301DC9">
        <w:rPr>
          <w:bCs/>
          <w:sz w:val="22"/>
          <w:szCs w:val="22"/>
        </w:rPr>
        <w:t xml:space="preserve">authority or </w:t>
      </w:r>
      <w:r>
        <w:rPr>
          <w:bCs/>
          <w:sz w:val="22"/>
          <w:szCs w:val="22"/>
        </w:rPr>
        <w:t>resources to their superiors</w:t>
      </w:r>
      <w:r w:rsidR="005B794E">
        <w:rPr>
          <w:bCs/>
          <w:sz w:val="22"/>
          <w:szCs w:val="22"/>
        </w:rPr>
        <w:t>.</w:t>
      </w:r>
    </w:p>
    <w:p w14:paraId="12F5D4E2" w14:textId="77777777" w:rsidR="009C52D3" w:rsidRPr="008D5390" w:rsidRDefault="009C52D3" w:rsidP="009C52D3">
      <w:pPr>
        <w:pStyle w:val="Default"/>
        <w:ind w:left="567"/>
        <w:rPr>
          <w:sz w:val="22"/>
          <w:szCs w:val="22"/>
        </w:rPr>
      </w:pPr>
    </w:p>
    <w:p w14:paraId="7BF49F9D" w14:textId="77777777" w:rsidR="00E837FF" w:rsidRDefault="00E837FF" w:rsidP="00123855">
      <w:pPr>
        <w:pStyle w:val="ListParagraph"/>
        <w:spacing w:after="0" w:line="240" w:lineRule="auto"/>
        <w:ind w:left="567"/>
        <w:rPr>
          <w:rFonts w:ascii="Arial" w:hAnsi="Arial" w:cs="Arial"/>
          <w:b/>
          <w:u w:val="single"/>
        </w:rPr>
      </w:pPr>
    </w:p>
    <w:p w14:paraId="729C4F1B" w14:textId="77777777" w:rsidR="004B6FE3" w:rsidRPr="008D5390" w:rsidRDefault="004B6FE3" w:rsidP="00123855">
      <w:pPr>
        <w:pStyle w:val="ListParagraph"/>
        <w:spacing w:after="0" w:line="240" w:lineRule="auto"/>
        <w:ind w:left="567"/>
        <w:rPr>
          <w:rFonts w:ascii="Arial" w:hAnsi="Arial" w:cs="Arial"/>
          <w:b/>
          <w:u w:val="single"/>
        </w:rPr>
      </w:pPr>
      <w:r w:rsidRPr="008D5390">
        <w:rPr>
          <w:rFonts w:ascii="Arial" w:hAnsi="Arial" w:cs="Arial"/>
          <w:b/>
          <w:u w:val="single"/>
        </w:rPr>
        <w:t>Risk Appetite</w:t>
      </w:r>
    </w:p>
    <w:p w14:paraId="7193AF6C" w14:textId="77777777" w:rsidR="004B6FE3" w:rsidRPr="008D5390" w:rsidRDefault="004B6FE3" w:rsidP="00123855">
      <w:pPr>
        <w:pStyle w:val="ListParagraph"/>
        <w:spacing w:after="0" w:line="240" w:lineRule="auto"/>
        <w:ind w:left="567"/>
        <w:rPr>
          <w:rFonts w:ascii="Arial" w:hAnsi="Arial" w:cs="Arial"/>
        </w:rPr>
      </w:pPr>
    </w:p>
    <w:p w14:paraId="49BDC2BC" w14:textId="77777777" w:rsidR="00F67107" w:rsidRPr="008D5390" w:rsidRDefault="00F67107" w:rsidP="00123855">
      <w:pPr>
        <w:pStyle w:val="ListParagraph"/>
        <w:spacing w:after="0" w:line="240" w:lineRule="auto"/>
        <w:ind w:left="567"/>
        <w:rPr>
          <w:rFonts w:ascii="Arial" w:hAnsi="Arial" w:cs="Arial"/>
        </w:rPr>
      </w:pPr>
      <w:r w:rsidRPr="008D5390">
        <w:rPr>
          <w:rFonts w:ascii="Arial" w:hAnsi="Arial" w:cs="Arial"/>
        </w:rPr>
        <w:t xml:space="preserve">The Risk Policy and Appetite </w:t>
      </w:r>
      <w:r w:rsidR="009C0039" w:rsidRPr="008D5390">
        <w:rPr>
          <w:rFonts w:ascii="Arial" w:hAnsi="Arial" w:cs="Arial"/>
        </w:rPr>
        <w:t>establishes the Court’s commitment to the risk management framework and process, sets the goals and objectives of the University’s risk management</w:t>
      </w:r>
      <w:r w:rsidR="00026931">
        <w:rPr>
          <w:rFonts w:ascii="Arial" w:hAnsi="Arial" w:cs="Arial"/>
        </w:rPr>
        <w:t xml:space="preserve"> process,</w:t>
      </w:r>
      <w:r w:rsidR="009C0039" w:rsidRPr="008D5390">
        <w:rPr>
          <w:rFonts w:ascii="Arial" w:hAnsi="Arial" w:cs="Arial"/>
        </w:rPr>
        <w:t xml:space="preserve"> lays out risk management roles and responsibilities throughout the University, and </w:t>
      </w:r>
      <w:r w:rsidRPr="008D5390">
        <w:rPr>
          <w:rFonts w:ascii="Arial" w:hAnsi="Arial" w:cs="Arial"/>
        </w:rPr>
        <w:t xml:space="preserve">specifies the amount of risk the University is willing to seek or accept in the pursuit of its </w:t>
      </w:r>
      <w:r w:rsidR="003024EB" w:rsidRPr="008D5390">
        <w:rPr>
          <w:rFonts w:ascii="Arial" w:hAnsi="Arial" w:cs="Arial"/>
        </w:rPr>
        <w:t>long-term</w:t>
      </w:r>
      <w:r w:rsidRPr="008D5390">
        <w:rPr>
          <w:rFonts w:ascii="Arial" w:hAnsi="Arial" w:cs="Arial"/>
        </w:rPr>
        <w:t xml:space="preserve"> objectives</w:t>
      </w:r>
      <w:r w:rsidR="003024EB" w:rsidRPr="008D5390">
        <w:rPr>
          <w:rFonts w:ascii="Arial" w:hAnsi="Arial" w:cs="Arial"/>
        </w:rPr>
        <w:t>. I</w:t>
      </w:r>
      <w:r w:rsidRPr="008D5390">
        <w:rPr>
          <w:rFonts w:ascii="Arial" w:hAnsi="Arial" w:cs="Arial"/>
        </w:rPr>
        <w:t>t indicates the parameters within which the University would want to conduct its activities.</w:t>
      </w:r>
    </w:p>
    <w:p w14:paraId="0FE493EC" w14:textId="77777777" w:rsidR="00F67107" w:rsidRPr="008D5390" w:rsidRDefault="00F67107" w:rsidP="00F67107">
      <w:pPr>
        <w:pStyle w:val="ListParagraph"/>
        <w:ind w:left="567"/>
        <w:rPr>
          <w:rFonts w:ascii="Arial" w:hAnsi="Arial" w:cs="Arial"/>
        </w:rPr>
      </w:pPr>
    </w:p>
    <w:p w14:paraId="4F0B6E3E" w14:textId="77777777" w:rsidR="00F67107" w:rsidRPr="008D5390" w:rsidRDefault="00F67107" w:rsidP="00123855">
      <w:pPr>
        <w:pStyle w:val="ListParagraph"/>
        <w:spacing w:after="0" w:line="240" w:lineRule="auto"/>
        <w:ind w:left="567"/>
        <w:rPr>
          <w:rFonts w:ascii="Arial" w:hAnsi="Arial" w:cs="Arial"/>
        </w:rPr>
      </w:pPr>
      <w:r w:rsidRPr="008D5390">
        <w:rPr>
          <w:rFonts w:ascii="Arial" w:hAnsi="Arial" w:cs="Arial"/>
        </w:rPr>
        <w:t xml:space="preserve">In terms of priorities, the need to avoid reputational, compliance and overall financial risk will take priority over other factors e.g. it will be acceptable to undertake risks in research activities providing they do not expose the University to undue reputational, compliance or financial risk. </w:t>
      </w:r>
      <w:r w:rsidR="00D7566F" w:rsidRPr="008D5390">
        <w:rPr>
          <w:rFonts w:ascii="Arial" w:hAnsi="Arial" w:cs="Arial"/>
        </w:rPr>
        <w:t xml:space="preserve">Similarly, the University is open to innovation in education </w:t>
      </w:r>
      <w:r w:rsidR="009E35FB" w:rsidRPr="008D5390">
        <w:rPr>
          <w:rFonts w:ascii="Arial" w:hAnsi="Arial" w:cs="Arial"/>
        </w:rPr>
        <w:t>and</w:t>
      </w:r>
      <w:r w:rsidR="00D7566F" w:rsidRPr="008D5390">
        <w:rPr>
          <w:rFonts w:ascii="Arial" w:hAnsi="Arial" w:cs="Arial"/>
        </w:rPr>
        <w:t xml:space="preserve"> student experience, if this supports and enhances its reputation and does not expose it to undue finance or compliance risks. </w:t>
      </w:r>
      <w:r w:rsidRPr="008D5390">
        <w:rPr>
          <w:rFonts w:ascii="Arial" w:hAnsi="Arial" w:cs="Arial"/>
        </w:rPr>
        <w:t>A balanced assessment has to be taken of risks – in many cases there are risks attached to both doing something and doing nothing.</w:t>
      </w:r>
    </w:p>
    <w:p w14:paraId="0491327E" w14:textId="77777777" w:rsidR="00F67107" w:rsidRPr="008D5390" w:rsidRDefault="00F67107" w:rsidP="00F67107">
      <w:pPr>
        <w:pStyle w:val="ListParagraph"/>
        <w:rPr>
          <w:rFonts w:ascii="Arial" w:hAnsi="Arial" w:cs="Arial"/>
        </w:rPr>
      </w:pPr>
    </w:p>
    <w:p w14:paraId="514AC9D0" w14:textId="77777777" w:rsidR="00F67107" w:rsidRDefault="00F67107" w:rsidP="00123855">
      <w:pPr>
        <w:pStyle w:val="ListParagraph"/>
        <w:spacing w:after="0" w:line="240" w:lineRule="auto"/>
        <w:ind w:left="567"/>
        <w:rPr>
          <w:rFonts w:ascii="Arial" w:hAnsi="Arial" w:cs="Arial"/>
        </w:rPr>
      </w:pPr>
      <w:r w:rsidRPr="008D5390">
        <w:rPr>
          <w:rFonts w:ascii="Arial" w:hAnsi="Arial" w:cs="Arial"/>
        </w:rPr>
        <w:t xml:space="preserve">Given the devolved nature of the University, the Statement is intended to act as a </w:t>
      </w:r>
      <w:r w:rsidR="00B03CCB">
        <w:rPr>
          <w:rFonts w:ascii="Arial" w:hAnsi="Arial" w:cs="Arial"/>
        </w:rPr>
        <w:t>set of limitations within which</w:t>
      </w:r>
      <w:r w:rsidRPr="008D5390">
        <w:rPr>
          <w:rFonts w:ascii="Arial" w:hAnsi="Arial" w:cs="Arial"/>
        </w:rPr>
        <w:t xml:space="preserve"> academic and professional managers and committees </w:t>
      </w:r>
      <w:r w:rsidR="00B03CCB">
        <w:rPr>
          <w:rFonts w:ascii="Arial" w:hAnsi="Arial" w:cs="Arial"/>
        </w:rPr>
        <w:t xml:space="preserve">should conduct their affairs, </w:t>
      </w:r>
      <w:r w:rsidRPr="008D5390">
        <w:rPr>
          <w:rFonts w:ascii="Arial" w:hAnsi="Arial" w:cs="Arial"/>
        </w:rPr>
        <w:t>indicating</w:t>
      </w:r>
      <w:r w:rsidR="00A76C07">
        <w:rPr>
          <w:rFonts w:ascii="Arial" w:hAnsi="Arial" w:cs="Arial"/>
        </w:rPr>
        <w:t>:</w:t>
      </w:r>
    </w:p>
    <w:p w14:paraId="3D2D19B0" w14:textId="77777777" w:rsidR="00E837FF" w:rsidRPr="008D5390" w:rsidRDefault="00E837FF" w:rsidP="00123855">
      <w:pPr>
        <w:pStyle w:val="ListParagraph"/>
        <w:spacing w:after="0" w:line="240" w:lineRule="auto"/>
        <w:ind w:left="567"/>
        <w:rPr>
          <w:rFonts w:ascii="Arial" w:hAnsi="Arial" w:cs="Arial"/>
        </w:rPr>
      </w:pPr>
    </w:p>
    <w:p w14:paraId="063F48B6" w14:textId="77777777" w:rsidR="00F67107" w:rsidRPr="008D5390" w:rsidRDefault="00F67107" w:rsidP="004D6EBB">
      <w:pPr>
        <w:pStyle w:val="ListParagraph"/>
        <w:numPr>
          <w:ilvl w:val="4"/>
          <w:numId w:val="4"/>
        </w:numPr>
        <w:tabs>
          <w:tab w:val="clear" w:pos="3600"/>
          <w:tab w:val="num" w:pos="1134"/>
        </w:tabs>
        <w:spacing w:after="0" w:line="240" w:lineRule="auto"/>
        <w:ind w:left="1134" w:hanging="425"/>
        <w:rPr>
          <w:rFonts w:ascii="Arial" w:hAnsi="Arial" w:cs="Arial"/>
        </w:rPr>
      </w:pPr>
      <w:r w:rsidRPr="008D5390">
        <w:rPr>
          <w:rFonts w:ascii="Arial" w:hAnsi="Arial" w:cs="Arial"/>
        </w:rPr>
        <w:t>the areas where colleagues should step out and be innovative</w:t>
      </w:r>
      <w:r w:rsidR="007A23CD">
        <w:rPr>
          <w:rFonts w:ascii="Arial" w:hAnsi="Arial" w:cs="Arial"/>
        </w:rPr>
        <w:t>;</w:t>
      </w:r>
      <w:r w:rsidRPr="008D5390">
        <w:rPr>
          <w:rFonts w:ascii="Arial" w:hAnsi="Arial" w:cs="Arial"/>
        </w:rPr>
        <w:t xml:space="preserve"> </w:t>
      </w:r>
    </w:p>
    <w:p w14:paraId="44D52471" w14:textId="77777777" w:rsidR="00F67107" w:rsidRPr="008D5390" w:rsidRDefault="00F67107" w:rsidP="004D6EBB">
      <w:pPr>
        <w:pStyle w:val="ListParagraph"/>
        <w:numPr>
          <w:ilvl w:val="4"/>
          <w:numId w:val="4"/>
        </w:numPr>
        <w:tabs>
          <w:tab w:val="clear" w:pos="3600"/>
          <w:tab w:val="num" w:pos="1134"/>
        </w:tabs>
        <w:spacing w:after="0" w:line="240" w:lineRule="auto"/>
        <w:ind w:left="1134" w:hanging="425"/>
        <w:rPr>
          <w:rFonts w:ascii="Arial" w:hAnsi="Arial" w:cs="Arial"/>
        </w:rPr>
      </w:pPr>
      <w:r w:rsidRPr="008D5390">
        <w:rPr>
          <w:rFonts w:ascii="Arial" w:hAnsi="Arial" w:cs="Arial"/>
        </w:rPr>
        <w:t>the areas where colleagues should be conservative and compliant in their activities</w:t>
      </w:r>
      <w:r w:rsidR="007A23CD">
        <w:rPr>
          <w:rFonts w:ascii="Arial" w:hAnsi="Arial" w:cs="Arial"/>
        </w:rPr>
        <w:t>;</w:t>
      </w:r>
      <w:r w:rsidRPr="008D5390">
        <w:rPr>
          <w:rFonts w:ascii="Arial" w:hAnsi="Arial" w:cs="Arial"/>
        </w:rPr>
        <w:t xml:space="preserve"> and </w:t>
      </w:r>
    </w:p>
    <w:p w14:paraId="3FE3D0FA" w14:textId="77777777" w:rsidR="00F67107" w:rsidRPr="008D5390" w:rsidRDefault="00F67107" w:rsidP="004D6EBB">
      <w:pPr>
        <w:pStyle w:val="ListParagraph"/>
        <w:numPr>
          <w:ilvl w:val="4"/>
          <w:numId w:val="4"/>
        </w:numPr>
        <w:tabs>
          <w:tab w:val="clear" w:pos="3600"/>
          <w:tab w:val="num" w:pos="1134"/>
        </w:tabs>
        <w:spacing w:after="0" w:line="240" w:lineRule="auto"/>
        <w:ind w:left="1134" w:hanging="425"/>
        <w:rPr>
          <w:rFonts w:ascii="Arial" w:hAnsi="Arial" w:cs="Arial"/>
        </w:rPr>
      </w:pPr>
      <w:r w:rsidRPr="008D5390">
        <w:rPr>
          <w:rFonts w:ascii="Arial" w:hAnsi="Arial" w:cs="Arial"/>
        </w:rPr>
        <w:t xml:space="preserve">the “lines” across which the University Court and senior management </w:t>
      </w:r>
      <w:r w:rsidR="000E3F5B">
        <w:rPr>
          <w:rFonts w:ascii="Arial" w:hAnsi="Arial" w:cs="Arial"/>
        </w:rPr>
        <w:t>do</w:t>
      </w:r>
      <w:r w:rsidRPr="008D5390">
        <w:rPr>
          <w:rFonts w:ascii="Arial" w:hAnsi="Arial" w:cs="Arial"/>
        </w:rPr>
        <w:t xml:space="preserve"> not wish to cross, and where the University’s senior management and Court would need to be notified.</w:t>
      </w:r>
    </w:p>
    <w:p w14:paraId="21D4DD11" w14:textId="77777777" w:rsidR="00F67107" w:rsidRPr="008D5390" w:rsidRDefault="00F67107" w:rsidP="00F67107">
      <w:pPr>
        <w:pStyle w:val="ListParagraph"/>
        <w:ind w:left="567"/>
        <w:rPr>
          <w:rFonts w:ascii="Arial" w:hAnsi="Arial" w:cs="Arial"/>
        </w:rPr>
      </w:pPr>
    </w:p>
    <w:p w14:paraId="7E318B45" w14:textId="77777777" w:rsidR="00F67107" w:rsidRPr="008D5390" w:rsidRDefault="00F67107" w:rsidP="00123855">
      <w:pPr>
        <w:pStyle w:val="ListParagraph"/>
        <w:spacing w:after="0" w:line="240" w:lineRule="auto"/>
        <w:ind w:left="567"/>
        <w:rPr>
          <w:rFonts w:ascii="Arial" w:hAnsi="Arial" w:cs="Arial"/>
        </w:rPr>
      </w:pPr>
      <w:r w:rsidRPr="008D5390">
        <w:rPr>
          <w:rFonts w:ascii="Arial" w:hAnsi="Arial" w:cs="Arial"/>
        </w:rPr>
        <w:t>Where appropriate, the implementation of the Statement will be incorporated into processes and procedures of the University.</w:t>
      </w:r>
    </w:p>
    <w:p w14:paraId="4DB8DBD0" w14:textId="77777777" w:rsidR="00F67107" w:rsidRPr="008D5390" w:rsidRDefault="00F67107" w:rsidP="00F67107">
      <w:pPr>
        <w:pStyle w:val="ListParagraph"/>
        <w:ind w:left="567"/>
        <w:rPr>
          <w:rFonts w:ascii="Arial" w:hAnsi="Arial" w:cs="Arial"/>
        </w:rPr>
      </w:pPr>
    </w:p>
    <w:p w14:paraId="47D59D3E" w14:textId="77777777" w:rsidR="00F67107" w:rsidRPr="008D5390" w:rsidRDefault="00F67107" w:rsidP="00B01930">
      <w:pPr>
        <w:pStyle w:val="ListParagraph"/>
        <w:spacing w:after="0" w:line="240" w:lineRule="auto"/>
        <w:ind w:left="567"/>
        <w:rPr>
          <w:rFonts w:ascii="Arial" w:hAnsi="Arial" w:cs="Arial"/>
        </w:rPr>
      </w:pPr>
      <w:r w:rsidRPr="008D5390">
        <w:rPr>
          <w:rFonts w:ascii="Arial" w:hAnsi="Arial" w:cs="Arial"/>
        </w:rPr>
        <w:t xml:space="preserve">Responsibility for managing the activities of the University within the Statement of Risk Policy and Risk Appetite lies with the management of the University in particular Heads of Colleges, Schools, </w:t>
      </w:r>
      <w:r w:rsidR="00026931">
        <w:rPr>
          <w:rFonts w:ascii="Arial" w:hAnsi="Arial" w:cs="Arial"/>
        </w:rPr>
        <w:t xml:space="preserve">Professional </w:t>
      </w:r>
      <w:r w:rsidRPr="008D5390">
        <w:rPr>
          <w:rFonts w:ascii="Arial" w:hAnsi="Arial" w:cs="Arial"/>
        </w:rPr>
        <w:t>Services and Subsidiary Companies, as well as key University and College Committees.</w:t>
      </w:r>
    </w:p>
    <w:p w14:paraId="68FE35D4" w14:textId="77777777" w:rsidR="00E837FF" w:rsidRDefault="00E837FF">
      <w:pPr>
        <w:rPr>
          <w:rFonts w:ascii="Arial" w:hAnsi="Arial" w:cs="Arial"/>
          <w:b/>
        </w:rPr>
      </w:pPr>
      <w:r>
        <w:rPr>
          <w:rFonts w:ascii="Arial" w:hAnsi="Arial" w:cs="Arial"/>
          <w:b/>
        </w:rPr>
        <w:br w:type="page"/>
      </w:r>
    </w:p>
    <w:p w14:paraId="7B63EBD7" w14:textId="77777777" w:rsidR="00F67107" w:rsidRPr="00FB3C96" w:rsidRDefault="00F67107" w:rsidP="00F85115">
      <w:pPr>
        <w:ind w:left="567"/>
        <w:rPr>
          <w:rFonts w:ascii="Arial" w:hAnsi="Arial" w:cs="Arial"/>
          <w:b/>
        </w:rPr>
      </w:pPr>
      <w:r w:rsidRPr="00FB3C96">
        <w:rPr>
          <w:rFonts w:ascii="Arial" w:hAnsi="Arial" w:cs="Arial"/>
          <w:b/>
        </w:rPr>
        <w:lastRenderedPageBreak/>
        <w:t>Statement of Risk Policy and Risk Appetite</w:t>
      </w:r>
    </w:p>
    <w:tbl>
      <w:tblPr>
        <w:tblStyle w:val="TableGrid"/>
        <w:tblW w:w="9356" w:type="dxa"/>
        <w:tblInd w:w="137" w:type="dxa"/>
        <w:tblLook w:val="04A0" w:firstRow="1" w:lastRow="0" w:firstColumn="1" w:lastColumn="0" w:noHBand="0" w:noVBand="1"/>
      </w:tblPr>
      <w:tblGrid>
        <w:gridCol w:w="9356"/>
      </w:tblGrid>
      <w:tr w:rsidR="00F67107" w:rsidRPr="00FB3C96" w14:paraId="4290A66F" w14:textId="77777777" w:rsidTr="004C0447">
        <w:tc>
          <w:tcPr>
            <w:tcW w:w="9356" w:type="dxa"/>
          </w:tcPr>
          <w:p w14:paraId="435B918A" w14:textId="77777777" w:rsidR="00F67107" w:rsidRPr="00FB3C96" w:rsidRDefault="00F67107" w:rsidP="00793EB3">
            <w:pPr>
              <w:ind w:left="175"/>
              <w:rPr>
                <w:rFonts w:ascii="Arial" w:hAnsi="Arial" w:cs="Arial"/>
              </w:rPr>
            </w:pPr>
            <w:r w:rsidRPr="00FB3C96">
              <w:rPr>
                <w:rFonts w:ascii="Arial" w:hAnsi="Arial" w:cs="Arial"/>
              </w:rPr>
              <w:t>The University’s approach is to minimise its exposure to reputational, compliance and financial risk, whilst accepting and encouraging an increased degree of risk in pursuit of its mission and objectives. It recognises that its appetite for risk varies according to the activity undertaken, and that its acceptance of risk is subject always to ensuring that potential benefits and risks are fully understood before developments are authorised, and that sensible measures to mitigate risk are established.</w:t>
            </w:r>
          </w:p>
          <w:p w14:paraId="2AEB2D7B" w14:textId="77777777" w:rsidR="00F67107" w:rsidRPr="00FB3C96" w:rsidRDefault="00F67107" w:rsidP="00793EB3">
            <w:pPr>
              <w:ind w:left="175"/>
              <w:rPr>
                <w:rFonts w:ascii="Arial" w:hAnsi="Arial" w:cs="Arial"/>
              </w:rPr>
            </w:pPr>
          </w:p>
          <w:p w14:paraId="1B3C9310" w14:textId="77777777" w:rsidR="00F67107" w:rsidRDefault="00F67107" w:rsidP="00793EB3">
            <w:pPr>
              <w:ind w:left="175"/>
              <w:rPr>
                <w:rFonts w:ascii="Arial" w:hAnsi="Arial" w:cs="Arial"/>
              </w:rPr>
            </w:pPr>
            <w:r w:rsidRPr="00FB3C96">
              <w:rPr>
                <w:rFonts w:ascii="Arial" w:hAnsi="Arial" w:cs="Arial"/>
              </w:rPr>
              <w:t>The University’s appetite for risk across its activities is provided in the following statements, and i</w:t>
            </w:r>
            <w:r w:rsidR="00BE67E8">
              <w:rPr>
                <w:rFonts w:ascii="Arial" w:hAnsi="Arial" w:cs="Arial"/>
              </w:rPr>
              <w:t>s illustrated diagrammatically.</w:t>
            </w:r>
          </w:p>
          <w:p w14:paraId="7DE29C4F" w14:textId="77777777" w:rsidR="00301DC9" w:rsidRPr="00FB3C96" w:rsidRDefault="00301DC9" w:rsidP="00793EB3">
            <w:pPr>
              <w:ind w:left="175"/>
              <w:rPr>
                <w:rFonts w:ascii="Arial" w:hAnsi="Arial" w:cs="Arial"/>
              </w:rPr>
            </w:pPr>
          </w:p>
          <w:p w14:paraId="7993782F" w14:textId="77777777" w:rsidR="00F67107" w:rsidRPr="00FB3C96" w:rsidRDefault="00F67107" w:rsidP="00793EB3">
            <w:pPr>
              <w:ind w:left="175"/>
              <w:rPr>
                <w:rFonts w:ascii="Arial" w:hAnsi="Arial" w:cs="Arial"/>
              </w:rPr>
            </w:pPr>
          </w:p>
          <w:tbl>
            <w:tblPr>
              <w:tblStyle w:val="TableGrid"/>
              <w:tblW w:w="0" w:type="auto"/>
              <w:tblInd w:w="279" w:type="dxa"/>
              <w:tblLook w:val="04A0" w:firstRow="1" w:lastRow="0" w:firstColumn="1" w:lastColumn="0" w:noHBand="0" w:noVBand="1"/>
            </w:tblPr>
            <w:tblGrid>
              <w:gridCol w:w="3352"/>
              <w:gridCol w:w="594"/>
              <w:gridCol w:w="520"/>
              <w:gridCol w:w="248"/>
              <w:gridCol w:w="272"/>
              <w:gridCol w:w="520"/>
              <w:gridCol w:w="520"/>
              <w:gridCol w:w="106"/>
              <w:gridCol w:w="414"/>
              <w:gridCol w:w="520"/>
              <w:gridCol w:w="520"/>
              <w:gridCol w:w="528"/>
              <w:gridCol w:w="737"/>
            </w:tblGrid>
            <w:tr w:rsidR="0093731C" w:rsidRPr="00FB3C96" w14:paraId="41A30216" w14:textId="77777777" w:rsidTr="00FD4F0E">
              <w:tc>
                <w:tcPr>
                  <w:tcW w:w="3352" w:type="dxa"/>
                  <w:tcBorders>
                    <w:top w:val="nil"/>
                    <w:left w:val="nil"/>
                    <w:bottom w:val="nil"/>
                  </w:tcBorders>
                </w:tcPr>
                <w:p w14:paraId="29769C16" w14:textId="77777777" w:rsidR="0093731C" w:rsidRPr="00FB3C96" w:rsidRDefault="0093731C" w:rsidP="004C0447">
                  <w:pPr>
                    <w:ind w:left="175"/>
                    <w:rPr>
                      <w:rFonts w:ascii="Arial" w:hAnsi="Arial" w:cs="Arial"/>
                    </w:rPr>
                  </w:pPr>
                </w:p>
              </w:tc>
              <w:tc>
                <w:tcPr>
                  <w:tcW w:w="2780" w:type="dxa"/>
                  <w:gridSpan w:val="7"/>
                  <w:tcBorders>
                    <w:bottom w:val="single" w:sz="4" w:space="0" w:color="auto"/>
                    <w:right w:val="nil"/>
                  </w:tcBorders>
                </w:tcPr>
                <w:p w14:paraId="464EB8F4" w14:textId="77777777" w:rsidR="004C0447" w:rsidRDefault="00356C73" w:rsidP="004C0447">
                  <w:pPr>
                    <w:ind w:left="175"/>
                    <w:rPr>
                      <w:rFonts w:ascii="Arial" w:hAnsi="Arial" w:cs="Arial"/>
                    </w:rPr>
                  </w:pPr>
                  <w:r>
                    <w:rPr>
                      <w:rFonts w:ascii="Arial" w:hAnsi="Arial" w:cs="Arial"/>
                    </w:rPr>
                    <w:t xml:space="preserve">&lt;  </w:t>
                  </w:r>
                  <w:r w:rsidR="0093731C">
                    <w:rPr>
                      <w:rFonts w:ascii="Arial" w:hAnsi="Arial" w:cs="Arial"/>
                    </w:rPr>
                    <w:t xml:space="preserve">Less acceptable </w:t>
                  </w:r>
                </w:p>
                <w:p w14:paraId="551A54FC" w14:textId="77777777" w:rsidR="0093731C" w:rsidRPr="00FB3C96" w:rsidRDefault="00356C73" w:rsidP="004C0447">
                  <w:pPr>
                    <w:ind w:left="175"/>
                    <w:rPr>
                      <w:rFonts w:ascii="Arial" w:hAnsi="Arial" w:cs="Arial"/>
                    </w:rPr>
                  </w:pPr>
                  <w:r>
                    <w:rPr>
                      <w:rFonts w:ascii="Arial" w:hAnsi="Arial" w:cs="Arial"/>
                    </w:rPr>
                    <w:t xml:space="preserve">&lt;  </w:t>
                  </w:r>
                  <w:r w:rsidR="0093731C">
                    <w:rPr>
                      <w:rFonts w:ascii="Arial" w:hAnsi="Arial" w:cs="Arial"/>
                    </w:rPr>
                    <w:t>to take risks</w:t>
                  </w:r>
                </w:p>
              </w:tc>
              <w:tc>
                <w:tcPr>
                  <w:tcW w:w="2719" w:type="dxa"/>
                  <w:gridSpan w:val="5"/>
                  <w:tcBorders>
                    <w:left w:val="nil"/>
                    <w:bottom w:val="single" w:sz="4" w:space="0" w:color="auto"/>
                  </w:tcBorders>
                </w:tcPr>
                <w:p w14:paraId="6E3B3A69" w14:textId="77777777" w:rsidR="004C0447" w:rsidRDefault="004C0447" w:rsidP="004C0447">
                  <w:pPr>
                    <w:ind w:left="175"/>
                    <w:jc w:val="right"/>
                    <w:rPr>
                      <w:rFonts w:ascii="Arial" w:hAnsi="Arial" w:cs="Arial"/>
                    </w:rPr>
                  </w:pPr>
                  <w:r>
                    <w:rPr>
                      <w:rFonts w:ascii="Arial" w:hAnsi="Arial" w:cs="Arial"/>
                    </w:rPr>
                    <w:t>More acceptable</w:t>
                  </w:r>
                  <w:r w:rsidR="00356C73">
                    <w:rPr>
                      <w:rFonts w:ascii="Arial" w:hAnsi="Arial" w:cs="Arial"/>
                    </w:rPr>
                    <w:t xml:space="preserve">  &gt;</w:t>
                  </w:r>
                  <w:r>
                    <w:rPr>
                      <w:rFonts w:ascii="Arial" w:hAnsi="Arial" w:cs="Arial"/>
                    </w:rPr>
                    <w:t xml:space="preserve"> </w:t>
                  </w:r>
                </w:p>
                <w:p w14:paraId="713CB970" w14:textId="77777777" w:rsidR="0093731C" w:rsidRPr="00FB3C96" w:rsidRDefault="004C0447" w:rsidP="004C0447">
                  <w:pPr>
                    <w:ind w:left="175"/>
                    <w:jc w:val="right"/>
                    <w:rPr>
                      <w:rFonts w:ascii="Arial" w:hAnsi="Arial" w:cs="Arial"/>
                    </w:rPr>
                  </w:pPr>
                  <w:r>
                    <w:rPr>
                      <w:rFonts w:ascii="Arial" w:hAnsi="Arial" w:cs="Arial"/>
                    </w:rPr>
                    <w:t>to take risks</w:t>
                  </w:r>
                  <w:r w:rsidR="00356C73">
                    <w:rPr>
                      <w:rFonts w:ascii="Arial" w:hAnsi="Arial" w:cs="Arial"/>
                    </w:rPr>
                    <w:t xml:space="preserve">  &gt;</w:t>
                  </w:r>
                </w:p>
              </w:tc>
            </w:tr>
            <w:tr w:rsidR="00681B6F" w:rsidRPr="00FB3C96" w14:paraId="71F41E2B" w14:textId="77777777" w:rsidTr="00FD4F0E">
              <w:tc>
                <w:tcPr>
                  <w:tcW w:w="3352" w:type="dxa"/>
                  <w:tcBorders>
                    <w:top w:val="nil"/>
                    <w:left w:val="nil"/>
                  </w:tcBorders>
                </w:tcPr>
                <w:p w14:paraId="2593DE56" w14:textId="77777777" w:rsidR="00C1190C" w:rsidRPr="00FB3C96" w:rsidRDefault="00C1190C" w:rsidP="00793EB3">
                  <w:pPr>
                    <w:ind w:left="175"/>
                    <w:rPr>
                      <w:rFonts w:ascii="Arial" w:hAnsi="Arial" w:cs="Arial"/>
                    </w:rPr>
                  </w:pPr>
                </w:p>
              </w:tc>
              <w:tc>
                <w:tcPr>
                  <w:tcW w:w="1362" w:type="dxa"/>
                  <w:gridSpan w:val="3"/>
                  <w:tcBorders>
                    <w:bottom w:val="single" w:sz="4" w:space="0" w:color="auto"/>
                    <w:right w:val="single" w:sz="4" w:space="0" w:color="auto"/>
                  </w:tcBorders>
                  <w:shd w:val="clear" w:color="auto" w:fill="00B050"/>
                </w:tcPr>
                <w:p w14:paraId="34C542A3" w14:textId="77777777" w:rsidR="00C1190C" w:rsidRDefault="00C1190C" w:rsidP="00C1190C">
                  <w:pPr>
                    <w:jc w:val="center"/>
                    <w:rPr>
                      <w:rFonts w:ascii="Arial" w:hAnsi="Arial" w:cs="Arial"/>
                    </w:rPr>
                  </w:pPr>
                  <w:r>
                    <w:rPr>
                      <w:rFonts w:ascii="Arial" w:hAnsi="Arial" w:cs="Arial"/>
                    </w:rPr>
                    <w:t>0-5</w:t>
                  </w:r>
                </w:p>
                <w:p w14:paraId="0E9A464D" w14:textId="77777777" w:rsidR="00C1190C" w:rsidRPr="00FB3C96" w:rsidRDefault="00C1190C" w:rsidP="00C1190C">
                  <w:pPr>
                    <w:jc w:val="center"/>
                    <w:rPr>
                      <w:rFonts w:ascii="Arial" w:hAnsi="Arial" w:cs="Arial"/>
                    </w:rPr>
                  </w:pPr>
                  <w:r>
                    <w:rPr>
                      <w:rFonts w:ascii="Arial" w:hAnsi="Arial" w:cs="Arial"/>
                    </w:rPr>
                    <w:t>Low</w:t>
                  </w:r>
                </w:p>
              </w:tc>
              <w:tc>
                <w:tcPr>
                  <w:tcW w:w="1418" w:type="dxa"/>
                  <w:gridSpan w:val="4"/>
                  <w:tcBorders>
                    <w:left w:val="single" w:sz="4" w:space="0" w:color="auto"/>
                    <w:bottom w:val="single" w:sz="4" w:space="0" w:color="auto"/>
                    <w:right w:val="single" w:sz="4" w:space="0" w:color="auto"/>
                  </w:tcBorders>
                  <w:shd w:val="clear" w:color="auto" w:fill="FFFF00"/>
                </w:tcPr>
                <w:p w14:paraId="4F87BEB4" w14:textId="77777777" w:rsidR="00C1190C" w:rsidRDefault="00C1190C" w:rsidP="00C1190C">
                  <w:pPr>
                    <w:jc w:val="center"/>
                    <w:rPr>
                      <w:rFonts w:ascii="Arial" w:hAnsi="Arial" w:cs="Arial"/>
                    </w:rPr>
                  </w:pPr>
                  <w:r>
                    <w:rPr>
                      <w:rFonts w:ascii="Arial" w:hAnsi="Arial" w:cs="Arial"/>
                    </w:rPr>
                    <w:t>6-10</w:t>
                  </w:r>
                </w:p>
                <w:p w14:paraId="25ABEB37" w14:textId="77777777" w:rsidR="00C1190C" w:rsidRPr="00FB3C96" w:rsidRDefault="00C1190C" w:rsidP="00C1190C">
                  <w:pPr>
                    <w:jc w:val="center"/>
                    <w:rPr>
                      <w:rFonts w:ascii="Arial" w:hAnsi="Arial" w:cs="Arial"/>
                    </w:rPr>
                  </w:pPr>
                  <w:r>
                    <w:rPr>
                      <w:rFonts w:ascii="Arial" w:hAnsi="Arial" w:cs="Arial"/>
                    </w:rPr>
                    <w:t>Medium</w:t>
                  </w:r>
                </w:p>
              </w:tc>
              <w:tc>
                <w:tcPr>
                  <w:tcW w:w="1454" w:type="dxa"/>
                  <w:gridSpan w:val="3"/>
                  <w:tcBorders>
                    <w:left w:val="single" w:sz="4" w:space="0" w:color="auto"/>
                    <w:bottom w:val="single" w:sz="4" w:space="0" w:color="auto"/>
                    <w:right w:val="single" w:sz="4" w:space="0" w:color="auto"/>
                  </w:tcBorders>
                  <w:shd w:val="clear" w:color="auto" w:fill="F79646" w:themeFill="accent6"/>
                </w:tcPr>
                <w:p w14:paraId="4F6B5F11" w14:textId="77777777" w:rsidR="00C1190C" w:rsidRDefault="00356C73" w:rsidP="00C1190C">
                  <w:pPr>
                    <w:jc w:val="center"/>
                    <w:rPr>
                      <w:rFonts w:ascii="Arial" w:hAnsi="Arial" w:cs="Arial"/>
                    </w:rPr>
                  </w:pPr>
                  <w:r>
                    <w:rPr>
                      <w:rFonts w:ascii="Arial" w:hAnsi="Arial" w:cs="Arial"/>
                    </w:rPr>
                    <w:t>12</w:t>
                  </w:r>
                  <w:r w:rsidR="00C1190C">
                    <w:rPr>
                      <w:rFonts w:ascii="Arial" w:hAnsi="Arial" w:cs="Arial"/>
                    </w:rPr>
                    <w:t>-16</w:t>
                  </w:r>
                </w:p>
                <w:p w14:paraId="652AF0F5" w14:textId="77777777" w:rsidR="00C1190C" w:rsidRPr="00FB3C96" w:rsidRDefault="00C1190C" w:rsidP="00C1190C">
                  <w:pPr>
                    <w:jc w:val="center"/>
                    <w:rPr>
                      <w:rFonts w:ascii="Arial" w:hAnsi="Arial" w:cs="Arial"/>
                    </w:rPr>
                  </w:pPr>
                  <w:r>
                    <w:rPr>
                      <w:rFonts w:ascii="Arial" w:hAnsi="Arial" w:cs="Arial"/>
                    </w:rPr>
                    <w:t>High</w:t>
                  </w:r>
                </w:p>
              </w:tc>
              <w:tc>
                <w:tcPr>
                  <w:tcW w:w="1265" w:type="dxa"/>
                  <w:gridSpan w:val="2"/>
                  <w:tcBorders>
                    <w:left w:val="single" w:sz="4" w:space="0" w:color="auto"/>
                    <w:bottom w:val="single" w:sz="4" w:space="0" w:color="auto"/>
                    <w:right w:val="single" w:sz="4" w:space="0" w:color="auto"/>
                  </w:tcBorders>
                  <w:shd w:val="clear" w:color="auto" w:fill="FF0000"/>
                </w:tcPr>
                <w:p w14:paraId="3B6AC26B" w14:textId="77777777" w:rsidR="00C1190C" w:rsidRDefault="00356C73" w:rsidP="0093731C">
                  <w:pPr>
                    <w:ind w:left="175"/>
                    <w:jc w:val="center"/>
                    <w:rPr>
                      <w:rFonts w:ascii="Arial" w:hAnsi="Arial" w:cs="Arial"/>
                    </w:rPr>
                  </w:pPr>
                  <w:r>
                    <w:rPr>
                      <w:rFonts w:ascii="Arial" w:hAnsi="Arial" w:cs="Arial"/>
                    </w:rPr>
                    <w:t>18</w:t>
                  </w:r>
                  <w:r w:rsidR="00C1190C">
                    <w:rPr>
                      <w:rFonts w:ascii="Arial" w:hAnsi="Arial" w:cs="Arial"/>
                    </w:rPr>
                    <w:t>-25</w:t>
                  </w:r>
                </w:p>
                <w:p w14:paraId="09B14D6E" w14:textId="77777777" w:rsidR="00C1190C" w:rsidRPr="00FB3C96" w:rsidRDefault="0093731C" w:rsidP="0093731C">
                  <w:pPr>
                    <w:jc w:val="center"/>
                    <w:rPr>
                      <w:rFonts w:ascii="Arial" w:hAnsi="Arial" w:cs="Arial"/>
                    </w:rPr>
                  </w:pPr>
                  <w:r>
                    <w:rPr>
                      <w:rFonts w:ascii="Arial" w:hAnsi="Arial" w:cs="Arial"/>
                    </w:rPr>
                    <w:t>Extreme</w:t>
                  </w:r>
                </w:p>
              </w:tc>
            </w:tr>
            <w:tr w:rsidR="00F67107" w:rsidRPr="00FB3C96" w14:paraId="21FFF4FE" w14:textId="77777777" w:rsidTr="00681B6F">
              <w:tc>
                <w:tcPr>
                  <w:tcW w:w="3352" w:type="dxa"/>
                </w:tcPr>
                <w:p w14:paraId="3D365414" w14:textId="77777777" w:rsidR="00F67107" w:rsidRPr="00FB3C96" w:rsidRDefault="00F67107" w:rsidP="00793EB3">
                  <w:pPr>
                    <w:ind w:left="175"/>
                    <w:rPr>
                      <w:rFonts w:ascii="Arial" w:hAnsi="Arial" w:cs="Arial"/>
                    </w:rPr>
                  </w:pPr>
                  <w:r w:rsidRPr="00FB3C96">
                    <w:rPr>
                      <w:rFonts w:ascii="Arial" w:hAnsi="Arial" w:cs="Arial"/>
                    </w:rPr>
                    <w:t>Reputation</w:t>
                  </w:r>
                </w:p>
              </w:tc>
              <w:tc>
                <w:tcPr>
                  <w:tcW w:w="594" w:type="dxa"/>
                  <w:tcBorders>
                    <w:bottom w:val="single" w:sz="4" w:space="0" w:color="auto"/>
                    <w:right w:val="nil"/>
                  </w:tcBorders>
                  <w:shd w:val="clear" w:color="auto" w:fill="BFBFBF" w:themeFill="background1" w:themeFillShade="BF"/>
                </w:tcPr>
                <w:p w14:paraId="684451DD" w14:textId="77777777" w:rsidR="00F67107" w:rsidRPr="00FB3C96" w:rsidRDefault="00F67107" w:rsidP="00793EB3">
                  <w:pPr>
                    <w:ind w:left="175"/>
                    <w:rPr>
                      <w:rFonts w:ascii="Arial" w:hAnsi="Arial" w:cs="Arial"/>
                    </w:rPr>
                  </w:pPr>
                  <w:r w:rsidRPr="00FB3C96">
                    <w:rPr>
                      <w:rFonts w:ascii="Arial" w:hAnsi="Arial" w:cs="Arial"/>
                    </w:rPr>
                    <w:t>&lt;</w:t>
                  </w:r>
                </w:p>
              </w:tc>
              <w:tc>
                <w:tcPr>
                  <w:tcW w:w="520" w:type="dxa"/>
                  <w:tcBorders>
                    <w:left w:val="nil"/>
                    <w:bottom w:val="single" w:sz="4" w:space="0" w:color="auto"/>
                    <w:right w:val="nil"/>
                  </w:tcBorders>
                  <w:shd w:val="clear" w:color="auto" w:fill="BFBFBF" w:themeFill="background1" w:themeFillShade="BF"/>
                </w:tcPr>
                <w:p w14:paraId="200579E2" w14:textId="77777777" w:rsidR="00F67107" w:rsidRPr="00FB3C96" w:rsidRDefault="00F67107" w:rsidP="00793EB3">
                  <w:pPr>
                    <w:ind w:left="175"/>
                    <w:rPr>
                      <w:rFonts w:ascii="Arial" w:hAnsi="Arial" w:cs="Arial"/>
                    </w:rPr>
                  </w:pPr>
                  <w:r w:rsidRPr="00FB3C96">
                    <w:rPr>
                      <w:rFonts w:ascii="Arial" w:hAnsi="Arial" w:cs="Arial"/>
                    </w:rPr>
                    <w:t>&gt;</w:t>
                  </w:r>
                </w:p>
              </w:tc>
              <w:tc>
                <w:tcPr>
                  <w:tcW w:w="520" w:type="dxa"/>
                  <w:gridSpan w:val="2"/>
                  <w:tcBorders>
                    <w:left w:val="nil"/>
                    <w:bottom w:val="single" w:sz="4" w:space="0" w:color="auto"/>
                    <w:right w:val="nil"/>
                  </w:tcBorders>
                </w:tcPr>
                <w:p w14:paraId="0D218A7A"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5ACA26B6"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183BFD65" w14:textId="77777777" w:rsidR="00F67107" w:rsidRPr="00FB3C96" w:rsidRDefault="00F67107" w:rsidP="00793EB3">
                  <w:pPr>
                    <w:ind w:left="175"/>
                    <w:rPr>
                      <w:rFonts w:ascii="Arial" w:hAnsi="Arial" w:cs="Arial"/>
                    </w:rPr>
                  </w:pPr>
                </w:p>
              </w:tc>
              <w:tc>
                <w:tcPr>
                  <w:tcW w:w="520" w:type="dxa"/>
                  <w:gridSpan w:val="2"/>
                  <w:tcBorders>
                    <w:left w:val="nil"/>
                    <w:bottom w:val="single" w:sz="4" w:space="0" w:color="auto"/>
                    <w:right w:val="nil"/>
                  </w:tcBorders>
                </w:tcPr>
                <w:p w14:paraId="5074C709"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2B0478B7"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6597D327" w14:textId="77777777" w:rsidR="00F67107" w:rsidRPr="00FB3C96" w:rsidRDefault="00F67107" w:rsidP="00793EB3">
                  <w:pPr>
                    <w:ind w:left="175"/>
                    <w:rPr>
                      <w:rFonts w:ascii="Arial" w:hAnsi="Arial" w:cs="Arial"/>
                    </w:rPr>
                  </w:pPr>
                </w:p>
              </w:tc>
              <w:tc>
                <w:tcPr>
                  <w:tcW w:w="528" w:type="dxa"/>
                  <w:tcBorders>
                    <w:left w:val="nil"/>
                    <w:bottom w:val="single" w:sz="4" w:space="0" w:color="auto"/>
                    <w:right w:val="nil"/>
                  </w:tcBorders>
                </w:tcPr>
                <w:p w14:paraId="0C8C74BC" w14:textId="77777777" w:rsidR="00F67107" w:rsidRPr="00FB3C96" w:rsidRDefault="00F67107" w:rsidP="00793EB3">
                  <w:pPr>
                    <w:ind w:left="175"/>
                    <w:rPr>
                      <w:rFonts w:ascii="Arial" w:hAnsi="Arial" w:cs="Arial"/>
                    </w:rPr>
                  </w:pPr>
                </w:p>
              </w:tc>
              <w:tc>
                <w:tcPr>
                  <w:tcW w:w="737" w:type="dxa"/>
                  <w:tcBorders>
                    <w:left w:val="nil"/>
                  </w:tcBorders>
                </w:tcPr>
                <w:p w14:paraId="0367038D" w14:textId="77777777" w:rsidR="00F67107" w:rsidRPr="00FB3C96" w:rsidRDefault="00F67107" w:rsidP="00793EB3">
                  <w:pPr>
                    <w:ind w:left="175"/>
                    <w:rPr>
                      <w:rFonts w:ascii="Arial" w:hAnsi="Arial" w:cs="Arial"/>
                    </w:rPr>
                  </w:pPr>
                </w:p>
              </w:tc>
            </w:tr>
            <w:tr w:rsidR="00F67107" w:rsidRPr="00FB3C96" w14:paraId="548B0FB9" w14:textId="77777777" w:rsidTr="00681B6F">
              <w:tc>
                <w:tcPr>
                  <w:tcW w:w="3352" w:type="dxa"/>
                </w:tcPr>
                <w:p w14:paraId="736673A9" w14:textId="77777777" w:rsidR="00F67107" w:rsidRPr="00FB3C96" w:rsidRDefault="00F67107" w:rsidP="00793EB3">
                  <w:pPr>
                    <w:ind w:left="175"/>
                    <w:rPr>
                      <w:rFonts w:ascii="Arial" w:hAnsi="Arial" w:cs="Arial"/>
                    </w:rPr>
                  </w:pPr>
                  <w:r w:rsidRPr="00FB3C96">
                    <w:rPr>
                      <w:rFonts w:ascii="Arial" w:hAnsi="Arial" w:cs="Arial"/>
                    </w:rPr>
                    <w:t>Compliance</w:t>
                  </w:r>
                </w:p>
              </w:tc>
              <w:tc>
                <w:tcPr>
                  <w:tcW w:w="594" w:type="dxa"/>
                  <w:tcBorders>
                    <w:right w:val="nil"/>
                  </w:tcBorders>
                  <w:shd w:val="clear" w:color="auto" w:fill="BFBFBF" w:themeFill="background1" w:themeFillShade="BF"/>
                </w:tcPr>
                <w:p w14:paraId="3C700DDC" w14:textId="77777777" w:rsidR="00F67107" w:rsidRPr="00FB3C96" w:rsidRDefault="00F67107" w:rsidP="00793EB3">
                  <w:pPr>
                    <w:ind w:left="175"/>
                    <w:rPr>
                      <w:rFonts w:ascii="Arial" w:hAnsi="Arial" w:cs="Arial"/>
                    </w:rPr>
                  </w:pPr>
                  <w:r w:rsidRPr="00FB3C96">
                    <w:rPr>
                      <w:rFonts w:ascii="Arial" w:hAnsi="Arial" w:cs="Arial"/>
                    </w:rPr>
                    <w:t>&lt;</w:t>
                  </w:r>
                </w:p>
              </w:tc>
              <w:tc>
                <w:tcPr>
                  <w:tcW w:w="520" w:type="dxa"/>
                  <w:tcBorders>
                    <w:left w:val="nil"/>
                    <w:right w:val="nil"/>
                  </w:tcBorders>
                  <w:shd w:val="clear" w:color="auto" w:fill="BFBFBF" w:themeFill="background1" w:themeFillShade="BF"/>
                </w:tcPr>
                <w:p w14:paraId="31D08751" w14:textId="77777777" w:rsidR="00F67107" w:rsidRPr="00FB3C96" w:rsidRDefault="00F67107" w:rsidP="00793EB3">
                  <w:pPr>
                    <w:ind w:left="175"/>
                    <w:rPr>
                      <w:rFonts w:ascii="Arial" w:hAnsi="Arial" w:cs="Arial"/>
                    </w:rPr>
                  </w:pPr>
                  <w:r w:rsidRPr="00FB3C96">
                    <w:rPr>
                      <w:rFonts w:ascii="Arial" w:hAnsi="Arial" w:cs="Arial"/>
                    </w:rPr>
                    <w:t>&gt;</w:t>
                  </w:r>
                </w:p>
              </w:tc>
              <w:tc>
                <w:tcPr>
                  <w:tcW w:w="520" w:type="dxa"/>
                  <w:gridSpan w:val="2"/>
                  <w:tcBorders>
                    <w:left w:val="nil"/>
                    <w:bottom w:val="single" w:sz="4" w:space="0" w:color="auto"/>
                    <w:right w:val="nil"/>
                  </w:tcBorders>
                </w:tcPr>
                <w:p w14:paraId="27E3F276"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6ED97002"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26AAE015" w14:textId="77777777" w:rsidR="00F67107" w:rsidRPr="00FB3C96" w:rsidRDefault="00F67107" w:rsidP="00793EB3">
                  <w:pPr>
                    <w:ind w:left="175"/>
                    <w:rPr>
                      <w:rFonts w:ascii="Arial" w:hAnsi="Arial" w:cs="Arial"/>
                    </w:rPr>
                  </w:pPr>
                </w:p>
              </w:tc>
              <w:tc>
                <w:tcPr>
                  <w:tcW w:w="520" w:type="dxa"/>
                  <w:gridSpan w:val="2"/>
                  <w:tcBorders>
                    <w:left w:val="nil"/>
                    <w:right w:val="nil"/>
                  </w:tcBorders>
                </w:tcPr>
                <w:p w14:paraId="04635A14" w14:textId="77777777" w:rsidR="00F67107" w:rsidRPr="00FB3C96" w:rsidRDefault="00F67107" w:rsidP="00793EB3">
                  <w:pPr>
                    <w:ind w:left="175"/>
                    <w:rPr>
                      <w:rFonts w:ascii="Arial" w:hAnsi="Arial" w:cs="Arial"/>
                    </w:rPr>
                  </w:pPr>
                </w:p>
              </w:tc>
              <w:tc>
                <w:tcPr>
                  <w:tcW w:w="520" w:type="dxa"/>
                  <w:tcBorders>
                    <w:left w:val="nil"/>
                    <w:right w:val="nil"/>
                  </w:tcBorders>
                </w:tcPr>
                <w:p w14:paraId="72835993" w14:textId="77777777" w:rsidR="00F67107" w:rsidRPr="00FB3C96" w:rsidRDefault="00F67107" w:rsidP="00793EB3">
                  <w:pPr>
                    <w:ind w:left="175"/>
                    <w:rPr>
                      <w:rFonts w:ascii="Arial" w:hAnsi="Arial" w:cs="Arial"/>
                    </w:rPr>
                  </w:pPr>
                </w:p>
              </w:tc>
              <w:tc>
                <w:tcPr>
                  <w:tcW w:w="520" w:type="dxa"/>
                  <w:tcBorders>
                    <w:left w:val="nil"/>
                    <w:right w:val="nil"/>
                  </w:tcBorders>
                </w:tcPr>
                <w:p w14:paraId="341051F7" w14:textId="77777777" w:rsidR="00F67107" w:rsidRPr="00FB3C96" w:rsidRDefault="00F67107" w:rsidP="00793EB3">
                  <w:pPr>
                    <w:ind w:left="175"/>
                    <w:rPr>
                      <w:rFonts w:ascii="Arial" w:hAnsi="Arial" w:cs="Arial"/>
                    </w:rPr>
                  </w:pPr>
                </w:p>
              </w:tc>
              <w:tc>
                <w:tcPr>
                  <w:tcW w:w="528" w:type="dxa"/>
                  <w:tcBorders>
                    <w:left w:val="nil"/>
                    <w:right w:val="nil"/>
                  </w:tcBorders>
                </w:tcPr>
                <w:p w14:paraId="71254A6B" w14:textId="77777777" w:rsidR="00F67107" w:rsidRPr="00FB3C96" w:rsidRDefault="00F67107" w:rsidP="00793EB3">
                  <w:pPr>
                    <w:ind w:left="175"/>
                    <w:rPr>
                      <w:rFonts w:ascii="Arial" w:hAnsi="Arial" w:cs="Arial"/>
                    </w:rPr>
                  </w:pPr>
                </w:p>
              </w:tc>
              <w:tc>
                <w:tcPr>
                  <w:tcW w:w="737" w:type="dxa"/>
                  <w:tcBorders>
                    <w:left w:val="nil"/>
                  </w:tcBorders>
                </w:tcPr>
                <w:p w14:paraId="3EA4D4F8" w14:textId="77777777" w:rsidR="00F67107" w:rsidRPr="00FB3C96" w:rsidRDefault="00F67107" w:rsidP="00793EB3">
                  <w:pPr>
                    <w:ind w:left="175"/>
                    <w:rPr>
                      <w:rFonts w:ascii="Arial" w:hAnsi="Arial" w:cs="Arial"/>
                    </w:rPr>
                  </w:pPr>
                </w:p>
              </w:tc>
            </w:tr>
            <w:tr w:rsidR="00F67107" w:rsidRPr="00FB3C96" w14:paraId="4965C439" w14:textId="77777777" w:rsidTr="00681B6F">
              <w:tc>
                <w:tcPr>
                  <w:tcW w:w="3352" w:type="dxa"/>
                </w:tcPr>
                <w:p w14:paraId="75E7200B" w14:textId="77777777" w:rsidR="00F67107" w:rsidRPr="00FB3C96" w:rsidRDefault="00F67107" w:rsidP="00793EB3">
                  <w:pPr>
                    <w:ind w:left="175"/>
                    <w:rPr>
                      <w:rFonts w:ascii="Arial" w:hAnsi="Arial" w:cs="Arial"/>
                    </w:rPr>
                  </w:pPr>
                  <w:r w:rsidRPr="00FB3C96">
                    <w:rPr>
                      <w:rFonts w:ascii="Arial" w:hAnsi="Arial" w:cs="Arial"/>
                    </w:rPr>
                    <w:t>Financial</w:t>
                  </w:r>
                </w:p>
              </w:tc>
              <w:tc>
                <w:tcPr>
                  <w:tcW w:w="594" w:type="dxa"/>
                  <w:tcBorders>
                    <w:right w:val="nil"/>
                  </w:tcBorders>
                </w:tcPr>
                <w:p w14:paraId="3EC53F28" w14:textId="77777777" w:rsidR="00F67107" w:rsidRPr="00FB3C96" w:rsidRDefault="00F67107" w:rsidP="00793EB3">
                  <w:pPr>
                    <w:ind w:left="175"/>
                    <w:rPr>
                      <w:rFonts w:ascii="Arial" w:hAnsi="Arial" w:cs="Arial"/>
                    </w:rPr>
                  </w:pPr>
                </w:p>
              </w:tc>
              <w:tc>
                <w:tcPr>
                  <w:tcW w:w="520" w:type="dxa"/>
                  <w:tcBorders>
                    <w:left w:val="nil"/>
                    <w:right w:val="nil"/>
                  </w:tcBorders>
                </w:tcPr>
                <w:p w14:paraId="3014B06F" w14:textId="77777777" w:rsidR="00F67107" w:rsidRPr="00FB3C96" w:rsidRDefault="00F67107" w:rsidP="00793EB3">
                  <w:pPr>
                    <w:ind w:left="175"/>
                    <w:rPr>
                      <w:rFonts w:ascii="Arial" w:hAnsi="Arial" w:cs="Arial"/>
                    </w:rPr>
                  </w:pPr>
                </w:p>
              </w:tc>
              <w:tc>
                <w:tcPr>
                  <w:tcW w:w="520" w:type="dxa"/>
                  <w:gridSpan w:val="2"/>
                  <w:tcBorders>
                    <w:left w:val="nil"/>
                    <w:right w:val="nil"/>
                  </w:tcBorders>
                  <w:shd w:val="clear" w:color="auto" w:fill="BFBFBF" w:themeFill="background1" w:themeFillShade="BF"/>
                </w:tcPr>
                <w:p w14:paraId="24C15011" w14:textId="77777777" w:rsidR="00F67107" w:rsidRPr="00FB3C96" w:rsidRDefault="00F67107" w:rsidP="00793EB3">
                  <w:pPr>
                    <w:ind w:left="175"/>
                    <w:rPr>
                      <w:rFonts w:ascii="Arial" w:hAnsi="Arial" w:cs="Arial"/>
                    </w:rPr>
                  </w:pPr>
                  <w:r w:rsidRPr="00FB3C96">
                    <w:rPr>
                      <w:rFonts w:ascii="Arial" w:hAnsi="Arial" w:cs="Arial"/>
                    </w:rPr>
                    <w:t>&lt;</w:t>
                  </w:r>
                </w:p>
              </w:tc>
              <w:tc>
                <w:tcPr>
                  <w:tcW w:w="520" w:type="dxa"/>
                  <w:tcBorders>
                    <w:left w:val="nil"/>
                    <w:right w:val="nil"/>
                  </w:tcBorders>
                  <w:shd w:val="clear" w:color="auto" w:fill="BFBFBF" w:themeFill="background1" w:themeFillShade="BF"/>
                </w:tcPr>
                <w:p w14:paraId="2729696E" w14:textId="77777777"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14:paraId="7ABE5ED9" w14:textId="77777777" w:rsidR="00F67107" w:rsidRPr="00FB3C96" w:rsidRDefault="00F67107" w:rsidP="00793EB3">
                  <w:pPr>
                    <w:ind w:left="175"/>
                    <w:rPr>
                      <w:rFonts w:ascii="Arial" w:hAnsi="Arial" w:cs="Arial"/>
                    </w:rPr>
                  </w:pPr>
                  <w:r w:rsidRPr="00FB3C96">
                    <w:rPr>
                      <w:rFonts w:ascii="Arial" w:hAnsi="Arial" w:cs="Arial"/>
                    </w:rPr>
                    <w:t>&gt;</w:t>
                  </w:r>
                </w:p>
              </w:tc>
              <w:tc>
                <w:tcPr>
                  <w:tcW w:w="520" w:type="dxa"/>
                  <w:gridSpan w:val="2"/>
                  <w:tcBorders>
                    <w:left w:val="nil"/>
                    <w:bottom w:val="single" w:sz="4" w:space="0" w:color="auto"/>
                    <w:right w:val="nil"/>
                  </w:tcBorders>
                </w:tcPr>
                <w:p w14:paraId="7449AC61"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496707B0"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109ECDEC" w14:textId="77777777" w:rsidR="00F67107" w:rsidRPr="00FB3C96" w:rsidRDefault="00F67107" w:rsidP="00793EB3">
                  <w:pPr>
                    <w:ind w:left="175"/>
                    <w:rPr>
                      <w:rFonts w:ascii="Arial" w:hAnsi="Arial" w:cs="Arial"/>
                    </w:rPr>
                  </w:pPr>
                </w:p>
              </w:tc>
              <w:tc>
                <w:tcPr>
                  <w:tcW w:w="528" w:type="dxa"/>
                  <w:tcBorders>
                    <w:left w:val="nil"/>
                    <w:bottom w:val="single" w:sz="4" w:space="0" w:color="auto"/>
                    <w:right w:val="nil"/>
                  </w:tcBorders>
                </w:tcPr>
                <w:p w14:paraId="374E8830" w14:textId="77777777" w:rsidR="00F67107" w:rsidRPr="00FB3C96" w:rsidRDefault="00F67107" w:rsidP="00793EB3">
                  <w:pPr>
                    <w:ind w:left="175"/>
                    <w:rPr>
                      <w:rFonts w:ascii="Arial" w:hAnsi="Arial" w:cs="Arial"/>
                    </w:rPr>
                  </w:pPr>
                </w:p>
              </w:tc>
              <w:tc>
                <w:tcPr>
                  <w:tcW w:w="737" w:type="dxa"/>
                  <w:tcBorders>
                    <w:left w:val="nil"/>
                    <w:bottom w:val="single" w:sz="4" w:space="0" w:color="auto"/>
                  </w:tcBorders>
                </w:tcPr>
                <w:p w14:paraId="5ACB6EC8" w14:textId="77777777" w:rsidR="00F67107" w:rsidRPr="00FB3C96" w:rsidRDefault="00F67107" w:rsidP="00793EB3">
                  <w:pPr>
                    <w:ind w:left="175"/>
                    <w:rPr>
                      <w:rFonts w:ascii="Arial" w:hAnsi="Arial" w:cs="Arial"/>
                    </w:rPr>
                  </w:pPr>
                </w:p>
              </w:tc>
            </w:tr>
            <w:tr w:rsidR="00F67107" w:rsidRPr="00FB3C96" w14:paraId="0F708CED" w14:textId="77777777" w:rsidTr="00681B6F">
              <w:tc>
                <w:tcPr>
                  <w:tcW w:w="3352" w:type="dxa"/>
                </w:tcPr>
                <w:p w14:paraId="6025A92E" w14:textId="77777777" w:rsidR="00F67107" w:rsidRPr="00FB3C96" w:rsidRDefault="00F67107" w:rsidP="00793EB3">
                  <w:pPr>
                    <w:ind w:left="175"/>
                    <w:rPr>
                      <w:rFonts w:ascii="Arial" w:hAnsi="Arial" w:cs="Arial"/>
                    </w:rPr>
                  </w:pPr>
                  <w:r w:rsidRPr="00FB3C96">
                    <w:rPr>
                      <w:rFonts w:ascii="Arial" w:hAnsi="Arial" w:cs="Arial"/>
                    </w:rPr>
                    <w:t>Research</w:t>
                  </w:r>
                </w:p>
              </w:tc>
              <w:tc>
                <w:tcPr>
                  <w:tcW w:w="594" w:type="dxa"/>
                  <w:tcBorders>
                    <w:right w:val="nil"/>
                  </w:tcBorders>
                </w:tcPr>
                <w:p w14:paraId="1FD827D3" w14:textId="77777777" w:rsidR="00F67107" w:rsidRPr="00FB3C96" w:rsidRDefault="00F67107" w:rsidP="00793EB3">
                  <w:pPr>
                    <w:ind w:left="175"/>
                    <w:rPr>
                      <w:rFonts w:ascii="Arial" w:hAnsi="Arial" w:cs="Arial"/>
                    </w:rPr>
                  </w:pPr>
                </w:p>
              </w:tc>
              <w:tc>
                <w:tcPr>
                  <w:tcW w:w="520" w:type="dxa"/>
                  <w:tcBorders>
                    <w:left w:val="nil"/>
                    <w:right w:val="nil"/>
                  </w:tcBorders>
                </w:tcPr>
                <w:p w14:paraId="427C8286" w14:textId="77777777" w:rsidR="00F67107" w:rsidRPr="00FB3C96" w:rsidRDefault="00F67107" w:rsidP="00793EB3">
                  <w:pPr>
                    <w:ind w:left="175"/>
                    <w:rPr>
                      <w:rFonts w:ascii="Arial" w:hAnsi="Arial" w:cs="Arial"/>
                    </w:rPr>
                  </w:pPr>
                </w:p>
              </w:tc>
              <w:tc>
                <w:tcPr>
                  <w:tcW w:w="520" w:type="dxa"/>
                  <w:gridSpan w:val="2"/>
                  <w:tcBorders>
                    <w:left w:val="nil"/>
                    <w:right w:val="nil"/>
                  </w:tcBorders>
                </w:tcPr>
                <w:p w14:paraId="3DA82359" w14:textId="77777777" w:rsidR="00F67107" w:rsidRPr="00FB3C96" w:rsidRDefault="00F67107" w:rsidP="00793EB3">
                  <w:pPr>
                    <w:ind w:left="175"/>
                    <w:rPr>
                      <w:rFonts w:ascii="Arial" w:hAnsi="Arial" w:cs="Arial"/>
                    </w:rPr>
                  </w:pPr>
                </w:p>
              </w:tc>
              <w:tc>
                <w:tcPr>
                  <w:tcW w:w="520" w:type="dxa"/>
                  <w:tcBorders>
                    <w:left w:val="nil"/>
                    <w:right w:val="nil"/>
                  </w:tcBorders>
                </w:tcPr>
                <w:p w14:paraId="7660F0E9"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000703D9" w14:textId="77777777" w:rsidR="00F67107" w:rsidRPr="00FB3C96" w:rsidRDefault="00F67107" w:rsidP="00793EB3">
                  <w:pPr>
                    <w:ind w:left="175"/>
                    <w:rPr>
                      <w:rFonts w:ascii="Arial" w:hAnsi="Arial" w:cs="Arial"/>
                    </w:rPr>
                  </w:pPr>
                </w:p>
              </w:tc>
              <w:tc>
                <w:tcPr>
                  <w:tcW w:w="520" w:type="dxa"/>
                  <w:gridSpan w:val="2"/>
                  <w:tcBorders>
                    <w:left w:val="nil"/>
                    <w:bottom w:val="single" w:sz="4" w:space="0" w:color="auto"/>
                    <w:right w:val="nil"/>
                  </w:tcBorders>
                  <w:shd w:val="clear" w:color="auto" w:fill="BFBFBF" w:themeFill="background1" w:themeFillShade="BF"/>
                </w:tcPr>
                <w:p w14:paraId="282B5035" w14:textId="77777777" w:rsidR="00F67107" w:rsidRPr="00FB3C96" w:rsidRDefault="00F67107" w:rsidP="00793EB3">
                  <w:pPr>
                    <w:ind w:left="175"/>
                    <w:rPr>
                      <w:rFonts w:ascii="Arial" w:hAnsi="Arial" w:cs="Arial"/>
                    </w:rPr>
                  </w:pPr>
                  <w:r w:rsidRPr="00FB3C96">
                    <w:rPr>
                      <w:rFonts w:ascii="Arial" w:hAnsi="Arial" w:cs="Arial"/>
                    </w:rPr>
                    <w:t>&lt;</w:t>
                  </w:r>
                </w:p>
              </w:tc>
              <w:tc>
                <w:tcPr>
                  <w:tcW w:w="520" w:type="dxa"/>
                  <w:tcBorders>
                    <w:left w:val="nil"/>
                    <w:bottom w:val="single" w:sz="4" w:space="0" w:color="auto"/>
                    <w:right w:val="nil"/>
                  </w:tcBorders>
                  <w:shd w:val="clear" w:color="auto" w:fill="BFBFBF" w:themeFill="background1" w:themeFillShade="BF"/>
                </w:tcPr>
                <w:p w14:paraId="20B0D9D3"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3BA1293A" w14:textId="77777777" w:rsidR="00F67107" w:rsidRPr="00FB3C96" w:rsidRDefault="00F67107" w:rsidP="00793EB3">
                  <w:pPr>
                    <w:ind w:left="175"/>
                    <w:rPr>
                      <w:rFonts w:ascii="Arial" w:hAnsi="Arial" w:cs="Arial"/>
                    </w:rPr>
                  </w:pPr>
                </w:p>
              </w:tc>
              <w:tc>
                <w:tcPr>
                  <w:tcW w:w="528" w:type="dxa"/>
                  <w:tcBorders>
                    <w:left w:val="nil"/>
                    <w:bottom w:val="single" w:sz="4" w:space="0" w:color="auto"/>
                    <w:right w:val="nil"/>
                  </w:tcBorders>
                  <w:shd w:val="clear" w:color="auto" w:fill="BFBFBF" w:themeFill="background1" w:themeFillShade="BF"/>
                </w:tcPr>
                <w:p w14:paraId="30B76B0A" w14:textId="77777777" w:rsidR="00F67107" w:rsidRPr="00FB3C96" w:rsidRDefault="00F67107" w:rsidP="00793EB3">
                  <w:pPr>
                    <w:ind w:left="175"/>
                    <w:rPr>
                      <w:rFonts w:ascii="Arial" w:hAnsi="Arial" w:cs="Arial"/>
                    </w:rPr>
                  </w:pPr>
                </w:p>
              </w:tc>
              <w:tc>
                <w:tcPr>
                  <w:tcW w:w="737" w:type="dxa"/>
                  <w:tcBorders>
                    <w:left w:val="nil"/>
                  </w:tcBorders>
                  <w:shd w:val="clear" w:color="auto" w:fill="BFBFBF" w:themeFill="background1" w:themeFillShade="BF"/>
                </w:tcPr>
                <w:p w14:paraId="079237BA" w14:textId="77777777" w:rsidR="00F67107" w:rsidRPr="00FB3C96" w:rsidRDefault="00F67107" w:rsidP="00793EB3">
                  <w:pPr>
                    <w:ind w:left="175"/>
                    <w:rPr>
                      <w:rFonts w:ascii="Arial" w:hAnsi="Arial" w:cs="Arial"/>
                    </w:rPr>
                  </w:pPr>
                  <w:r w:rsidRPr="00FB3C96">
                    <w:rPr>
                      <w:rFonts w:ascii="Arial" w:hAnsi="Arial" w:cs="Arial"/>
                    </w:rPr>
                    <w:t>&gt;</w:t>
                  </w:r>
                </w:p>
              </w:tc>
            </w:tr>
            <w:tr w:rsidR="00F67107" w:rsidRPr="00FB3C96" w14:paraId="3F97C41B" w14:textId="77777777" w:rsidTr="00681B6F">
              <w:tc>
                <w:tcPr>
                  <w:tcW w:w="3352" w:type="dxa"/>
                </w:tcPr>
                <w:p w14:paraId="6BDB15F8" w14:textId="77777777" w:rsidR="00F67107" w:rsidRPr="00FB3C96" w:rsidRDefault="00F67107" w:rsidP="00793EB3">
                  <w:pPr>
                    <w:ind w:left="175"/>
                    <w:rPr>
                      <w:rFonts w:ascii="Arial" w:hAnsi="Arial" w:cs="Arial"/>
                    </w:rPr>
                  </w:pPr>
                  <w:r w:rsidRPr="00FB3C96">
                    <w:rPr>
                      <w:rFonts w:ascii="Arial" w:hAnsi="Arial" w:cs="Arial"/>
                    </w:rPr>
                    <w:t>Education &amp; Student Experience</w:t>
                  </w:r>
                </w:p>
              </w:tc>
              <w:tc>
                <w:tcPr>
                  <w:tcW w:w="594" w:type="dxa"/>
                  <w:tcBorders>
                    <w:right w:val="nil"/>
                  </w:tcBorders>
                </w:tcPr>
                <w:p w14:paraId="4EE6BBEF" w14:textId="77777777" w:rsidR="00F67107" w:rsidRPr="00FB3C96" w:rsidRDefault="00F67107" w:rsidP="00793EB3">
                  <w:pPr>
                    <w:ind w:left="175"/>
                    <w:rPr>
                      <w:rFonts w:ascii="Arial" w:hAnsi="Arial" w:cs="Arial"/>
                    </w:rPr>
                  </w:pPr>
                </w:p>
              </w:tc>
              <w:tc>
                <w:tcPr>
                  <w:tcW w:w="520" w:type="dxa"/>
                  <w:tcBorders>
                    <w:left w:val="nil"/>
                    <w:right w:val="nil"/>
                  </w:tcBorders>
                </w:tcPr>
                <w:p w14:paraId="04C4AEF2" w14:textId="77777777" w:rsidR="00F67107" w:rsidRPr="00FB3C96" w:rsidRDefault="00F67107" w:rsidP="00793EB3">
                  <w:pPr>
                    <w:ind w:left="175"/>
                    <w:rPr>
                      <w:rFonts w:ascii="Arial" w:hAnsi="Arial" w:cs="Arial"/>
                    </w:rPr>
                  </w:pPr>
                </w:p>
              </w:tc>
              <w:tc>
                <w:tcPr>
                  <w:tcW w:w="520" w:type="dxa"/>
                  <w:gridSpan w:val="2"/>
                  <w:tcBorders>
                    <w:left w:val="nil"/>
                    <w:right w:val="nil"/>
                  </w:tcBorders>
                </w:tcPr>
                <w:p w14:paraId="08783BB4" w14:textId="77777777" w:rsidR="00F67107" w:rsidRPr="00FB3C96" w:rsidRDefault="00F67107" w:rsidP="00793EB3">
                  <w:pPr>
                    <w:ind w:left="175"/>
                    <w:rPr>
                      <w:rFonts w:ascii="Arial" w:hAnsi="Arial" w:cs="Arial"/>
                    </w:rPr>
                  </w:pPr>
                </w:p>
              </w:tc>
              <w:tc>
                <w:tcPr>
                  <w:tcW w:w="520" w:type="dxa"/>
                  <w:tcBorders>
                    <w:left w:val="nil"/>
                    <w:right w:val="nil"/>
                  </w:tcBorders>
                </w:tcPr>
                <w:p w14:paraId="07972E4D" w14:textId="77777777"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14:paraId="4DD80581" w14:textId="77777777" w:rsidR="00F67107" w:rsidRPr="00FB3C96" w:rsidRDefault="00F67107" w:rsidP="00793EB3">
                  <w:pPr>
                    <w:ind w:left="175"/>
                    <w:rPr>
                      <w:rFonts w:ascii="Arial" w:hAnsi="Arial" w:cs="Arial"/>
                    </w:rPr>
                  </w:pPr>
                  <w:r w:rsidRPr="00FB3C96">
                    <w:rPr>
                      <w:rFonts w:ascii="Arial" w:hAnsi="Arial" w:cs="Arial"/>
                    </w:rPr>
                    <w:t>&lt;</w:t>
                  </w:r>
                </w:p>
              </w:tc>
              <w:tc>
                <w:tcPr>
                  <w:tcW w:w="520" w:type="dxa"/>
                  <w:gridSpan w:val="2"/>
                  <w:tcBorders>
                    <w:left w:val="nil"/>
                    <w:bottom w:val="single" w:sz="4" w:space="0" w:color="auto"/>
                    <w:right w:val="nil"/>
                  </w:tcBorders>
                  <w:shd w:val="clear" w:color="auto" w:fill="BFBFBF" w:themeFill="background1" w:themeFillShade="BF"/>
                </w:tcPr>
                <w:p w14:paraId="73581547"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153548D2"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383755DD" w14:textId="77777777" w:rsidR="00F67107" w:rsidRPr="00FB3C96" w:rsidRDefault="00F67107" w:rsidP="00793EB3">
                  <w:pPr>
                    <w:ind w:left="175"/>
                    <w:rPr>
                      <w:rFonts w:ascii="Arial" w:hAnsi="Arial" w:cs="Arial"/>
                    </w:rPr>
                  </w:pPr>
                </w:p>
              </w:tc>
              <w:tc>
                <w:tcPr>
                  <w:tcW w:w="528" w:type="dxa"/>
                  <w:tcBorders>
                    <w:left w:val="nil"/>
                    <w:bottom w:val="single" w:sz="4" w:space="0" w:color="auto"/>
                    <w:right w:val="nil"/>
                  </w:tcBorders>
                  <w:shd w:val="clear" w:color="auto" w:fill="BFBFBF" w:themeFill="background1" w:themeFillShade="BF"/>
                </w:tcPr>
                <w:p w14:paraId="3DE5D441" w14:textId="77777777" w:rsidR="00F67107" w:rsidRPr="00FB3C96" w:rsidRDefault="00F67107" w:rsidP="00793EB3">
                  <w:pPr>
                    <w:ind w:left="175"/>
                    <w:rPr>
                      <w:rFonts w:ascii="Arial" w:hAnsi="Arial" w:cs="Arial"/>
                    </w:rPr>
                  </w:pPr>
                  <w:r w:rsidRPr="00FB3C96">
                    <w:rPr>
                      <w:rFonts w:ascii="Arial" w:hAnsi="Arial" w:cs="Arial"/>
                    </w:rPr>
                    <w:t>&gt;</w:t>
                  </w:r>
                </w:p>
              </w:tc>
              <w:tc>
                <w:tcPr>
                  <w:tcW w:w="737" w:type="dxa"/>
                  <w:tcBorders>
                    <w:left w:val="nil"/>
                    <w:bottom w:val="single" w:sz="4" w:space="0" w:color="auto"/>
                  </w:tcBorders>
                </w:tcPr>
                <w:p w14:paraId="350C9AB4" w14:textId="77777777" w:rsidR="00F67107" w:rsidRPr="00FB3C96" w:rsidRDefault="00F67107" w:rsidP="00793EB3">
                  <w:pPr>
                    <w:ind w:left="175"/>
                    <w:rPr>
                      <w:rFonts w:ascii="Arial" w:hAnsi="Arial" w:cs="Arial"/>
                    </w:rPr>
                  </w:pPr>
                </w:p>
              </w:tc>
            </w:tr>
            <w:tr w:rsidR="00F67107" w:rsidRPr="00FB3C96" w14:paraId="442E01AD" w14:textId="77777777" w:rsidTr="00681B6F">
              <w:tc>
                <w:tcPr>
                  <w:tcW w:w="3352" w:type="dxa"/>
                </w:tcPr>
                <w:p w14:paraId="3C4B1C0C" w14:textId="77777777" w:rsidR="00F67107" w:rsidRPr="00FB3C96" w:rsidRDefault="00F67107" w:rsidP="00793EB3">
                  <w:pPr>
                    <w:ind w:left="175"/>
                    <w:rPr>
                      <w:rFonts w:ascii="Arial" w:hAnsi="Arial" w:cs="Arial"/>
                    </w:rPr>
                  </w:pPr>
                  <w:r w:rsidRPr="00FB3C96">
                    <w:rPr>
                      <w:rFonts w:ascii="Arial" w:hAnsi="Arial" w:cs="Arial"/>
                    </w:rPr>
                    <w:t>Knowledge Exchange</w:t>
                  </w:r>
                </w:p>
              </w:tc>
              <w:tc>
                <w:tcPr>
                  <w:tcW w:w="594" w:type="dxa"/>
                  <w:tcBorders>
                    <w:right w:val="nil"/>
                  </w:tcBorders>
                </w:tcPr>
                <w:p w14:paraId="287FC2D7" w14:textId="77777777" w:rsidR="00F67107" w:rsidRPr="00FB3C96" w:rsidRDefault="00F67107" w:rsidP="00793EB3">
                  <w:pPr>
                    <w:ind w:left="175"/>
                    <w:rPr>
                      <w:rFonts w:ascii="Arial" w:hAnsi="Arial" w:cs="Arial"/>
                    </w:rPr>
                  </w:pPr>
                </w:p>
              </w:tc>
              <w:tc>
                <w:tcPr>
                  <w:tcW w:w="520" w:type="dxa"/>
                  <w:tcBorders>
                    <w:left w:val="nil"/>
                    <w:right w:val="nil"/>
                  </w:tcBorders>
                </w:tcPr>
                <w:p w14:paraId="48627AB6" w14:textId="77777777" w:rsidR="00F67107" w:rsidRPr="00FB3C96" w:rsidRDefault="00F67107" w:rsidP="00793EB3">
                  <w:pPr>
                    <w:ind w:left="175"/>
                    <w:rPr>
                      <w:rFonts w:ascii="Arial" w:hAnsi="Arial" w:cs="Arial"/>
                    </w:rPr>
                  </w:pPr>
                </w:p>
              </w:tc>
              <w:tc>
                <w:tcPr>
                  <w:tcW w:w="520" w:type="dxa"/>
                  <w:gridSpan w:val="2"/>
                  <w:tcBorders>
                    <w:left w:val="nil"/>
                    <w:right w:val="nil"/>
                  </w:tcBorders>
                </w:tcPr>
                <w:p w14:paraId="050A7256"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7CD0F507"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7754F8B0" w14:textId="77777777" w:rsidR="00F67107" w:rsidRPr="00FB3C96" w:rsidRDefault="00F67107" w:rsidP="00793EB3">
                  <w:pPr>
                    <w:ind w:left="175"/>
                    <w:rPr>
                      <w:rFonts w:ascii="Arial" w:hAnsi="Arial" w:cs="Arial"/>
                    </w:rPr>
                  </w:pPr>
                </w:p>
              </w:tc>
              <w:tc>
                <w:tcPr>
                  <w:tcW w:w="520" w:type="dxa"/>
                  <w:gridSpan w:val="2"/>
                  <w:tcBorders>
                    <w:left w:val="nil"/>
                    <w:bottom w:val="single" w:sz="4" w:space="0" w:color="auto"/>
                    <w:right w:val="nil"/>
                  </w:tcBorders>
                  <w:shd w:val="clear" w:color="auto" w:fill="BFBFBF" w:themeFill="background1" w:themeFillShade="BF"/>
                </w:tcPr>
                <w:p w14:paraId="11D56E8D" w14:textId="77777777" w:rsidR="00F67107" w:rsidRPr="00FB3C96" w:rsidRDefault="00F67107" w:rsidP="00793EB3">
                  <w:pPr>
                    <w:ind w:left="175"/>
                    <w:rPr>
                      <w:rFonts w:ascii="Arial" w:hAnsi="Arial" w:cs="Arial"/>
                    </w:rPr>
                  </w:pPr>
                  <w:r w:rsidRPr="00FB3C96">
                    <w:rPr>
                      <w:rFonts w:ascii="Arial" w:hAnsi="Arial" w:cs="Arial"/>
                    </w:rPr>
                    <w:t>&lt;</w:t>
                  </w:r>
                </w:p>
              </w:tc>
              <w:tc>
                <w:tcPr>
                  <w:tcW w:w="520" w:type="dxa"/>
                  <w:tcBorders>
                    <w:left w:val="nil"/>
                    <w:bottom w:val="single" w:sz="4" w:space="0" w:color="auto"/>
                    <w:right w:val="nil"/>
                  </w:tcBorders>
                  <w:shd w:val="clear" w:color="auto" w:fill="BFBFBF" w:themeFill="background1" w:themeFillShade="BF"/>
                </w:tcPr>
                <w:p w14:paraId="43FEDF61" w14:textId="77777777"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14:paraId="23CC6302" w14:textId="77777777" w:rsidR="00F67107" w:rsidRPr="00FB3C96" w:rsidRDefault="00F67107" w:rsidP="00793EB3">
                  <w:pPr>
                    <w:ind w:left="175"/>
                    <w:rPr>
                      <w:rFonts w:ascii="Arial" w:hAnsi="Arial" w:cs="Arial"/>
                    </w:rPr>
                  </w:pPr>
                </w:p>
              </w:tc>
              <w:tc>
                <w:tcPr>
                  <w:tcW w:w="528" w:type="dxa"/>
                  <w:tcBorders>
                    <w:left w:val="nil"/>
                    <w:right w:val="nil"/>
                  </w:tcBorders>
                  <w:shd w:val="clear" w:color="auto" w:fill="BFBFBF" w:themeFill="background1" w:themeFillShade="BF"/>
                </w:tcPr>
                <w:p w14:paraId="72FF043D" w14:textId="77777777" w:rsidR="00F67107" w:rsidRPr="00FB3C96" w:rsidRDefault="00F67107" w:rsidP="00793EB3">
                  <w:pPr>
                    <w:ind w:left="175"/>
                    <w:rPr>
                      <w:rFonts w:ascii="Arial" w:hAnsi="Arial" w:cs="Arial"/>
                    </w:rPr>
                  </w:pPr>
                </w:p>
              </w:tc>
              <w:tc>
                <w:tcPr>
                  <w:tcW w:w="737" w:type="dxa"/>
                  <w:tcBorders>
                    <w:left w:val="nil"/>
                  </w:tcBorders>
                  <w:shd w:val="clear" w:color="auto" w:fill="BFBFBF" w:themeFill="background1" w:themeFillShade="BF"/>
                </w:tcPr>
                <w:p w14:paraId="3C52810F" w14:textId="77777777" w:rsidR="00F67107" w:rsidRPr="00FB3C96" w:rsidRDefault="00F67107" w:rsidP="00793EB3">
                  <w:pPr>
                    <w:ind w:left="175"/>
                    <w:rPr>
                      <w:rFonts w:ascii="Arial" w:hAnsi="Arial" w:cs="Arial"/>
                    </w:rPr>
                  </w:pPr>
                  <w:r w:rsidRPr="00FB3C96">
                    <w:rPr>
                      <w:rFonts w:ascii="Arial" w:hAnsi="Arial" w:cs="Arial"/>
                    </w:rPr>
                    <w:t>&gt;</w:t>
                  </w:r>
                </w:p>
              </w:tc>
            </w:tr>
            <w:tr w:rsidR="00F67107" w:rsidRPr="00FB3C96" w14:paraId="6C7BF41D" w14:textId="77777777" w:rsidTr="00681B6F">
              <w:tc>
                <w:tcPr>
                  <w:tcW w:w="3352" w:type="dxa"/>
                </w:tcPr>
                <w:p w14:paraId="340332E6" w14:textId="77777777" w:rsidR="00F67107" w:rsidRPr="00FB3C96" w:rsidRDefault="00F67107" w:rsidP="00793EB3">
                  <w:pPr>
                    <w:ind w:left="175"/>
                    <w:rPr>
                      <w:rFonts w:ascii="Arial" w:hAnsi="Arial" w:cs="Arial"/>
                    </w:rPr>
                  </w:pPr>
                  <w:r w:rsidRPr="00FB3C96">
                    <w:rPr>
                      <w:rFonts w:ascii="Arial" w:hAnsi="Arial" w:cs="Arial"/>
                    </w:rPr>
                    <w:t>International Development</w:t>
                  </w:r>
                </w:p>
              </w:tc>
              <w:tc>
                <w:tcPr>
                  <w:tcW w:w="594" w:type="dxa"/>
                  <w:tcBorders>
                    <w:right w:val="nil"/>
                  </w:tcBorders>
                </w:tcPr>
                <w:p w14:paraId="79C46E5A"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7FCA79DD" w14:textId="77777777" w:rsidR="00F67107" w:rsidRPr="00FB3C96" w:rsidRDefault="00F67107" w:rsidP="00793EB3">
                  <w:pPr>
                    <w:ind w:left="175"/>
                    <w:rPr>
                      <w:rFonts w:ascii="Arial" w:hAnsi="Arial" w:cs="Arial"/>
                    </w:rPr>
                  </w:pPr>
                </w:p>
              </w:tc>
              <w:tc>
                <w:tcPr>
                  <w:tcW w:w="520" w:type="dxa"/>
                  <w:gridSpan w:val="2"/>
                  <w:tcBorders>
                    <w:left w:val="nil"/>
                    <w:bottom w:val="single" w:sz="4" w:space="0" w:color="auto"/>
                    <w:right w:val="nil"/>
                  </w:tcBorders>
                </w:tcPr>
                <w:p w14:paraId="15B20734"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69CB095D" w14:textId="77777777" w:rsidR="00F67107" w:rsidRPr="00FB3C96" w:rsidRDefault="00F67107" w:rsidP="00793EB3">
                  <w:pPr>
                    <w:ind w:left="175"/>
                    <w:rPr>
                      <w:rFonts w:ascii="Arial" w:hAnsi="Arial" w:cs="Arial"/>
                    </w:rPr>
                  </w:pPr>
                  <w:r w:rsidRPr="00FB3C96">
                    <w:rPr>
                      <w:rFonts w:ascii="Arial" w:hAnsi="Arial" w:cs="Arial"/>
                    </w:rPr>
                    <w:t>&lt;</w:t>
                  </w:r>
                </w:p>
              </w:tc>
              <w:tc>
                <w:tcPr>
                  <w:tcW w:w="520" w:type="dxa"/>
                  <w:tcBorders>
                    <w:left w:val="nil"/>
                    <w:bottom w:val="single" w:sz="4" w:space="0" w:color="auto"/>
                    <w:right w:val="nil"/>
                  </w:tcBorders>
                  <w:shd w:val="clear" w:color="auto" w:fill="BFBFBF" w:themeFill="background1" w:themeFillShade="BF"/>
                </w:tcPr>
                <w:p w14:paraId="2D332CD2" w14:textId="77777777" w:rsidR="00F67107" w:rsidRPr="00FB3C96" w:rsidRDefault="00F67107" w:rsidP="00793EB3">
                  <w:pPr>
                    <w:ind w:left="175"/>
                    <w:rPr>
                      <w:rFonts w:ascii="Arial" w:hAnsi="Arial" w:cs="Arial"/>
                    </w:rPr>
                  </w:pPr>
                </w:p>
              </w:tc>
              <w:tc>
                <w:tcPr>
                  <w:tcW w:w="520" w:type="dxa"/>
                  <w:gridSpan w:val="2"/>
                  <w:tcBorders>
                    <w:left w:val="nil"/>
                    <w:bottom w:val="single" w:sz="4" w:space="0" w:color="auto"/>
                    <w:right w:val="nil"/>
                  </w:tcBorders>
                  <w:shd w:val="clear" w:color="auto" w:fill="BFBFBF" w:themeFill="background1" w:themeFillShade="BF"/>
                </w:tcPr>
                <w:p w14:paraId="1F4B4DAE" w14:textId="77777777"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14:paraId="26EFDA70" w14:textId="77777777" w:rsidR="00F67107" w:rsidRPr="00FB3C96" w:rsidRDefault="00F67107" w:rsidP="00793EB3">
                  <w:pPr>
                    <w:ind w:left="175"/>
                    <w:rPr>
                      <w:rFonts w:ascii="Arial" w:hAnsi="Arial" w:cs="Arial"/>
                    </w:rPr>
                  </w:pPr>
                  <w:r w:rsidRPr="00FB3C96">
                    <w:rPr>
                      <w:rFonts w:ascii="Arial" w:hAnsi="Arial" w:cs="Arial"/>
                    </w:rPr>
                    <w:t>&gt;</w:t>
                  </w:r>
                </w:p>
              </w:tc>
              <w:tc>
                <w:tcPr>
                  <w:tcW w:w="520" w:type="dxa"/>
                  <w:tcBorders>
                    <w:left w:val="nil"/>
                    <w:right w:val="nil"/>
                  </w:tcBorders>
                </w:tcPr>
                <w:p w14:paraId="5A9BC670" w14:textId="77777777" w:rsidR="00F67107" w:rsidRPr="00FB3C96" w:rsidRDefault="00F67107" w:rsidP="00793EB3">
                  <w:pPr>
                    <w:ind w:left="175"/>
                    <w:rPr>
                      <w:rFonts w:ascii="Arial" w:hAnsi="Arial" w:cs="Arial"/>
                    </w:rPr>
                  </w:pPr>
                </w:p>
              </w:tc>
              <w:tc>
                <w:tcPr>
                  <w:tcW w:w="528" w:type="dxa"/>
                  <w:tcBorders>
                    <w:left w:val="nil"/>
                    <w:right w:val="nil"/>
                  </w:tcBorders>
                </w:tcPr>
                <w:p w14:paraId="2518A908" w14:textId="77777777" w:rsidR="00F67107" w:rsidRPr="00FB3C96" w:rsidRDefault="00F67107" w:rsidP="00793EB3">
                  <w:pPr>
                    <w:ind w:left="175"/>
                    <w:rPr>
                      <w:rFonts w:ascii="Arial" w:hAnsi="Arial" w:cs="Arial"/>
                    </w:rPr>
                  </w:pPr>
                </w:p>
              </w:tc>
              <w:tc>
                <w:tcPr>
                  <w:tcW w:w="737" w:type="dxa"/>
                  <w:tcBorders>
                    <w:left w:val="nil"/>
                  </w:tcBorders>
                </w:tcPr>
                <w:p w14:paraId="3E19526D" w14:textId="77777777" w:rsidR="00F67107" w:rsidRPr="00FB3C96" w:rsidRDefault="00F67107" w:rsidP="00793EB3">
                  <w:pPr>
                    <w:ind w:left="175"/>
                    <w:rPr>
                      <w:rFonts w:ascii="Arial" w:hAnsi="Arial" w:cs="Arial"/>
                    </w:rPr>
                  </w:pPr>
                </w:p>
              </w:tc>
            </w:tr>
            <w:tr w:rsidR="00F67107" w:rsidRPr="00FB3C96" w14:paraId="304B210F" w14:textId="77777777" w:rsidTr="00681B6F">
              <w:tc>
                <w:tcPr>
                  <w:tcW w:w="3352" w:type="dxa"/>
                </w:tcPr>
                <w:p w14:paraId="6A50F88A" w14:textId="77777777" w:rsidR="00F67107" w:rsidRPr="00FB3C96" w:rsidRDefault="00F67107" w:rsidP="00793EB3">
                  <w:pPr>
                    <w:ind w:left="175"/>
                    <w:rPr>
                      <w:rFonts w:ascii="Arial" w:hAnsi="Arial" w:cs="Arial"/>
                    </w:rPr>
                  </w:pPr>
                  <w:r w:rsidRPr="00FB3C96">
                    <w:rPr>
                      <w:rFonts w:ascii="Arial" w:hAnsi="Arial" w:cs="Arial"/>
                    </w:rPr>
                    <w:t>Major change activities</w:t>
                  </w:r>
                </w:p>
              </w:tc>
              <w:tc>
                <w:tcPr>
                  <w:tcW w:w="594" w:type="dxa"/>
                  <w:tcBorders>
                    <w:right w:val="nil"/>
                  </w:tcBorders>
                </w:tcPr>
                <w:p w14:paraId="3F5BB7A6"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3CA13C43" w14:textId="77777777" w:rsidR="00F67107" w:rsidRPr="00FB3C96" w:rsidRDefault="00F67107" w:rsidP="00793EB3">
                  <w:pPr>
                    <w:ind w:left="175"/>
                    <w:rPr>
                      <w:rFonts w:ascii="Arial" w:hAnsi="Arial" w:cs="Arial"/>
                    </w:rPr>
                  </w:pPr>
                  <w:r w:rsidRPr="00FB3C96">
                    <w:rPr>
                      <w:rFonts w:ascii="Arial" w:hAnsi="Arial" w:cs="Arial"/>
                    </w:rPr>
                    <w:t>&lt;</w:t>
                  </w:r>
                </w:p>
              </w:tc>
              <w:tc>
                <w:tcPr>
                  <w:tcW w:w="520" w:type="dxa"/>
                  <w:gridSpan w:val="2"/>
                  <w:tcBorders>
                    <w:left w:val="nil"/>
                    <w:bottom w:val="single" w:sz="4" w:space="0" w:color="auto"/>
                    <w:right w:val="nil"/>
                  </w:tcBorders>
                  <w:shd w:val="clear" w:color="auto" w:fill="BFBFBF" w:themeFill="background1" w:themeFillShade="BF"/>
                </w:tcPr>
                <w:p w14:paraId="1091B1D5"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405FE38A"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39A8F096" w14:textId="77777777" w:rsidR="00F67107" w:rsidRPr="00FB3C96" w:rsidRDefault="00F67107" w:rsidP="00793EB3">
                  <w:pPr>
                    <w:ind w:left="175"/>
                    <w:rPr>
                      <w:rFonts w:ascii="Arial" w:hAnsi="Arial" w:cs="Arial"/>
                    </w:rPr>
                  </w:pPr>
                </w:p>
              </w:tc>
              <w:tc>
                <w:tcPr>
                  <w:tcW w:w="520" w:type="dxa"/>
                  <w:gridSpan w:val="2"/>
                  <w:tcBorders>
                    <w:left w:val="nil"/>
                    <w:bottom w:val="single" w:sz="4" w:space="0" w:color="auto"/>
                    <w:right w:val="nil"/>
                  </w:tcBorders>
                  <w:shd w:val="clear" w:color="auto" w:fill="BFBFBF" w:themeFill="background1" w:themeFillShade="BF"/>
                </w:tcPr>
                <w:p w14:paraId="212280F6" w14:textId="77777777" w:rsidR="00F67107" w:rsidRPr="00FB3C96" w:rsidRDefault="00F67107" w:rsidP="00793EB3">
                  <w:pPr>
                    <w:ind w:left="175"/>
                    <w:rPr>
                      <w:rFonts w:ascii="Arial" w:hAnsi="Arial" w:cs="Arial"/>
                    </w:rPr>
                  </w:pPr>
                  <w:r w:rsidRPr="00FB3C96">
                    <w:rPr>
                      <w:rFonts w:ascii="Arial" w:hAnsi="Arial" w:cs="Arial"/>
                    </w:rPr>
                    <w:t>&gt;</w:t>
                  </w:r>
                </w:p>
              </w:tc>
              <w:tc>
                <w:tcPr>
                  <w:tcW w:w="520" w:type="dxa"/>
                  <w:tcBorders>
                    <w:left w:val="nil"/>
                    <w:bottom w:val="single" w:sz="4" w:space="0" w:color="auto"/>
                    <w:right w:val="nil"/>
                  </w:tcBorders>
                </w:tcPr>
                <w:p w14:paraId="43BA285F"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14:paraId="57AB9788" w14:textId="77777777" w:rsidR="00F67107" w:rsidRPr="00FB3C96" w:rsidRDefault="00F67107" w:rsidP="00793EB3">
                  <w:pPr>
                    <w:ind w:left="175"/>
                    <w:rPr>
                      <w:rFonts w:ascii="Arial" w:hAnsi="Arial" w:cs="Arial"/>
                    </w:rPr>
                  </w:pPr>
                </w:p>
              </w:tc>
              <w:tc>
                <w:tcPr>
                  <w:tcW w:w="528" w:type="dxa"/>
                  <w:tcBorders>
                    <w:left w:val="nil"/>
                    <w:bottom w:val="single" w:sz="4" w:space="0" w:color="auto"/>
                    <w:right w:val="nil"/>
                  </w:tcBorders>
                </w:tcPr>
                <w:p w14:paraId="6CE12022" w14:textId="77777777" w:rsidR="00F67107" w:rsidRPr="00FB3C96" w:rsidRDefault="00F67107" w:rsidP="00793EB3">
                  <w:pPr>
                    <w:ind w:left="175"/>
                    <w:rPr>
                      <w:rFonts w:ascii="Arial" w:hAnsi="Arial" w:cs="Arial"/>
                    </w:rPr>
                  </w:pPr>
                </w:p>
              </w:tc>
              <w:tc>
                <w:tcPr>
                  <w:tcW w:w="737" w:type="dxa"/>
                  <w:tcBorders>
                    <w:left w:val="nil"/>
                    <w:bottom w:val="single" w:sz="4" w:space="0" w:color="auto"/>
                  </w:tcBorders>
                </w:tcPr>
                <w:p w14:paraId="139AAF7E" w14:textId="77777777" w:rsidR="00F67107" w:rsidRPr="00FB3C96" w:rsidRDefault="00F67107" w:rsidP="00793EB3">
                  <w:pPr>
                    <w:ind w:left="175"/>
                    <w:rPr>
                      <w:rFonts w:ascii="Arial" w:hAnsi="Arial" w:cs="Arial"/>
                    </w:rPr>
                  </w:pPr>
                </w:p>
              </w:tc>
            </w:tr>
            <w:tr w:rsidR="00F67107" w:rsidRPr="00FB3C96" w14:paraId="5F635079" w14:textId="77777777" w:rsidTr="00681B6F">
              <w:tc>
                <w:tcPr>
                  <w:tcW w:w="3352" w:type="dxa"/>
                </w:tcPr>
                <w:p w14:paraId="4D3FFD56" w14:textId="77777777" w:rsidR="00F67107" w:rsidRPr="00FB3C96" w:rsidRDefault="00F67107" w:rsidP="00793EB3">
                  <w:pPr>
                    <w:ind w:left="175"/>
                    <w:rPr>
                      <w:rFonts w:ascii="Arial" w:hAnsi="Arial" w:cs="Arial"/>
                    </w:rPr>
                  </w:pPr>
                  <w:r w:rsidRPr="00FB3C96">
                    <w:rPr>
                      <w:rFonts w:ascii="Arial" w:hAnsi="Arial" w:cs="Arial"/>
                    </w:rPr>
                    <w:t>Environment and Social Responsibility</w:t>
                  </w:r>
                </w:p>
              </w:tc>
              <w:tc>
                <w:tcPr>
                  <w:tcW w:w="594" w:type="dxa"/>
                  <w:tcBorders>
                    <w:right w:val="nil"/>
                  </w:tcBorders>
                </w:tcPr>
                <w:p w14:paraId="2AE6B19F" w14:textId="77777777" w:rsidR="00F67107" w:rsidRPr="00FB3C96" w:rsidRDefault="00F67107" w:rsidP="00793EB3">
                  <w:pPr>
                    <w:ind w:left="175"/>
                    <w:rPr>
                      <w:rFonts w:ascii="Arial" w:hAnsi="Arial" w:cs="Arial"/>
                    </w:rPr>
                  </w:pPr>
                </w:p>
              </w:tc>
              <w:tc>
                <w:tcPr>
                  <w:tcW w:w="520" w:type="dxa"/>
                  <w:tcBorders>
                    <w:left w:val="nil"/>
                    <w:right w:val="nil"/>
                  </w:tcBorders>
                </w:tcPr>
                <w:p w14:paraId="6F38F162" w14:textId="77777777" w:rsidR="00F67107" w:rsidRPr="00FB3C96" w:rsidRDefault="00F67107" w:rsidP="00793EB3">
                  <w:pPr>
                    <w:ind w:left="175"/>
                    <w:rPr>
                      <w:rFonts w:ascii="Arial" w:hAnsi="Arial" w:cs="Arial"/>
                    </w:rPr>
                  </w:pPr>
                </w:p>
              </w:tc>
              <w:tc>
                <w:tcPr>
                  <w:tcW w:w="520" w:type="dxa"/>
                  <w:gridSpan w:val="2"/>
                  <w:tcBorders>
                    <w:left w:val="nil"/>
                    <w:right w:val="nil"/>
                  </w:tcBorders>
                </w:tcPr>
                <w:p w14:paraId="76912785" w14:textId="77777777" w:rsidR="00F67107" w:rsidRPr="00FB3C96" w:rsidRDefault="00F67107" w:rsidP="00793EB3">
                  <w:pPr>
                    <w:ind w:left="175"/>
                    <w:rPr>
                      <w:rFonts w:ascii="Arial" w:hAnsi="Arial" w:cs="Arial"/>
                    </w:rPr>
                  </w:pPr>
                </w:p>
              </w:tc>
              <w:tc>
                <w:tcPr>
                  <w:tcW w:w="520" w:type="dxa"/>
                  <w:tcBorders>
                    <w:left w:val="nil"/>
                    <w:right w:val="nil"/>
                  </w:tcBorders>
                </w:tcPr>
                <w:p w14:paraId="39A62150" w14:textId="77777777"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14:paraId="3558C79D" w14:textId="77777777" w:rsidR="00F67107" w:rsidRPr="00FB3C96" w:rsidRDefault="00F67107" w:rsidP="00793EB3">
                  <w:pPr>
                    <w:ind w:left="175"/>
                    <w:rPr>
                      <w:rFonts w:ascii="Arial" w:hAnsi="Arial" w:cs="Arial"/>
                    </w:rPr>
                  </w:pPr>
                  <w:r w:rsidRPr="00FB3C96">
                    <w:rPr>
                      <w:rFonts w:ascii="Arial" w:hAnsi="Arial" w:cs="Arial"/>
                    </w:rPr>
                    <w:t>&lt;</w:t>
                  </w:r>
                </w:p>
              </w:tc>
              <w:tc>
                <w:tcPr>
                  <w:tcW w:w="520" w:type="dxa"/>
                  <w:gridSpan w:val="2"/>
                  <w:tcBorders>
                    <w:left w:val="nil"/>
                    <w:bottom w:val="single" w:sz="4" w:space="0" w:color="auto"/>
                    <w:right w:val="nil"/>
                  </w:tcBorders>
                  <w:shd w:val="clear" w:color="auto" w:fill="BFBFBF" w:themeFill="background1" w:themeFillShade="BF"/>
                </w:tcPr>
                <w:p w14:paraId="29EEABCD"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4441A22D" w14:textId="77777777"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24F775DC" w14:textId="77777777" w:rsidR="00F67107" w:rsidRPr="00FB3C96" w:rsidRDefault="00F67107" w:rsidP="00793EB3">
                  <w:pPr>
                    <w:ind w:left="175"/>
                    <w:rPr>
                      <w:rFonts w:ascii="Arial" w:hAnsi="Arial" w:cs="Arial"/>
                    </w:rPr>
                  </w:pPr>
                  <w:r w:rsidRPr="00FB3C96">
                    <w:rPr>
                      <w:rFonts w:ascii="Arial" w:hAnsi="Arial" w:cs="Arial"/>
                    </w:rPr>
                    <w:t>&gt;</w:t>
                  </w:r>
                </w:p>
              </w:tc>
              <w:tc>
                <w:tcPr>
                  <w:tcW w:w="528" w:type="dxa"/>
                  <w:tcBorders>
                    <w:left w:val="nil"/>
                    <w:bottom w:val="single" w:sz="4" w:space="0" w:color="auto"/>
                    <w:right w:val="nil"/>
                  </w:tcBorders>
                  <w:shd w:val="clear" w:color="auto" w:fill="auto"/>
                </w:tcPr>
                <w:p w14:paraId="447146C6" w14:textId="77777777" w:rsidR="00F67107" w:rsidRPr="00FB3C96" w:rsidRDefault="00F67107" w:rsidP="00793EB3">
                  <w:pPr>
                    <w:ind w:left="175"/>
                    <w:rPr>
                      <w:rFonts w:ascii="Arial" w:hAnsi="Arial" w:cs="Arial"/>
                    </w:rPr>
                  </w:pPr>
                </w:p>
              </w:tc>
              <w:tc>
                <w:tcPr>
                  <w:tcW w:w="737" w:type="dxa"/>
                  <w:tcBorders>
                    <w:left w:val="nil"/>
                    <w:bottom w:val="single" w:sz="4" w:space="0" w:color="auto"/>
                  </w:tcBorders>
                  <w:shd w:val="clear" w:color="auto" w:fill="auto"/>
                </w:tcPr>
                <w:p w14:paraId="48B4E934" w14:textId="77777777" w:rsidR="00F67107" w:rsidRPr="00FB3C96" w:rsidRDefault="00F67107" w:rsidP="00793EB3">
                  <w:pPr>
                    <w:ind w:left="175"/>
                    <w:rPr>
                      <w:rFonts w:ascii="Arial" w:hAnsi="Arial" w:cs="Arial"/>
                    </w:rPr>
                  </w:pPr>
                </w:p>
              </w:tc>
            </w:tr>
            <w:tr w:rsidR="00F67107" w:rsidRPr="00FB3C96" w14:paraId="014AFC93" w14:textId="77777777" w:rsidTr="00681B6F">
              <w:tc>
                <w:tcPr>
                  <w:tcW w:w="3352" w:type="dxa"/>
                </w:tcPr>
                <w:p w14:paraId="001310F8" w14:textId="77777777" w:rsidR="00F67107" w:rsidRPr="00FB3C96" w:rsidRDefault="00F67107" w:rsidP="00793EB3">
                  <w:pPr>
                    <w:ind w:left="175"/>
                    <w:rPr>
                      <w:rFonts w:ascii="Arial" w:hAnsi="Arial" w:cs="Arial"/>
                    </w:rPr>
                  </w:pPr>
                  <w:r w:rsidRPr="00FB3C96">
                    <w:rPr>
                      <w:rFonts w:ascii="Arial" w:hAnsi="Arial" w:cs="Arial"/>
                    </w:rPr>
                    <w:t>People and culture</w:t>
                  </w:r>
                </w:p>
              </w:tc>
              <w:tc>
                <w:tcPr>
                  <w:tcW w:w="594" w:type="dxa"/>
                  <w:tcBorders>
                    <w:right w:val="nil"/>
                  </w:tcBorders>
                </w:tcPr>
                <w:p w14:paraId="767EB9DB" w14:textId="77777777"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14:paraId="76ACF680" w14:textId="77777777" w:rsidR="00F67107" w:rsidRPr="00FB3C96" w:rsidRDefault="00F67107" w:rsidP="00793EB3">
                  <w:pPr>
                    <w:ind w:left="175"/>
                    <w:rPr>
                      <w:rFonts w:ascii="Arial" w:hAnsi="Arial" w:cs="Arial"/>
                    </w:rPr>
                  </w:pPr>
                  <w:r w:rsidRPr="00FB3C96">
                    <w:rPr>
                      <w:rFonts w:ascii="Arial" w:hAnsi="Arial" w:cs="Arial"/>
                    </w:rPr>
                    <w:t>&lt;</w:t>
                  </w:r>
                </w:p>
              </w:tc>
              <w:tc>
                <w:tcPr>
                  <w:tcW w:w="520" w:type="dxa"/>
                  <w:gridSpan w:val="2"/>
                  <w:tcBorders>
                    <w:left w:val="nil"/>
                    <w:right w:val="nil"/>
                  </w:tcBorders>
                  <w:shd w:val="clear" w:color="auto" w:fill="BFBFBF" w:themeFill="background1" w:themeFillShade="BF"/>
                </w:tcPr>
                <w:p w14:paraId="6479825C" w14:textId="77777777"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14:paraId="248AF8FD" w14:textId="77777777"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14:paraId="027EB52A" w14:textId="77777777" w:rsidR="00F67107" w:rsidRPr="00FB3C96" w:rsidRDefault="00F67107" w:rsidP="00793EB3">
                  <w:pPr>
                    <w:ind w:left="175"/>
                    <w:rPr>
                      <w:rFonts w:ascii="Arial" w:hAnsi="Arial" w:cs="Arial"/>
                    </w:rPr>
                  </w:pPr>
                  <w:r w:rsidRPr="00FB3C96">
                    <w:rPr>
                      <w:rFonts w:ascii="Arial" w:hAnsi="Arial" w:cs="Arial"/>
                    </w:rPr>
                    <w:t>&gt;</w:t>
                  </w:r>
                </w:p>
              </w:tc>
              <w:tc>
                <w:tcPr>
                  <w:tcW w:w="520" w:type="dxa"/>
                  <w:gridSpan w:val="2"/>
                  <w:tcBorders>
                    <w:left w:val="nil"/>
                    <w:right w:val="nil"/>
                  </w:tcBorders>
                </w:tcPr>
                <w:p w14:paraId="51F8C906" w14:textId="77777777" w:rsidR="00F67107" w:rsidRPr="00FB3C96" w:rsidRDefault="00F67107" w:rsidP="00793EB3">
                  <w:pPr>
                    <w:ind w:left="175"/>
                    <w:rPr>
                      <w:rFonts w:ascii="Arial" w:hAnsi="Arial" w:cs="Arial"/>
                    </w:rPr>
                  </w:pPr>
                </w:p>
              </w:tc>
              <w:tc>
                <w:tcPr>
                  <w:tcW w:w="520" w:type="dxa"/>
                  <w:tcBorders>
                    <w:left w:val="nil"/>
                    <w:right w:val="nil"/>
                  </w:tcBorders>
                </w:tcPr>
                <w:p w14:paraId="5044D0EF" w14:textId="77777777" w:rsidR="00F67107" w:rsidRPr="00FB3C96" w:rsidRDefault="00F67107" w:rsidP="00793EB3">
                  <w:pPr>
                    <w:ind w:left="175"/>
                    <w:rPr>
                      <w:rFonts w:ascii="Arial" w:hAnsi="Arial" w:cs="Arial"/>
                    </w:rPr>
                  </w:pPr>
                </w:p>
              </w:tc>
              <w:tc>
                <w:tcPr>
                  <w:tcW w:w="520" w:type="dxa"/>
                  <w:tcBorders>
                    <w:left w:val="nil"/>
                    <w:right w:val="nil"/>
                  </w:tcBorders>
                </w:tcPr>
                <w:p w14:paraId="7B1044ED" w14:textId="77777777" w:rsidR="00F67107" w:rsidRPr="00FB3C96" w:rsidRDefault="00F67107" w:rsidP="00793EB3">
                  <w:pPr>
                    <w:ind w:left="175"/>
                    <w:rPr>
                      <w:rFonts w:ascii="Arial" w:hAnsi="Arial" w:cs="Arial"/>
                    </w:rPr>
                  </w:pPr>
                </w:p>
              </w:tc>
              <w:tc>
                <w:tcPr>
                  <w:tcW w:w="528" w:type="dxa"/>
                  <w:tcBorders>
                    <w:left w:val="nil"/>
                    <w:right w:val="nil"/>
                  </w:tcBorders>
                </w:tcPr>
                <w:p w14:paraId="3A312BB6" w14:textId="77777777" w:rsidR="00F67107" w:rsidRPr="00FB3C96" w:rsidRDefault="00F67107" w:rsidP="00793EB3">
                  <w:pPr>
                    <w:ind w:left="175"/>
                    <w:rPr>
                      <w:rFonts w:ascii="Arial" w:hAnsi="Arial" w:cs="Arial"/>
                    </w:rPr>
                  </w:pPr>
                </w:p>
              </w:tc>
              <w:tc>
                <w:tcPr>
                  <w:tcW w:w="737" w:type="dxa"/>
                  <w:tcBorders>
                    <w:left w:val="nil"/>
                  </w:tcBorders>
                </w:tcPr>
                <w:p w14:paraId="0B66C973" w14:textId="77777777" w:rsidR="00F67107" w:rsidRPr="00FB3C96" w:rsidRDefault="00F67107" w:rsidP="00793EB3">
                  <w:pPr>
                    <w:ind w:left="175"/>
                    <w:rPr>
                      <w:rFonts w:ascii="Arial" w:hAnsi="Arial" w:cs="Arial"/>
                    </w:rPr>
                  </w:pPr>
                </w:p>
              </w:tc>
            </w:tr>
          </w:tbl>
          <w:p w14:paraId="34C844EE" w14:textId="77777777" w:rsidR="00761F88" w:rsidRDefault="00761F88" w:rsidP="00793EB3">
            <w:pPr>
              <w:ind w:left="175"/>
              <w:rPr>
                <w:rFonts w:ascii="Arial" w:hAnsi="Arial" w:cs="Arial"/>
              </w:rPr>
            </w:pPr>
          </w:p>
          <w:p w14:paraId="02093AC7" w14:textId="77777777" w:rsidR="00F67107" w:rsidRDefault="00BE67E8" w:rsidP="00793EB3">
            <w:pPr>
              <w:ind w:left="175"/>
              <w:rPr>
                <w:rFonts w:ascii="Arial" w:hAnsi="Arial" w:cs="Arial"/>
              </w:rPr>
            </w:pPr>
            <w:r>
              <w:rPr>
                <w:rFonts w:ascii="Arial" w:hAnsi="Arial" w:cs="Arial"/>
              </w:rPr>
              <w:t>Risk Appetite Criteria:</w:t>
            </w:r>
          </w:p>
          <w:p w14:paraId="37209AE1" w14:textId="77777777" w:rsidR="00761F88" w:rsidRDefault="00761F88" w:rsidP="00793EB3">
            <w:pPr>
              <w:ind w:left="175"/>
              <w:rPr>
                <w:rFonts w:ascii="Arial" w:hAnsi="Arial" w:cs="Arial"/>
              </w:rPr>
            </w:pPr>
          </w:p>
          <w:tbl>
            <w:tblPr>
              <w:tblStyle w:val="TableGrid"/>
              <w:tblW w:w="5000" w:type="pct"/>
              <w:tblLook w:val="04A0" w:firstRow="1" w:lastRow="0" w:firstColumn="1" w:lastColumn="0" w:noHBand="0" w:noVBand="1"/>
            </w:tblPr>
            <w:tblGrid>
              <w:gridCol w:w="828"/>
              <w:gridCol w:w="8302"/>
            </w:tblGrid>
            <w:tr w:rsidR="004C0447" w:rsidRPr="004C0447" w14:paraId="0011234E" w14:textId="77777777" w:rsidTr="004C0447">
              <w:tc>
                <w:tcPr>
                  <w:tcW w:w="433" w:type="pct"/>
                </w:tcPr>
                <w:p w14:paraId="78E27CDF" w14:textId="77777777" w:rsidR="004C0447" w:rsidRPr="004C0447" w:rsidRDefault="004C0447" w:rsidP="00BE67E8">
                  <w:pPr>
                    <w:jc w:val="center"/>
                    <w:rPr>
                      <w:rFonts w:ascii="Arial" w:hAnsi="Arial" w:cs="Arial"/>
                      <w:b/>
                      <w:bCs/>
                    </w:rPr>
                  </w:pPr>
                  <w:r w:rsidRPr="004C0447">
                    <w:rPr>
                      <w:rFonts w:ascii="Arial" w:hAnsi="Arial" w:cs="Arial"/>
                      <w:b/>
                      <w:bCs/>
                    </w:rPr>
                    <w:t>Score</w:t>
                  </w:r>
                </w:p>
              </w:tc>
              <w:tc>
                <w:tcPr>
                  <w:tcW w:w="4567" w:type="pct"/>
                </w:tcPr>
                <w:p w14:paraId="23DD68FB" w14:textId="77777777" w:rsidR="004C0447" w:rsidRPr="004C0447" w:rsidRDefault="004C0447" w:rsidP="00BE67E8">
                  <w:pPr>
                    <w:jc w:val="center"/>
                    <w:rPr>
                      <w:rFonts w:ascii="Arial" w:hAnsi="Arial" w:cs="Arial"/>
                      <w:b/>
                      <w:bCs/>
                    </w:rPr>
                  </w:pPr>
                  <w:r w:rsidRPr="004C0447">
                    <w:rPr>
                      <w:rFonts w:ascii="Arial" w:hAnsi="Arial" w:cs="Arial"/>
                      <w:b/>
                      <w:bCs/>
                    </w:rPr>
                    <w:t>Description</w:t>
                  </w:r>
                </w:p>
              </w:tc>
            </w:tr>
            <w:tr w:rsidR="004C0447" w:rsidRPr="00420AFD" w14:paraId="45664955" w14:textId="77777777" w:rsidTr="004C0447">
              <w:tc>
                <w:tcPr>
                  <w:tcW w:w="433" w:type="pct"/>
                  <w:shd w:val="clear" w:color="auto" w:fill="00B050"/>
                </w:tcPr>
                <w:p w14:paraId="2C840AB4" w14:textId="77777777" w:rsidR="004C0447" w:rsidRPr="00420AFD" w:rsidRDefault="004C0447" w:rsidP="00356C73">
                  <w:pPr>
                    <w:spacing w:before="120"/>
                    <w:jc w:val="center"/>
                    <w:rPr>
                      <w:rFonts w:ascii="Arial" w:hAnsi="Arial" w:cs="Arial"/>
                    </w:rPr>
                  </w:pPr>
                  <w:r>
                    <w:rPr>
                      <w:rFonts w:ascii="Arial" w:hAnsi="Arial" w:cs="Arial"/>
                    </w:rPr>
                    <w:t>0</w:t>
                  </w:r>
                </w:p>
              </w:tc>
              <w:tc>
                <w:tcPr>
                  <w:tcW w:w="4567" w:type="pct"/>
                </w:tcPr>
                <w:p w14:paraId="609B6B0A" w14:textId="77777777" w:rsidR="004C0447" w:rsidRPr="00420AFD" w:rsidRDefault="004C0447" w:rsidP="0000680D">
                  <w:pPr>
                    <w:rPr>
                      <w:rFonts w:ascii="Arial" w:hAnsi="Arial" w:cs="Arial"/>
                    </w:rPr>
                  </w:pPr>
                  <w:r w:rsidRPr="00420AFD">
                    <w:rPr>
                      <w:rFonts w:ascii="Arial" w:hAnsi="Arial" w:cs="Arial"/>
                    </w:rPr>
                    <w:t>Court unwilling to accept risks with potential to impact this operational area, as extreme damage to the viability of University could result. Sub-optimal performance is unacceptable. Failure is not an option. No margin for error.</w:t>
                  </w:r>
                </w:p>
              </w:tc>
            </w:tr>
            <w:tr w:rsidR="004C0447" w:rsidRPr="00420AFD" w14:paraId="2B185B97" w14:textId="77777777" w:rsidTr="004C0447">
              <w:tc>
                <w:tcPr>
                  <w:tcW w:w="433" w:type="pct"/>
                  <w:shd w:val="clear" w:color="auto" w:fill="00B050"/>
                </w:tcPr>
                <w:p w14:paraId="00180E89" w14:textId="77777777" w:rsidR="004C0447" w:rsidRPr="00420AFD" w:rsidRDefault="004C0447" w:rsidP="00356C73">
                  <w:pPr>
                    <w:spacing w:before="120"/>
                    <w:jc w:val="center"/>
                    <w:rPr>
                      <w:rFonts w:ascii="Arial" w:hAnsi="Arial" w:cs="Arial"/>
                    </w:rPr>
                  </w:pPr>
                  <w:r>
                    <w:rPr>
                      <w:rFonts w:ascii="Arial" w:hAnsi="Arial" w:cs="Arial"/>
                    </w:rPr>
                    <w:t>1-2</w:t>
                  </w:r>
                </w:p>
              </w:tc>
              <w:tc>
                <w:tcPr>
                  <w:tcW w:w="4567" w:type="pct"/>
                </w:tcPr>
                <w:p w14:paraId="35F24A47" w14:textId="77777777" w:rsidR="004C0447" w:rsidRPr="00420AFD" w:rsidRDefault="004C0447" w:rsidP="00F763A8">
                  <w:pPr>
                    <w:rPr>
                      <w:rFonts w:ascii="Arial" w:hAnsi="Arial" w:cs="Arial"/>
                    </w:rPr>
                  </w:pPr>
                  <w:r w:rsidRPr="00420AFD">
                    <w:rPr>
                      <w:rFonts w:ascii="Arial" w:hAnsi="Arial" w:cs="Arial"/>
                    </w:rPr>
                    <w:t>Very reluctant to accept risks. Potential pay-off must substantially exceed costs, and robust controls must be in place to prevent or mitigate potential harm. Court must specifically approve taking these risks. Continual monitoring and regular reporting to Court is expected if approval to proceed is granted.</w:t>
                  </w:r>
                </w:p>
              </w:tc>
            </w:tr>
            <w:tr w:rsidR="004C0447" w:rsidRPr="00420AFD" w14:paraId="56DA06EA" w14:textId="77777777" w:rsidTr="004C0447">
              <w:tc>
                <w:tcPr>
                  <w:tcW w:w="433" w:type="pct"/>
                  <w:shd w:val="clear" w:color="auto" w:fill="00B050"/>
                </w:tcPr>
                <w:p w14:paraId="607E7024" w14:textId="77777777" w:rsidR="004C0447" w:rsidRPr="00420AFD" w:rsidRDefault="004C0447" w:rsidP="00356C73">
                  <w:pPr>
                    <w:spacing w:before="120"/>
                    <w:jc w:val="center"/>
                    <w:rPr>
                      <w:rFonts w:ascii="Arial" w:hAnsi="Arial" w:cs="Arial"/>
                    </w:rPr>
                  </w:pPr>
                  <w:r>
                    <w:rPr>
                      <w:rFonts w:ascii="Arial" w:hAnsi="Arial" w:cs="Arial"/>
                    </w:rPr>
                    <w:t>2-5</w:t>
                  </w:r>
                </w:p>
              </w:tc>
              <w:tc>
                <w:tcPr>
                  <w:tcW w:w="4567" w:type="pct"/>
                </w:tcPr>
                <w:p w14:paraId="6DA10F6F" w14:textId="77777777" w:rsidR="004C0447" w:rsidRPr="00420AFD" w:rsidRDefault="004C0447" w:rsidP="00CA7B9A">
                  <w:pPr>
                    <w:rPr>
                      <w:rFonts w:ascii="Arial" w:hAnsi="Arial" w:cs="Arial"/>
                    </w:rPr>
                  </w:pPr>
                  <w:r w:rsidRPr="00420AFD">
                    <w:rPr>
                      <w:rFonts w:ascii="Arial" w:hAnsi="Arial" w:cs="Arial"/>
                    </w:rPr>
                    <w:t>Reluctant to accept risks in this operational area. Detailed business plan with formal risk assessment would be required demonstrating value of taking these risks. Existing risks above “Medium” in these categories must be reported to Risk Management Committee.</w:t>
                  </w:r>
                </w:p>
              </w:tc>
            </w:tr>
            <w:tr w:rsidR="004C0447" w:rsidRPr="00420AFD" w14:paraId="786507B2" w14:textId="77777777" w:rsidTr="004C0447">
              <w:tc>
                <w:tcPr>
                  <w:tcW w:w="433" w:type="pct"/>
                  <w:shd w:val="clear" w:color="auto" w:fill="FFFF00"/>
                </w:tcPr>
                <w:p w14:paraId="054826F0" w14:textId="77777777" w:rsidR="004C0447" w:rsidRPr="00420AFD" w:rsidRDefault="004C0447" w:rsidP="00356C73">
                  <w:pPr>
                    <w:spacing w:before="120"/>
                    <w:jc w:val="center"/>
                    <w:rPr>
                      <w:rFonts w:ascii="Arial" w:hAnsi="Arial" w:cs="Arial"/>
                    </w:rPr>
                  </w:pPr>
                  <w:r>
                    <w:rPr>
                      <w:rFonts w:ascii="Arial" w:hAnsi="Arial" w:cs="Arial"/>
                    </w:rPr>
                    <w:t>6-8</w:t>
                  </w:r>
                </w:p>
              </w:tc>
              <w:tc>
                <w:tcPr>
                  <w:tcW w:w="4567" w:type="pct"/>
                </w:tcPr>
                <w:p w14:paraId="3C0A7631" w14:textId="77777777" w:rsidR="004C0447" w:rsidRPr="00420AFD" w:rsidRDefault="004C0447" w:rsidP="00761F88">
                  <w:pPr>
                    <w:rPr>
                      <w:rFonts w:ascii="Arial" w:hAnsi="Arial" w:cs="Arial"/>
                    </w:rPr>
                  </w:pPr>
                  <w:r w:rsidRPr="00420AFD">
                    <w:rPr>
                      <w:rFonts w:ascii="Arial" w:hAnsi="Arial" w:cs="Arial"/>
                    </w:rPr>
                    <w:t>Colleges and Support Groups can retain high risk in these areas, provided substantial potential benefits exist. Robust risk management and ongoing monitoring by Heads of College is required.</w:t>
                  </w:r>
                </w:p>
              </w:tc>
            </w:tr>
            <w:tr w:rsidR="004C0447" w:rsidRPr="00420AFD" w14:paraId="5AF1744F" w14:textId="77777777" w:rsidTr="004C0447">
              <w:tc>
                <w:tcPr>
                  <w:tcW w:w="433" w:type="pct"/>
                  <w:shd w:val="clear" w:color="auto" w:fill="FFFF00"/>
                </w:tcPr>
                <w:p w14:paraId="56E525F5" w14:textId="77777777" w:rsidR="004C0447" w:rsidRPr="00420AFD" w:rsidRDefault="004C0447" w:rsidP="00356C73">
                  <w:pPr>
                    <w:spacing w:before="120"/>
                    <w:jc w:val="center"/>
                    <w:rPr>
                      <w:rFonts w:ascii="Arial" w:hAnsi="Arial" w:cs="Arial"/>
                    </w:rPr>
                  </w:pPr>
                  <w:r>
                    <w:rPr>
                      <w:rFonts w:ascii="Arial" w:hAnsi="Arial" w:cs="Arial"/>
                    </w:rPr>
                    <w:t>8-10</w:t>
                  </w:r>
                </w:p>
              </w:tc>
              <w:tc>
                <w:tcPr>
                  <w:tcW w:w="4567" w:type="pct"/>
                </w:tcPr>
                <w:p w14:paraId="2FEE103B" w14:textId="77777777" w:rsidR="004C0447" w:rsidRPr="00420AFD" w:rsidRDefault="004C0447" w:rsidP="00761F88">
                  <w:pPr>
                    <w:rPr>
                      <w:rFonts w:ascii="Arial" w:hAnsi="Arial" w:cs="Arial"/>
                    </w:rPr>
                  </w:pPr>
                  <w:r w:rsidRPr="00420AFD">
                    <w:rPr>
                      <w:rFonts w:ascii="Arial" w:hAnsi="Arial" w:cs="Arial"/>
                    </w:rPr>
                    <w:t xml:space="preserve">Retaining these risks can be considered by Colleges and Groups provided resources exist internally to absorb potential losses and costs without impacting key operations and services, or other parts of the University. </w:t>
                  </w:r>
                </w:p>
              </w:tc>
            </w:tr>
            <w:tr w:rsidR="004C0447" w:rsidRPr="00420AFD" w14:paraId="64033EE3" w14:textId="77777777" w:rsidTr="004C0447">
              <w:tc>
                <w:tcPr>
                  <w:tcW w:w="433" w:type="pct"/>
                  <w:shd w:val="clear" w:color="auto" w:fill="F79646" w:themeFill="accent6"/>
                </w:tcPr>
                <w:p w14:paraId="7C07E279" w14:textId="77777777" w:rsidR="004C0447" w:rsidRPr="00420AFD" w:rsidRDefault="004C0447" w:rsidP="00356C73">
                  <w:pPr>
                    <w:spacing w:before="120"/>
                    <w:jc w:val="center"/>
                    <w:rPr>
                      <w:rFonts w:ascii="Arial" w:hAnsi="Arial" w:cs="Arial"/>
                    </w:rPr>
                  </w:pPr>
                  <w:r>
                    <w:rPr>
                      <w:rFonts w:ascii="Arial" w:hAnsi="Arial" w:cs="Arial"/>
                    </w:rPr>
                    <w:t>10-15</w:t>
                  </w:r>
                </w:p>
              </w:tc>
              <w:tc>
                <w:tcPr>
                  <w:tcW w:w="4567" w:type="pct"/>
                </w:tcPr>
                <w:p w14:paraId="55882BC0" w14:textId="77777777" w:rsidR="004C0447" w:rsidRPr="00420AFD" w:rsidRDefault="004C0447" w:rsidP="0000680D">
                  <w:pPr>
                    <w:rPr>
                      <w:rFonts w:ascii="Arial" w:hAnsi="Arial" w:cs="Arial"/>
                    </w:rPr>
                  </w:pPr>
                  <w:r w:rsidRPr="00420AFD">
                    <w:rPr>
                      <w:rFonts w:ascii="Arial" w:hAnsi="Arial" w:cs="Arial"/>
                    </w:rPr>
                    <w:t xml:space="preserve">Pursuit of opportunities is encouraged provided risks are considered and documented, and resources applied are commensurate with the potential benefit to the existing goals and objectives of the organization. </w:t>
                  </w:r>
                </w:p>
              </w:tc>
            </w:tr>
            <w:tr w:rsidR="004C0447" w:rsidRPr="00420AFD" w14:paraId="0AC9AD70" w14:textId="77777777" w:rsidTr="004C0447">
              <w:tc>
                <w:tcPr>
                  <w:tcW w:w="433" w:type="pct"/>
                  <w:shd w:val="clear" w:color="auto" w:fill="F79646" w:themeFill="accent6"/>
                </w:tcPr>
                <w:p w14:paraId="6B907802" w14:textId="77777777" w:rsidR="004C0447" w:rsidRPr="00420AFD" w:rsidRDefault="004C0447" w:rsidP="00356C73">
                  <w:pPr>
                    <w:spacing w:before="120"/>
                    <w:jc w:val="center"/>
                    <w:rPr>
                      <w:rFonts w:ascii="Arial" w:hAnsi="Arial" w:cs="Arial"/>
                    </w:rPr>
                  </w:pPr>
                  <w:r>
                    <w:rPr>
                      <w:rFonts w:ascii="Arial" w:hAnsi="Arial" w:cs="Arial"/>
                    </w:rPr>
                    <w:t>15-16</w:t>
                  </w:r>
                </w:p>
              </w:tc>
              <w:tc>
                <w:tcPr>
                  <w:tcW w:w="4567" w:type="pct"/>
                </w:tcPr>
                <w:p w14:paraId="2058D3FF" w14:textId="77777777" w:rsidR="004C0447" w:rsidRPr="00420AFD" w:rsidRDefault="004C0447" w:rsidP="00F763A8">
                  <w:pPr>
                    <w:rPr>
                      <w:rFonts w:ascii="Arial" w:hAnsi="Arial" w:cs="Arial"/>
                    </w:rPr>
                  </w:pPr>
                  <w:r w:rsidRPr="00420AFD">
                    <w:rPr>
                      <w:rFonts w:ascii="Arial" w:hAnsi="Arial" w:cs="Arial"/>
                    </w:rPr>
                    <w:t>Stretch targets are encouraged, even if failure is possible. Should not threaten the delivery of current key programs, but project failure is possible and acceptable in pursuit of potential benefits.</w:t>
                  </w:r>
                </w:p>
              </w:tc>
            </w:tr>
            <w:tr w:rsidR="004C0447" w:rsidRPr="00420AFD" w14:paraId="5B1125E3" w14:textId="77777777" w:rsidTr="004C0447">
              <w:tc>
                <w:tcPr>
                  <w:tcW w:w="433" w:type="pct"/>
                  <w:shd w:val="clear" w:color="auto" w:fill="FF0000"/>
                </w:tcPr>
                <w:p w14:paraId="760F6652" w14:textId="77777777" w:rsidR="004C0447" w:rsidRPr="00420AFD" w:rsidRDefault="004C0447" w:rsidP="00356C73">
                  <w:pPr>
                    <w:spacing w:before="120"/>
                    <w:jc w:val="center"/>
                    <w:rPr>
                      <w:rFonts w:ascii="Arial" w:hAnsi="Arial" w:cs="Arial"/>
                    </w:rPr>
                  </w:pPr>
                  <w:r>
                    <w:rPr>
                      <w:rFonts w:ascii="Arial" w:hAnsi="Arial" w:cs="Arial"/>
                    </w:rPr>
                    <w:lastRenderedPageBreak/>
                    <w:t>18</w:t>
                  </w:r>
                </w:p>
              </w:tc>
              <w:tc>
                <w:tcPr>
                  <w:tcW w:w="4567" w:type="pct"/>
                </w:tcPr>
                <w:p w14:paraId="47D54050" w14:textId="77777777" w:rsidR="004C0447" w:rsidRPr="00420AFD" w:rsidRDefault="004C0447" w:rsidP="0000680D">
                  <w:pPr>
                    <w:rPr>
                      <w:rFonts w:ascii="Arial" w:hAnsi="Arial" w:cs="Arial"/>
                    </w:rPr>
                  </w:pPr>
                  <w:r w:rsidRPr="00420AFD">
                    <w:rPr>
                      <w:rFonts w:ascii="Arial" w:hAnsi="Arial" w:cs="Arial"/>
                    </w:rPr>
                    <w:t>Project teams and service groups can proceed in the face of significant risks provided reasonable mitigation strategies are in place. Heads of School should likely be aware of these activities’ risks.</w:t>
                  </w:r>
                </w:p>
              </w:tc>
            </w:tr>
            <w:tr w:rsidR="004C0447" w:rsidRPr="00420AFD" w14:paraId="3F6ACEAA" w14:textId="77777777" w:rsidTr="004C0447">
              <w:tc>
                <w:tcPr>
                  <w:tcW w:w="433" w:type="pct"/>
                  <w:shd w:val="clear" w:color="auto" w:fill="FF0000"/>
                </w:tcPr>
                <w:p w14:paraId="3BE753BA" w14:textId="77777777" w:rsidR="004C0447" w:rsidRPr="00420AFD" w:rsidRDefault="004C0447" w:rsidP="00356C73">
                  <w:pPr>
                    <w:spacing w:before="120"/>
                    <w:jc w:val="center"/>
                    <w:rPr>
                      <w:rFonts w:ascii="Arial" w:hAnsi="Arial" w:cs="Arial"/>
                    </w:rPr>
                  </w:pPr>
                  <w:r>
                    <w:rPr>
                      <w:rFonts w:ascii="Arial" w:hAnsi="Arial" w:cs="Arial"/>
                    </w:rPr>
                    <w:t>18-20</w:t>
                  </w:r>
                </w:p>
              </w:tc>
              <w:tc>
                <w:tcPr>
                  <w:tcW w:w="4567" w:type="pct"/>
                </w:tcPr>
                <w:p w14:paraId="3483CD61" w14:textId="77777777" w:rsidR="004C0447" w:rsidRPr="00420AFD" w:rsidRDefault="004C0447" w:rsidP="009230B9">
                  <w:pPr>
                    <w:rPr>
                      <w:rFonts w:ascii="Arial" w:hAnsi="Arial" w:cs="Arial"/>
                    </w:rPr>
                  </w:pPr>
                  <w:r w:rsidRPr="00420AFD">
                    <w:rPr>
                      <w:rFonts w:ascii="Arial" w:hAnsi="Arial" w:cs="Arial"/>
                    </w:rPr>
                    <w:t>Individuals are free to innovate and take intelligent risks provided some potential benefits exist.</w:t>
                  </w:r>
                </w:p>
              </w:tc>
            </w:tr>
            <w:tr w:rsidR="004C0447" w:rsidRPr="00420AFD" w14:paraId="155313D9" w14:textId="77777777" w:rsidTr="004C0447">
              <w:tc>
                <w:tcPr>
                  <w:tcW w:w="433" w:type="pct"/>
                  <w:shd w:val="clear" w:color="auto" w:fill="FF0000"/>
                </w:tcPr>
                <w:p w14:paraId="7F873415" w14:textId="77777777" w:rsidR="004C0447" w:rsidRPr="00420AFD" w:rsidRDefault="004C0447" w:rsidP="00356C73">
                  <w:pPr>
                    <w:spacing w:before="120"/>
                    <w:jc w:val="center"/>
                    <w:rPr>
                      <w:rFonts w:ascii="Arial" w:hAnsi="Arial" w:cs="Arial"/>
                    </w:rPr>
                  </w:pPr>
                  <w:r>
                    <w:rPr>
                      <w:rFonts w:ascii="Arial" w:hAnsi="Arial" w:cs="Arial"/>
                    </w:rPr>
                    <w:t>25</w:t>
                  </w:r>
                </w:p>
              </w:tc>
              <w:tc>
                <w:tcPr>
                  <w:tcW w:w="4567" w:type="pct"/>
                </w:tcPr>
                <w:p w14:paraId="00E61227" w14:textId="77777777" w:rsidR="004C0447" w:rsidRPr="00420AFD" w:rsidRDefault="004C0447" w:rsidP="00BE147E">
                  <w:pPr>
                    <w:rPr>
                      <w:rFonts w:ascii="Arial" w:hAnsi="Arial" w:cs="Arial"/>
                    </w:rPr>
                  </w:pPr>
                  <w:r w:rsidRPr="00420AFD">
                    <w:rPr>
                      <w:rFonts w:ascii="Arial" w:hAnsi="Arial" w:cs="Arial"/>
                    </w:rPr>
                    <w:t>Risk taking is encouraged, assuming it’s legal and a degree of due diligence is applied. Chance of failure can be high and failure will be accepted in the pursuit of moderate rewards.</w:t>
                  </w:r>
                </w:p>
              </w:tc>
            </w:tr>
          </w:tbl>
          <w:p w14:paraId="2F2D2FB8" w14:textId="77777777" w:rsidR="00BE67E8" w:rsidRPr="00420AFD" w:rsidRDefault="00BE67E8" w:rsidP="00793EB3">
            <w:pPr>
              <w:ind w:left="175"/>
              <w:rPr>
                <w:rFonts w:ascii="Arial" w:hAnsi="Arial" w:cs="Arial"/>
              </w:rPr>
            </w:pPr>
          </w:p>
          <w:p w14:paraId="738C7A8C" w14:textId="77777777" w:rsidR="00556699" w:rsidRPr="00556699" w:rsidRDefault="00F763A8" w:rsidP="00793EB3">
            <w:pPr>
              <w:ind w:left="175"/>
              <w:rPr>
                <w:rFonts w:ascii="Arial" w:hAnsi="Arial" w:cs="Arial"/>
                <w:color w:val="FF0000"/>
              </w:rPr>
            </w:pPr>
            <w:r w:rsidRPr="00420AFD">
              <w:rPr>
                <w:rFonts w:ascii="Arial" w:hAnsi="Arial" w:cs="Arial"/>
              </w:rPr>
              <w:t>Note</w:t>
            </w:r>
            <w:r w:rsidR="00556699" w:rsidRPr="00420AFD">
              <w:rPr>
                <w:rFonts w:ascii="Arial" w:hAnsi="Arial" w:cs="Arial"/>
              </w:rPr>
              <w:t>: A</w:t>
            </w:r>
            <w:r w:rsidRPr="00420AFD">
              <w:rPr>
                <w:rFonts w:ascii="Arial" w:hAnsi="Arial" w:cs="Arial"/>
              </w:rPr>
              <w:t>ny particular activity may incorporate many categories of risk. A research project, for example, may in and of itself be at high risk</w:t>
            </w:r>
            <w:r w:rsidR="00556699" w:rsidRPr="00420AFD">
              <w:rPr>
                <w:rFonts w:ascii="Arial" w:hAnsi="Arial" w:cs="Arial"/>
              </w:rPr>
              <w:t xml:space="preserve"> of failure, and the Court may be willing to tolerate this. They would be unwilling, however, to accept any risk associated that the same project’s failure to comply with statute, regulation, professional standards, research or medical ethics, bribery or fraud, and would similarly want reasonable assurance that the project did not pose an undue financial liability risk.</w:t>
            </w:r>
            <w:r w:rsidR="00556699" w:rsidRPr="00556699">
              <w:rPr>
                <w:rFonts w:ascii="Arial" w:hAnsi="Arial" w:cs="Arial"/>
                <w:color w:val="FF0000"/>
              </w:rPr>
              <w:t xml:space="preserve"> </w:t>
            </w:r>
          </w:p>
          <w:p w14:paraId="6F46471A" w14:textId="77777777" w:rsidR="00556699" w:rsidRDefault="00556699" w:rsidP="00793EB3">
            <w:pPr>
              <w:ind w:left="175"/>
              <w:rPr>
                <w:rFonts w:ascii="Arial" w:hAnsi="Arial" w:cs="Arial"/>
                <w:i/>
              </w:rPr>
            </w:pPr>
          </w:p>
          <w:p w14:paraId="7622AACD" w14:textId="77777777" w:rsidR="00F67107" w:rsidRPr="00FB3C96" w:rsidRDefault="00F67107" w:rsidP="00793EB3">
            <w:pPr>
              <w:ind w:left="175"/>
              <w:rPr>
                <w:rFonts w:ascii="Arial" w:hAnsi="Arial" w:cs="Arial"/>
              </w:rPr>
            </w:pPr>
            <w:r w:rsidRPr="00420AFD">
              <w:rPr>
                <w:rStyle w:val="Heading3Char"/>
              </w:rPr>
              <w:t>Reputation</w:t>
            </w:r>
            <w:r w:rsidRPr="00FB3C96">
              <w:rPr>
                <w:rFonts w:ascii="Arial" w:hAnsi="Arial" w:cs="Arial"/>
              </w:rPr>
              <w:t xml:space="preserve"> – It is regarded as critical that the University preserves its high reputation. The University therefore has low appetite for risk in the conduct of any of its activities that puts its reputation in jeopardy, could lead to undue adverse publicity, or could lead to loss of confidence by the Scottish and UK political establishment, and funders of its activities.</w:t>
            </w:r>
          </w:p>
          <w:p w14:paraId="2AFF6C24" w14:textId="77777777" w:rsidR="00F67107" w:rsidRPr="00FB3C96" w:rsidRDefault="00F67107" w:rsidP="00793EB3">
            <w:pPr>
              <w:ind w:left="175"/>
              <w:rPr>
                <w:rFonts w:ascii="Arial" w:hAnsi="Arial" w:cs="Arial"/>
              </w:rPr>
            </w:pPr>
          </w:p>
          <w:p w14:paraId="23E469B0" w14:textId="77777777" w:rsidR="00F67107" w:rsidRPr="00FB3C96" w:rsidRDefault="00F67107" w:rsidP="00793EB3">
            <w:pPr>
              <w:ind w:left="175"/>
              <w:rPr>
                <w:rFonts w:ascii="Arial" w:hAnsi="Arial" w:cs="Arial"/>
              </w:rPr>
            </w:pPr>
            <w:r w:rsidRPr="00420AFD">
              <w:rPr>
                <w:rStyle w:val="Heading3Char"/>
              </w:rPr>
              <w:t>Compliance</w:t>
            </w:r>
            <w:r w:rsidRPr="00FB3C96">
              <w:rPr>
                <w:rFonts w:ascii="Arial" w:hAnsi="Arial" w:cs="Arial"/>
              </w:rPr>
              <w:t xml:space="preserve"> – The University places great importance on compliance, and has no appetite for any breaches in statute, regulation, professional standards, research or medical ethics, bribery or fraud. It wishes to maintain accreditations related to courses or standards of operation, and has low appetite for risk relating to actions that may put accreditations in jeopardy</w:t>
            </w:r>
          </w:p>
          <w:p w14:paraId="0CB738CB" w14:textId="77777777" w:rsidR="00F67107" w:rsidRPr="00FB3C96" w:rsidRDefault="00F67107" w:rsidP="00793EB3">
            <w:pPr>
              <w:ind w:left="175"/>
              <w:rPr>
                <w:rFonts w:ascii="Arial" w:hAnsi="Arial" w:cs="Arial"/>
              </w:rPr>
            </w:pPr>
          </w:p>
          <w:p w14:paraId="6C0A6B88" w14:textId="77777777" w:rsidR="00F67107" w:rsidRPr="00F57008" w:rsidRDefault="00F67107" w:rsidP="00793EB3">
            <w:pPr>
              <w:ind w:left="175"/>
              <w:rPr>
                <w:rFonts w:ascii="Arial" w:hAnsi="Arial" w:cs="Arial"/>
              </w:rPr>
            </w:pPr>
            <w:r w:rsidRPr="00F57008">
              <w:rPr>
                <w:rStyle w:val="Heading3Char"/>
              </w:rPr>
              <w:t>Financial</w:t>
            </w:r>
            <w:r w:rsidRPr="00F57008">
              <w:rPr>
                <w:rFonts w:ascii="Arial" w:hAnsi="Arial" w:cs="Arial"/>
              </w:rPr>
              <w:t xml:space="preserve"> – The University aims to maintain its long term financial viability and its overall financial strength. Whilst targets for financial achievement will be higher, the University will aim to manage its financial risk by not breaching the following minimum criteria</w:t>
            </w:r>
            <w:r w:rsidRPr="00F57008">
              <w:rPr>
                <w:rStyle w:val="FootnoteReference"/>
                <w:rFonts w:ascii="Arial" w:eastAsiaTheme="majorEastAsia" w:hAnsi="Arial" w:cs="Arial"/>
              </w:rPr>
              <w:footnoteReference w:id="1"/>
            </w:r>
            <w:r w:rsidRPr="00F57008">
              <w:rPr>
                <w:rFonts w:ascii="Arial" w:hAnsi="Arial" w:cs="Arial"/>
              </w:rPr>
              <w:t>:</w:t>
            </w:r>
          </w:p>
          <w:p w14:paraId="66CC2B8D" w14:textId="77777777" w:rsidR="00934DBA" w:rsidRPr="00F57008" w:rsidRDefault="00F67107" w:rsidP="00793EB3">
            <w:pPr>
              <w:ind w:left="175"/>
              <w:rPr>
                <w:rFonts w:ascii="Arial" w:hAnsi="Arial" w:cs="Arial"/>
              </w:rPr>
            </w:pPr>
            <w:r w:rsidRPr="00F57008">
              <w:rPr>
                <w:rFonts w:ascii="Arial" w:hAnsi="Arial" w:cs="Arial"/>
              </w:rPr>
              <w:t xml:space="preserve">     </w:t>
            </w:r>
          </w:p>
          <w:p w14:paraId="41AFB6D6" w14:textId="77777777" w:rsidR="005E35C0" w:rsidRPr="00F57008" w:rsidRDefault="005E35C0" w:rsidP="00E837FF">
            <w:pPr>
              <w:ind w:left="882" w:hanging="142"/>
              <w:rPr>
                <w:rFonts w:ascii="Arial" w:hAnsi="Arial" w:cs="Arial"/>
                <w:i/>
              </w:rPr>
            </w:pPr>
            <w:r w:rsidRPr="00F57008">
              <w:rPr>
                <w:rStyle w:val="Heading4Char"/>
              </w:rPr>
              <w:t>Operational</w:t>
            </w:r>
            <w:r w:rsidRPr="00F57008">
              <w:rPr>
                <w:rFonts w:ascii="Arial" w:hAnsi="Arial" w:cs="Arial"/>
                <w:i/>
              </w:rPr>
              <w:t xml:space="preserve"> ,Quantitative, Quarterly test</w:t>
            </w:r>
          </w:p>
          <w:p w14:paraId="0D05F7D4" w14:textId="77777777" w:rsidR="005E35C0" w:rsidRPr="00F57008" w:rsidRDefault="005E35C0" w:rsidP="00E837FF">
            <w:pPr>
              <w:ind w:left="882" w:hanging="142"/>
              <w:rPr>
                <w:rFonts w:ascii="Arial" w:hAnsi="Arial" w:cs="Arial"/>
                <w:i/>
              </w:rPr>
            </w:pPr>
            <w:r w:rsidRPr="00F57008">
              <w:rPr>
                <w:rFonts w:ascii="Arial" w:hAnsi="Arial" w:cs="Arial"/>
                <w:i/>
              </w:rPr>
              <w:t>•</w:t>
            </w:r>
            <w:r w:rsidRPr="00F57008">
              <w:rPr>
                <w:rFonts w:ascii="Arial" w:hAnsi="Arial" w:cs="Arial"/>
                <w:i/>
              </w:rPr>
              <w:tab/>
              <w:t xml:space="preserve">We will ensure the basket of financial sustainability metrics is always at a weighted acceptable level </w:t>
            </w:r>
          </w:p>
          <w:p w14:paraId="39012974" w14:textId="77777777" w:rsidR="005E35C0" w:rsidRPr="00F57008" w:rsidRDefault="005E35C0" w:rsidP="00E837FF">
            <w:pPr>
              <w:ind w:left="882" w:hanging="142"/>
              <w:rPr>
                <w:rFonts w:ascii="Arial" w:hAnsi="Arial" w:cs="Arial"/>
                <w:i/>
              </w:rPr>
            </w:pPr>
          </w:p>
          <w:p w14:paraId="7CA00BC6" w14:textId="77777777" w:rsidR="005E35C0" w:rsidRPr="00F57008" w:rsidRDefault="005E35C0" w:rsidP="00E837FF">
            <w:pPr>
              <w:ind w:left="882" w:hanging="142"/>
              <w:rPr>
                <w:rFonts w:ascii="Arial" w:hAnsi="Arial" w:cs="Arial"/>
                <w:i/>
              </w:rPr>
            </w:pPr>
            <w:r w:rsidRPr="00F57008">
              <w:rPr>
                <w:rStyle w:val="Heading4Char"/>
              </w:rPr>
              <w:t>Liquidity and gearing</w:t>
            </w:r>
            <w:r w:rsidRPr="00F57008">
              <w:rPr>
                <w:rFonts w:ascii="Arial" w:hAnsi="Arial" w:cs="Arial"/>
                <w:i/>
              </w:rPr>
              <w:t>, Quantitative, Monthly test</w:t>
            </w:r>
          </w:p>
          <w:p w14:paraId="22F09375" w14:textId="77777777" w:rsidR="005E35C0" w:rsidRPr="00F57008" w:rsidRDefault="005E35C0" w:rsidP="00E837FF">
            <w:pPr>
              <w:ind w:left="882" w:hanging="142"/>
              <w:rPr>
                <w:rFonts w:ascii="Arial" w:hAnsi="Arial" w:cs="Arial"/>
                <w:i/>
              </w:rPr>
            </w:pPr>
            <w:r w:rsidRPr="00F57008">
              <w:rPr>
                <w:rFonts w:ascii="Arial" w:hAnsi="Arial" w:cs="Arial"/>
                <w:i/>
              </w:rPr>
              <w:t>•</w:t>
            </w:r>
            <w:r w:rsidRPr="00F57008">
              <w:rPr>
                <w:rFonts w:ascii="Arial" w:hAnsi="Arial" w:cs="Arial"/>
                <w:i/>
              </w:rPr>
              <w:tab/>
              <w:t>We will maintain at least 1 months equivalent average spend in cash or short term deposits or negotiated bank facilities</w:t>
            </w:r>
          </w:p>
          <w:p w14:paraId="0255B1F8" w14:textId="77777777" w:rsidR="005E35C0" w:rsidRPr="00F57008" w:rsidRDefault="005E35C0" w:rsidP="00E837FF">
            <w:pPr>
              <w:ind w:left="882" w:hanging="142"/>
              <w:rPr>
                <w:rFonts w:ascii="Arial" w:hAnsi="Arial" w:cs="Arial"/>
                <w:i/>
              </w:rPr>
            </w:pPr>
            <w:r w:rsidRPr="00F57008">
              <w:rPr>
                <w:rFonts w:ascii="Arial" w:hAnsi="Arial" w:cs="Arial"/>
                <w:i/>
              </w:rPr>
              <w:t>•</w:t>
            </w:r>
            <w:r w:rsidRPr="00F57008">
              <w:rPr>
                <w:rFonts w:ascii="Arial" w:hAnsi="Arial" w:cs="Arial"/>
                <w:i/>
              </w:rPr>
              <w:tab/>
              <w:t xml:space="preserve">We will ensure that the annual surplus before interest is at least 2 times the annual interest charge, except in exceptional circumstances as approved by Court. </w:t>
            </w:r>
          </w:p>
          <w:p w14:paraId="2C992EFE" w14:textId="77777777" w:rsidR="005E35C0" w:rsidRPr="00F57008" w:rsidRDefault="005E35C0" w:rsidP="00E837FF">
            <w:pPr>
              <w:ind w:left="882" w:hanging="142"/>
              <w:rPr>
                <w:rFonts w:ascii="Arial" w:hAnsi="Arial" w:cs="Arial"/>
                <w:i/>
              </w:rPr>
            </w:pPr>
            <w:r w:rsidRPr="00F57008">
              <w:rPr>
                <w:rFonts w:ascii="Arial" w:hAnsi="Arial" w:cs="Arial"/>
                <w:i/>
              </w:rPr>
              <w:t>•</w:t>
            </w:r>
            <w:r w:rsidRPr="00F57008">
              <w:rPr>
                <w:rFonts w:ascii="Arial" w:hAnsi="Arial" w:cs="Arial"/>
                <w:i/>
              </w:rPr>
              <w:tab/>
              <w:t xml:space="preserve">We will limit borrowing over 1 year to 35% of net assets except in exceptional circumstances approved by Court. </w:t>
            </w:r>
          </w:p>
          <w:p w14:paraId="0BAC8D16" w14:textId="3E362BA9" w:rsidR="005E35C0" w:rsidRPr="00F57008" w:rsidRDefault="005E35C0" w:rsidP="00E837FF">
            <w:pPr>
              <w:ind w:left="882" w:hanging="142"/>
              <w:rPr>
                <w:rFonts w:ascii="Arial" w:hAnsi="Arial" w:cs="Arial"/>
                <w:i/>
              </w:rPr>
            </w:pPr>
            <w:r w:rsidRPr="00F57008">
              <w:rPr>
                <w:rFonts w:ascii="Arial" w:hAnsi="Arial" w:cs="Arial"/>
                <w:i/>
              </w:rPr>
              <w:t>•</w:t>
            </w:r>
            <w:r w:rsidRPr="00F57008">
              <w:rPr>
                <w:rFonts w:ascii="Arial" w:hAnsi="Arial" w:cs="Arial"/>
                <w:i/>
              </w:rPr>
              <w:tab/>
              <w:t xml:space="preserve">We will ensure that all </w:t>
            </w:r>
            <w:r w:rsidR="004A2BF4" w:rsidRPr="00F57008">
              <w:rPr>
                <w:rFonts w:ascii="Arial" w:hAnsi="Arial" w:cs="Arial"/>
                <w:i/>
              </w:rPr>
              <w:t xml:space="preserve">University </w:t>
            </w:r>
            <w:r w:rsidRPr="00F57008">
              <w:rPr>
                <w:rFonts w:ascii="Arial" w:hAnsi="Arial" w:cs="Arial"/>
                <w:i/>
              </w:rPr>
              <w:t>cash invested through the Endowment Fund portfolio can be liquidated with 3 month notice and that 30% can be liquidated with 1 month notice</w:t>
            </w:r>
          </w:p>
          <w:p w14:paraId="75AD420E" w14:textId="77777777" w:rsidR="005E35C0" w:rsidRPr="00F57008" w:rsidRDefault="005E35C0" w:rsidP="00E837FF">
            <w:pPr>
              <w:ind w:left="882" w:hanging="142"/>
              <w:rPr>
                <w:rFonts w:ascii="Arial" w:hAnsi="Arial" w:cs="Arial"/>
                <w:i/>
              </w:rPr>
            </w:pPr>
          </w:p>
          <w:p w14:paraId="12CC14B7" w14:textId="77777777" w:rsidR="005E35C0" w:rsidRPr="00F57008" w:rsidRDefault="005E35C0" w:rsidP="00E837FF">
            <w:pPr>
              <w:pStyle w:val="Heading4"/>
              <w:ind w:left="882" w:hanging="142"/>
              <w:outlineLvl w:val="3"/>
            </w:pPr>
            <w:r w:rsidRPr="00F57008">
              <w:t xml:space="preserve">Qualitative </w:t>
            </w:r>
          </w:p>
          <w:p w14:paraId="3A436D3F" w14:textId="77777777" w:rsidR="005E35C0" w:rsidRPr="00F57008" w:rsidRDefault="005E35C0" w:rsidP="00E837FF">
            <w:pPr>
              <w:ind w:left="882" w:hanging="142"/>
              <w:rPr>
                <w:rFonts w:ascii="Arial" w:hAnsi="Arial" w:cs="Arial"/>
                <w:i/>
              </w:rPr>
            </w:pPr>
            <w:r w:rsidRPr="00F57008">
              <w:rPr>
                <w:rFonts w:ascii="Arial" w:hAnsi="Arial" w:cs="Arial"/>
                <w:i/>
              </w:rPr>
              <w:t>•</w:t>
            </w:r>
            <w:r w:rsidRPr="00F57008">
              <w:rPr>
                <w:rFonts w:ascii="Arial" w:hAnsi="Arial" w:cs="Arial"/>
                <w:i/>
              </w:rPr>
              <w:tab/>
              <w:t xml:space="preserve">We will maintain access to liquidity that will allow us to meet our obligations, even under stressed scenarios. </w:t>
            </w:r>
          </w:p>
          <w:p w14:paraId="47C2EFA4" w14:textId="77777777" w:rsidR="005E35C0" w:rsidRPr="00F57008" w:rsidRDefault="005E35C0" w:rsidP="00E837FF">
            <w:pPr>
              <w:ind w:left="882" w:hanging="142"/>
              <w:rPr>
                <w:rFonts w:ascii="Arial" w:hAnsi="Arial" w:cs="Arial"/>
                <w:i/>
              </w:rPr>
            </w:pPr>
            <w:r w:rsidRPr="00F57008">
              <w:rPr>
                <w:rFonts w:ascii="Arial" w:hAnsi="Arial" w:cs="Arial"/>
                <w:i/>
              </w:rPr>
              <w:t>•</w:t>
            </w:r>
            <w:r w:rsidRPr="00F57008">
              <w:rPr>
                <w:rFonts w:ascii="Arial" w:hAnsi="Arial" w:cs="Arial"/>
                <w:i/>
              </w:rPr>
              <w:tab/>
              <w:t>We will limit volatility impact by securing fixed rate long term borrowing</w:t>
            </w:r>
          </w:p>
          <w:p w14:paraId="1C7033AF" w14:textId="77777777" w:rsidR="005E35C0" w:rsidRPr="00F57008" w:rsidRDefault="005E35C0" w:rsidP="00E837FF">
            <w:pPr>
              <w:ind w:left="882" w:hanging="142"/>
              <w:rPr>
                <w:rFonts w:ascii="Arial" w:hAnsi="Arial" w:cs="Arial"/>
                <w:i/>
              </w:rPr>
            </w:pPr>
            <w:r w:rsidRPr="00F57008">
              <w:rPr>
                <w:rFonts w:ascii="Arial" w:hAnsi="Arial" w:cs="Arial"/>
                <w:i/>
              </w:rPr>
              <w:t>•</w:t>
            </w:r>
            <w:r w:rsidRPr="00F57008">
              <w:rPr>
                <w:rFonts w:ascii="Arial" w:hAnsi="Arial" w:cs="Arial"/>
                <w:i/>
              </w:rPr>
              <w:tab/>
              <w:t xml:space="preserve">We will maintain a portfolio of highly liquid assets to meet the liquidity outflows that may occur over the near-term. </w:t>
            </w:r>
          </w:p>
          <w:p w14:paraId="177B7088" w14:textId="77777777" w:rsidR="005E35C0" w:rsidRPr="00F57008" w:rsidRDefault="005E35C0" w:rsidP="00E837FF">
            <w:pPr>
              <w:ind w:left="882" w:hanging="142"/>
              <w:rPr>
                <w:rFonts w:ascii="Arial" w:hAnsi="Arial" w:cs="Arial"/>
                <w:i/>
              </w:rPr>
            </w:pPr>
            <w:r w:rsidRPr="00F57008">
              <w:rPr>
                <w:rFonts w:ascii="Arial" w:hAnsi="Arial" w:cs="Arial"/>
                <w:i/>
              </w:rPr>
              <w:t>•</w:t>
            </w:r>
            <w:r w:rsidRPr="00F57008">
              <w:rPr>
                <w:rFonts w:ascii="Arial" w:hAnsi="Arial" w:cs="Arial"/>
                <w:i/>
              </w:rPr>
              <w:tab/>
              <w:t xml:space="preserve">We will maintain a contingency plan to address any unforeseen events. </w:t>
            </w:r>
          </w:p>
          <w:p w14:paraId="7598CE78" w14:textId="77777777" w:rsidR="005E35C0" w:rsidRPr="00F57008" w:rsidRDefault="005E35C0" w:rsidP="00E837FF">
            <w:pPr>
              <w:ind w:left="882" w:hanging="142"/>
              <w:rPr>
                <w:rFonts w:ascii="Arial" w:hAnsi="Arial" w:cs="Arial"/>
                <w:i/>
              </w:rPr>
            </w:pPr>
          </w:p>
          <w:p w14:paraId="0235D339" w14:textId="33B3BFBE" w:rsidR="005E35C0" w:rsidRPr="00F57008" w:rsidRDefault="005E35C0" w:rsidP="00E837FF">
            <w:pPr>
              <w:ind w:left="882" w:hanging="142"/>
              <w:rPr>
                <w:rFonts w:ascii="Arial" w:hAnsi="Arial" w:cs="Arial"/>
                <w:i/>
              </w:rPr>
            </w:pPr>
            <w:r w:rsidRPr="00F57008">
              <w:rPr>
                <w:rStyle w:val="Heading4Char"/>
              </w:rPr>
              <w:t>Surplus</w:t>
            </w:r>
            <w:r w:rsidR="00830EC1" w:rsidRPr="00F57008">
              <w:rPr>
                <w:rStyle w:val="Heading4Char"/>
              </w:rPr>
              <w:t>/EBITDA</w:t>
            </w:r>
            <w:r w:rsidRPr="00F57008">
              <w:rPr>
                <w:rFonts w:ascii="Arial" w:hAnsi="Arial" w:cs="Arial"/>
                <w:i/>
              </w:rPr>
              <w:t xml:space="preserve">, Quantitative, Annual test </w:t>
            </w:r>
          </w:p>
          <w:p w14:paraId="65F4EE79" w14:textId="3A55F258" w:rsidR="005E35C0" w:rsidRPr="00F57008" w:rsidRDefault="005E35C0" w:rsidP="00E837FF">
            <w:pPr>
              <w:ind w:left="882" w:hanging="142"/>
              <w:rPr>
                <w:rFonts w:ascii="Arial" w:hAnsi="Arial" w:cs="Arial"/>
                <w:i/>
              </w:rPr>
            </w:pPr>
            <w:r w:rsidRPr="00F57008">
              <w:rPr>
                <w:rFonts w:ascii="Arial" w:hAnsi="Arial" w:cs="Arial"/>
                <w:i/>
              </w:rPr>
              <w:lastRenderedPageBreak/>
              <w:t>•</w:t>
            </w:r>
            <w:r w:rsidRPr="00F57008">
              <w:rPr>
                <w:rFonts w:ascii="Arial" w:hAnsi="Arial" w:cs="Arial"/>
                <w:i/>
              </w:rPr>
              <w:tab/>
            </w:r>
            <w:r w:rsidR="004A2BF4" w:rsidRPr="00F57008">
              <w:rPr>
                <w:rFonts w:ascii="Arial" w:hAnsi="Arial" w:cs="Arial"/>
                <w:i/>
              </w:rPr>
              <w:t>EBITDA (Earnings Before Interest Taxation, Depreciation and Amortisation) provides us with a proxy for the cash we generate from our internal operations. Our target range for this metric is 7-9% of total income</w:t>
            </w:r>
            <w:r w:rsidR="00F57008">
              <w:rPr>
                <w:rFonts w:ascii="Arial" w:hAnsi="Arial" w:cs="Arial"/>
                <w:i/>
              </w:rPr>
              <w:t>, unless Court approves a specific alternative.</w:t>
            </w:r>
          </w:p>
          <w:p w14:paraId="006D7DB7" w14:textId="77777777" w:rsidR="005E35C0" w:rsidRPr="005E35C0" w:rsidRDefault="005E35C0" w:rsidP="00E837FF">
            <w:pPr>
              <w:ind w:left="882" w:hanging="142"/>
              <w:rPr>
                <w:rFonts w:ascii="Arial" w:hAnsi="Arial" w:cs="Arial"/>
                <w:i/>
              </w:rPr>
            </w:pPr>
            <w:r w:rsidRPr="00F57008">
              <w:rPr>
                <w:rFonts w:ascii="Arial" w:hAnsi="Arial" w:cs="Arial"/>
                <w:i/>
              </w:rPr>
              <w:t>•</w:t>
            </w:r>
            <w:r w:rsidRPr="00F57008">
              <w:rPr>
                <w:rFonts w:ascii="Arial" w:hAnsi="Arial" w:cs="Arial"/>
                <w:i/>
              </w:rPr>
              <w:tab/>
              <w:t>We will operate with a Staff Cost / Total Expenditure ratio of less than 60%</w:t>
            </w:r>
          </w:p>
          <w:p w14:paraId="037C933A" w14:textId="77777777" w:rsidR="005E35C0" w:rsidRPr="005E35C0" w:rsidRDefault="005E35C0" w:rsidP="005E35C0">
            <w:pPr>
              <w:ind w:left="175"/>
              <w:rPr>
                <w:rFonts w:ascii="Arial" w:hAnsi="Arial" w:cs="Arial"/>
                <w:i/>
              </w:rPr>
            </w:pPr>
            <w:r w:rsidRPr="005E35C0">
              <w:rPr>
                <w:rFonts w:ascii="Arial" w:hAnsi="Arial" w:cs="Arial"/>
                <w:i/>
              </w:rPr>
              <w:t xml:space="preserve"> </w:t>
            </w:r>
          </w:p>
          <w:p w14:paraId="5D28BEF5" w14:textId="77777777" w:rsidR="00F67107" w:rsidRPr="00FB3C96" w:rsidRDefault="00F67107" w:rsidP="00793EB3">
            <w:pPr>
              <w:ind w:left="175"/>
              <w:rPr>
                <w:rFonts w:ascii="Arial" w:hAnsi="Arial" w:cs="Arial"/>
                <w:i/>
              </w:rPr>
            </w:pPr>
            <w:r w:rsidRPr="00FB3C96">
              <w:rPr>
                <w:rFonts w:ascii="Arial" w:hAnsi="Arial" w:cs="Arial"/>
                <w:i/>
              </w:rPr>
              <w:t>The above statements take priority over the statements of areas of risk appetite below</w:t>
            </w:r>
          </w:p>
          <w:p w14:paraId="7F32ACC0" w14:textId="77777777" w:rsidR="00F67107" w:rsidRPr="00FB3C96" w:rsidRDefault="00F67107" w:rsidP="00793EB3">
            <w:pPr>
              <w:ind w:left="175"/>
              <w:rPr>
                <w:rFonts w:ascii="Arial" w:hAnsi="Arial" w:cs="Arial"/>
                <w:i/>
              </w:rPr>
            </w:pPr>
          </w:p>
          <w:p w14:paraId="561A4A58" w14:textId="77777777" w:rsidR="00F67107" w:rsidRPr="00392A2D" w:rsidRDefault="00F67107" w:rsidP="00793EB3">
            <w:pPr>
              <w:ind w:left="175"/>
              <w:rPr>
                <w:rFonts w:ascii="Arial" w:hAnsi="Arial" w:cs="Arial"/>
                <w:color w:val="FF0000"/>
              </w:rPr>
            </w:pPr>
            <w:r w:rsidRPr="00420AFD">
              <w:rPr>
                <w:rStyle w:val="Heading3Char"/>
              </w:rPr>
              <w:t>Research</w:t>
            </w:r>
            <w:r w:rsidRPr="00FB3C96">
              <w:rPr>
                <w:rFonts w:ascii="Arial" w:hAnsi="Arial" w:cs="Arial"/>
              </w:rPr>
              <w:t xml:space="preserve"> – The University wishes to be at the leading edge in the creation of knowledge and making a difference to society. It wishes to grow its research activities, and improve its performance in each REF assessment compared to the previous assessment. It recognises that that this will involve an increased degree of risk in developing research activities, and is comfortable in accepting this risk subject to a) limitations imposed by ethical considerations, and b) ensuring that potential benefits and risks are fully understood before developments are authorised and that sensible measures to mitigate risk are established. </w:t>
            </w:r>
          </w:p>
          <w:p w14:paraId="49A2F0E7" w14:textId="77777777" w:rsidR="00F67107" w:rsidRPr="00FB3C96" w:rsidRDefault="00F67107" w:rsidP="00793EB3">
            <w:pPr>
              <w:ind w:left="175"/>
              <w:rPr>
                <w:rFonts w:ascii="Arial" w:hAnsi="Arial" w:cs="Arial"/>
              </w:rPr>
            </w:pPr>
          </w:p>
          <w:p w14:paraId="0B00AD15" w14:textId="77777777" w:rsidR="00F67107" w:rsidRDefault="00F67107" w:rsidP="00793EB3">
            <w:pPr>
              <w:ind w:left="175"/>
              <w:rPr>
                <w:rFonts w:ascii="Arial" w:hAnsi="Arial" w:cs="Arial"/>
              </w:rPr>
            </w:pPr>
            <w:r w:rsidRPr="00420AFD">
              <w:rPr>
                <w:rStyle w:val="Heading3Char"/>
              </w:rPr>
              <w:t>Education and Student Experience</w:t>
            </w:r>
            <w:r w:rsidRPr="00FB3C96">
              <w:rPr>
                <w:rFonts w:ascii="Arial" w:hAnsi="Arial" w:cs="Arial"/>
              </w:rPr>
              <w:t xml:space="preserve"> – The University wishes to stimulate students to develop a lifelong thirst for knowledge and learning, and encourage a pioneering innovative and independent attitude and an aspiration to achieve success. It expects as a minimum to be in the top quartile of surveys related to student experience. It recognises that this should involve an increased degree of risk in developing education and the student experience, and is comfortable in accepting this risk subject always to ensuring that potential benefits and risks are fully understood before developments are authorised and that sensible measures to mitigate risk are established. </w:t>
            </w:r>
          </w:p>
          <w:p w14:paraId="33FCA5F8" w14:textId="77777777" w:rsidR="00F763A8" w:rsidRPr="00FB3C96" w:rsidRDefault="00F763A8" w:rsidP="00793EB3">
            <w:pPr>
              <w:ind w:left="175"/>
              <w:rPr>
                <w:rFonts w:ascii="Arial" w:hAnsi="Arial" w:cs="Arial"/>
              </w:rPr>
            </w:pPr>
          </w:p>
          <w:p w14:paraId="7E77DC6E" w14:textId="77777777" w:rsidR="00F67107" w:rsidRPr="00FB3C96" w:rsidRDefault="00F67107" w:rsidP="00793EB3">
            <w:pPr>
              <w:ind w:left="175"/>
              <w:rPr>
                <w:rFonts w:ascii="Arial" w:hAnsi="Arial" w:cs="Arial"/>
              </w:rPr>
            </w:pPr>
            <w:r w:rsidRPr="00420AFD">
              <w:rPr>
                <w:rStyle w:val="Heading3Char"/>
              </w:rPr>
              <w:t>Knowledge Exchange</w:t>
            </w:r>
            <w:r w:rsidRPr="00FB3C96">
              <w:rPr>
                <w:rFonts w:ascii="Arial" w:hAnsi="Arial" w:cs="Arial"/>
              </w:rPr>
              <w:t xml:space="preserve"> –The University wishes to be amongst the leaders in transforming knowledge, ideas, skills, and expertise into advice, innovation, intellectual property, and enterprise, thereby enriching society.  It recognises that developing this may involve an increased degree of risk, and is comfortable in accepting this risk subject always to ensuring that potential benefits and risks are fully understood before developments are authorised and that sensible measures to mitigate risk are established.</w:t>
            </w:r>
          </w:p>
          <w:p w14:paraId="575050C9" w14:textId="77777777" w:rsidR="00F67107" w:rsidRPr="00FB3C96" w:rsidRDefault="00F67107" w:rsidP="00793EB3">
            <w:pPr>
              <w:ind w:left="175"/>
              <w:rPr>
                <w:rFonts w:ascii="Arial" w:hAnsi="Arial" w:cs="Arial"/>
              </w:rPr>
            </w:pPr>
          </w:p>
          <w:p w14:paraId="3F380D5B" w14:textId="77777777" w:rsidR="00F67107" w:rsidRPr="00FB3C96" w:rsidRDefault="00F67107" w:rsidP="00793EB3">
            <w:pPr>
              <w:ind w:left="175"/>
              <w:rPr>
                <w:rFonts w:ascii="Arial" w:hAnsi="Arial" w:cs="Arial"/>
              </w:rPr>
            </w:pPr>
            <w:r w:rsidRPr="00420AFD">
              <w:rPr>
                <w:rStyle w:val="Heading3Char"/>
              </w:rPr>
              <w:t>International Development</w:t>
            </w:r>
            <w:r w:rsidRPr="00FB3C96">
              <w:rPr>
                <w:rFonts w:ascii="Arial" w:hAnsi="Arial" w:cs="Arial"/>
                <w:i/>
              </w:rPr>
              <w:t xml:space="preserve"> </w:t>
            </w:r>
            <w:r w:rsidRPr="00FB3C96">
              <w:rPr>
                <w:rFonts w:ascii="Arial" w:hAnsi="Arial" w:cs="Arial"/>
              </w:rPr>
              <w:t>– the University aims to achieve global impact in its activities and to promote research and other collaborations and staff/student exchanges with leading institutions across the world. It has a strong appetite for developing such networks to the extent that they support the mission and reputation of the University, a medium appetite for investing in research facilities overseas, and a low appetite for investing in the development of student campuses outside of the UK.</w:t>
            </w:r>
          </w:p>
          <w:p w14:paraId="646529D5" w14:textId="77777777" w:rsidR="00F67107" w:rsidRPr="00FB3C96" w:rsidRDefault="00F67107" w:rsidP="00793EB3">
            <w:pPr>
              <w:ind w:left="175"/>
              <w:rPr>
                <w:rFonts w:ascii="Arial" w:hAnsi="Arial" w:cs="Arial"/>
              </w:rPr>
            </w:pPr>
          </w:p>
          <w:p w14:paraId="1802BF0D" w14:textId="77777777" w:rsidR="00F67107" w:rsidRPr="00FB3C96" w:rsidRDefault="00F67107" w:rsidP="00793EB3">
            <w:pPr>
              <w:ind w:left="175"/>
              <w:rPr>
                <w:rFonts w:ascii="Arial" w:hAnsi="Arial" w:cs="Arial"/>
              </w:rPr>
            </w:pPr>
            <w:r w:rsidRPr="00420AFD">
              <w:rPr>
                <w:rStyle w:val="Heading3Char"/>
              </w:rPr>
              <w:t>Major Change activities</w:t>
            </w:r>
            <w:r w:rsidRPr="00FB3C96">
              <w:rPr>
                <w:rFonts w:ascii="Arial" w:hAnsi="Arial" w:cs="Arial"/>
                <w:i/>
              </w:rPr>
              <w:t xml:space="preserve"> (e.g. projects, collaborations, mergers)</w:t>
            </w:r>
            <w:r w:rsidRPr="00FB3C96">
              <w:rPr>
                <w:rFonts w:ascii="Arial" w:hAnsi="Arial" w:cs="Arial"/>
              </w:rPr>
              <w:t xml:space="preserve"> – Major change activities are required periodically to develop the University, and to adapt to changes in the regulatory and technological environment and in the nature and conduct of the University’s activities. The University expects such changes to be managed according to best practice in project and change management, and has low appetite for deviating from such standards.</w:t>
            </w:r>
          </w:p>
          <w:p w14:paraId="3C681410" w14:textId="77777777" w:rsidR="00F67107" w:rsidRPr="00FB3C96" w:rsidRDefault="00F67107" w:rsidP="00793EB3">
            <w:pPr>
              <w:ind w:left="175"/>
              <w:rPr>
                <w:rFonts w:ascii="Arial" w:hAnsi="Arial" w:cs="Arial"/>
              </w:rPr>
            </w:pPr>
          </w:p>
          <w:p w14:paraId="7FD68872" w14:textId="77777777" w:rsidR="00F67107" w:rsidRPr="00FB3C96" w:rsidRDefault="00F67107" w:rsidP="00793EB3">
            <w:pPr>
              <w:ind w:left="175"/>
              <w:rPr>
                <w:rFonts w:ascii="Arial" w:hAnsi="Arial" w:cs="Arial"/>
              </w:rPr>
            </w:pPr>
            <w:r w:rsidRPr="00420AFD">
              <w:rPr>
                <w:rStyle w:val="Heading3Char"/>
              </w:rPr>
              <w:t>Environment and Social Responsibility</w:t>
            </w:r>
            <w:r w:rsidRPr="00FB3C96">
              <w:rPr>
                <w:rFonts w:ascii="Arial" w:hAnsi="Arial" w:cs="Arial"/>
              </w:rPr>
              <w:t xml:space="preserve"> – The University aims to make a significant, sustainable, and socially responsible contribution to Scotland, the UK and the world through its research, education, knowledge exchange and operational activities. It recognises that this should involve an increased degree of risk and is comfortable in accepting this risk subject always to ensuring that potential benefits and risks are fully understood before developments are authorised and that sensible measures to mitigate risk are established.</w:t>
            </w:r>
          </w:p>
          <w:p w14:paraId="643D6710" w14:textId="77777777" w:rsidR="00F67107" w:rsidRPr="00FB3C96" w:rsidRDefault="00F67107" w:rsidP="00793EB3">
            <w:pPr>
              <w:ind w:left="175"/>
              <w:rPr>
                <w:rFonts w:ascii="Arial" w:hAnsi="Arial" w:cs="Arial"/>
              </w:rPr>
            </w:pPr>
          </w:p>
          <w:p w14:paraId="22A7AF26" w14:textId="77777777" w:rsidR="00F67107" w:rsidRDefault="00F67107" w:rsidP="00793EB3">
            <w:pPr>
              <w:ind w:left="175"/>
              <w:rPr>
                <w:rFonts w:ascii="Arial" w:hAnsi="Arial" w:cs="Arial"/>
              </w:rPr>
            </w:pPr>
            <w:r w:rsidRPr="00420AFD">
              <w:rPr>
                <w:rStyle w:val="Heading3Char"/>
              </w:rPr>
              <w:t>People and culture</w:t>
            </w:r>
            <w:r w:rsidRPr="00FB3C96">
              <w:rPr>
                <w:rFonts w:ascii="Arial" w:hAnsi="Arial" w:cs="Arial"/>
              </w:rPr>
              <w:t xml:space="preserve"> – The University aims to value, support, develop and utilise the full potential of our staff to make the University a stimulating and safe place to work. It places importance on a culture of academic freedom, equality and diversity, dignity and respect, collegiality, annual reviews, the development of staff, and the health and safety of staff, students and visitors. It has low appetite for any deviation from its standards in these areas.</w:t>
            </w:r>
            <w:r w:rsidR="00392A2D">
              <w:rPr>
                <w:rFonts w:ascii="Arial" w:hAnsi="Arial" w:cs="Arial"/>
              </w:rPr>
              <w:t xml:space="preserve"> </w:t>
            </w:r>
          </w:p>
          <w:p w14:paraId="15F71295" w14:textId="77777777" w:rsidR="00934DBA" w:rsidRPr="00FB3C96" w:rsidRDefault="00934DBA" w:rsidP="00793EB3">
            <w:pPr>
              <w:ind w:left="175"/>
              <w:rPr>
                <w:rFonts w:ascii="Arial" w:hAnsi="Arial" w:cs="Arial"/>
              </w:rPr>
            </w:pPr>
          </w:p>
        </w:tc>
      </w:tr>
    </w:tbl>
    <w:p w14:paraId="706143FE" w14:textId="77777777" w:rsidR="00DC439B" w:rsidRDefault="0028098D" w:rsidP="00F85115">
      <w:pPr>
        <w:ind w:left="567"/>
        <w:rPr>
          <w:rFonts w:ascii="Arial" w:hAnsi="Arial" w:cs="Arial"/>
          <w:b/>
          <w:u w:val="single"/>
        </w:rPr>
      </w:pPr>
      <w:r w:rsidRPr="0028098D">
        <w:rPr>
          <w:rFonts w:ascii="Arial" w:hAnsi="Arial" w:cs="Arial"/>
          <w:b/>
          <w:u w:val="single"/>
        </w:rPr>
        <w:lastRenderedPageBreak/>
        <w:t>Information and References</w:t>
      </w:r>
    </w:p>
    <w:p w14:paraId="5E7A6BD2" w14:textId="77777777" w:rsidR="00FE3080" w:rsidRPr="00FE3080" w:rsidRDefault="00FE3080" w:rsidP="00F85115">
      <w:pPr>
        <w:ind w:left="567"/>
        <w:rPr>
          <w:rFonts w:ascii="Arial" w:hAnsi="Arial" w:cs="Arial"/>
          <w:sz w:val="20"/>
          <w:szCs w:val="20"/>
          <w:u w:val="single"/>
        </w:rPr>
      </w:pPr>
      <w:r w:rsidRPr="00FE3080">
        <w:rPr>
          <w:rFonts w:ascii="Arial" w:hAnsi="Arial" w:cs="Arial"/>
          <w:sz w:val="20"/>
          <w:szCs w:val="20"/>
          <w:u w:val="single"/>
        </w:rPr>
        <w:t xml:space="preserve">University Standards, Policy and Direction </w:t>
      </w:r>
    </w:p>
    <w:p w14:paraId="19873D92" w14:textId="77777777" w:rsidR="0028098D" w:rsidRPr="00FE3080" w:rsidRDefault="0028098D" w:rsidP="00E21879">
      <w:pPr>
        <w:ind w:left="720"/>
        <w:rPr>
          <w:rFonts w:ascii="Arial" w:hAnsi="Arial" w:cs="Arial"/>
          <w:sz w:val="20"/>
          <w:szCs w:val="20"/>
        </w:rPr>
      </w:pPr>
      <w:r w:rsidRPr="00FE3080">
        <w:rPr>
          <w:rFonts w:ascii="Arial" w:hAnsi="Arial" w:cs="Arial"/>
          <w:sz w:val="20"/>
          <w:szCs w:val="20"/>
        </w:rPr>
        <w:t>BS/ISO 31000</w:t>
      </w:r>
      <w:r w:rsidR="00FE3080" w:rsidRPr="00FE3080">
        <w:rPr>
          <w:rFonts w:ascii="Arial" w:hAnsi="Arial" w:cs="Arial"/>
          <w:sz w:val="20"/>
          <w:szCs w:val="20"/>
        </w:rPr>
        <w:t xml:space="preserve">:2018 Risk management – Guidance Standard, available to University staff </w:t>
      </w:r>
      <w:hyperlink r:id="rId9" w:history="1">
        <w:r w:rsidR="00FE3080" w:rsidRPr="00FE3080">
          <w:rPr>
            <w:rStyle w:val="Hyperlink"/>
            <w:rFonts w:ascii="Arial" w:hAnsi="Arial" w:cs="Arial"/>
            <w:sz w:val="20"/>
            <w:szCs w:val="20"/>
          </w:rPr>
          <w:t>here</w:t>
        </w:r>
      </w:hyperlink>
      <w:r w:rsidR="00FE3080" w:rsidRPr="00FE3080">
        <w:rPr>
          <w:rFonts w:ascii="Arial" w:hAnsi="Arial" w:cs="Arial"/>
          <w:sz w:val="20"/>
          <w:szCs w:val="20"/>
        </w:rPr>
        <w:t>.</w:t>
      </w:r>
    </w:p>
    <w:p w14:paraId="7451BB30" w14:textId="77777777" w:rsidR="00FE3080" w:rsidRPr="00A41B54" w:rsidRDefault="00A41B54" w:rsidP="00E21879">
      <w:pPr>
        <w:ind w:left="720"/>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"https://www.ed.ac.uk/unpublished/corporate-services/risk-management/risk-management-information" </w:instrText>
      </w:r>
      <w:r>
        <w:rPr>
          <w:rFonts w:ascii="Arial" w:hAnsi="Arial" w:cs="Arial"/>
          <w:sz w:val="20"/>
          <w:szCs w:val="20"/>
        </w:rPr>
        <w:fldChar w:fldCharType="separate"/>
      </w:r>
      <w:r w:rsidR="00FE3080" w:rsidRPr="00A41B54">
        <w:rPr>
          <w:rStyle w:val="Hyperlink"/>
          <w:rFonts w:ascii="Arial" w:hAnsi="Arial" w:cs="Arial"/>
          <w:sz w:val="20"/>
          <w:szCs w:val="20"/>
        </w:rPr>
        <w:t>University of Edinburgh Risk Management Guidance Manual.</w:t>
      </w:r>
    </w:p>
    <w:p w14:paraId="7E8726A1" w14:textId="77777777" w:rsidR="00FE3080" w:rsidRPr="00FE3080" w:rsidRDefault="00FE3080" w:rsidP="00E21879">
      <w:pPr>
        <w:ind w:left="720"/>
        <w:rPr>
          <w:rFonts w:ascii="Arial" w:hAnsi="Arial" w:cs="Arial"/>
          <w:sz w:val="20"/>
          <w:szCs w:val="20"/>
        </w:rPr>
      </w:pPr>
      <w:r w:rsidRPr="00A41B54">
        <w:rPr>
          <w:rStyle w:val="Hyperlink"/>
          <w:rFonts w:ascii="Arial" w:hAnsi="Arial" w:cs="Arial"/>
          <w:sz w:val="20"/>
          <w:szCs w:val="20"/>
        </w:rPr>
        <w:t>University of Edinburgh standard Risk Register Template</w:t>
      </w:r>
      <w:r w:rsidR="00A41B54">
        <w:rPr>
          <w:rFonts w:ascii="Arial" w:hAnsi="Arial" w:cs="Arial"/>
          <w:sz w:val="20"/>
          <w:szCs w:val="20"/>
        </w:rPr>
        <w:fldChar w:fldCharType="end"/>
      </w:r>
    </w:p>
    <w:p w14:paraId="21E1FAFB" w14:textId="77777777" w:rsidR="00FE3080" w:rsidRPr="00FE3080" w:rsidRDefault="00C94108" w:rsidP="00E21879">
      <w:pPr>
        <w:ind w:left="720"/>
        <w:rPr>
          <w:rFonts w:ascii="Arial" w:hAnsi="Arial" w:cs="Arial"/>
          <w:sz w:val="20"/>
          <w:szCs w:val="20"/>
        </w:rPr>
      </w:pPr>
      <w:hyperlink r:id="rId10" w:history="1">
        <w:r w:rsidR="00FE3080" w:rsidRPr="00A41B54">
          <w:rPr>
            <w:rStyle w:val="Hyperlink"/>
            <w:rFonts w:ascii="Arial" w:hAnsi="Arial" w:cs="Arial"/>
            <w:sz w:val="20"/>
            <w:szCs w:val="20"/>
          </w:rPr>
          <w:t>Risk Management tools and resources</w:t>
        </w:r>
      </w:hyperlink>
      <w:r w:rsidR="00FE3080" w:rsidRPr="00FE3080">
        <w:rPr>
          <w:rFonts w:ascii="Arial" w:hAnsi="Arial" w:cs="Arial"/>
          <w:sz w:val="20"/>
          <w:szCs w:val="20"/>
        </w:rPr>
        <w:t xml:space="preserve"> </w:t>
      </w:r>
    </w:p>
    <w:p w14:paraId="756638D6" w14:textId="77777777" w:rsidR="00FE3080" w:rsidRPr="00FE3080" w:rsidRDefault="00FE3080" w:rsidP="00F85115">
      <w:pPr>
        <w:ind w:left="567"/>
        <w:rPr>
          <w:rFonts w:ascii="Arial" w:hAnsi="Arial" w:cs="Arial"/>
          <w:sz w:val="20"/>
          <w:szCs w:val="20"/>
          <w:u w:val="single"/>
        </w:rPr>
      </w:pPr>
      <w:r w:rsidRPr="00FE3080">
        <w:rPr>
          <w:rFonts w:ascii="Arial" w:hAnsi="Arial" w:cs="Arial"/>
          <w:sz w:val="20"/>
          <w:szCs w:val="20"/>
          <w:u w:val="single"/>
        </w:rPr>
        <w:t>Related Policies</w:t>
      </w:r>
    </w:p>
    <w:p w14:paraId="6D9F58C9" w14:textId="0523FDBF" w:rsidR="00FE3080" w:rsidRPr="00FE3080" w:rsidRDefault="00C94108" w:rsidP="008B24EE">
      <w:pPr>
        <w:ind w:left="720"/>
        <w:rPr>
          <w:rFonts w:ascii="Arial" w:hAnsi="Arial" w:cs="Arial"/>
          <w:sz w:val="20"/>
          <w:szCs w:val="20"/>
        </w:rPr>
      </w:pPr>
      <w:hyperlink r:id="rId11" w:history="1">
        <w:r w:rsidR="00FE3080" w:rsidRPr="008B24EE">
          <w:rPr>
            <w:rStyle w:val="Hyperlink"/>
            <w:rFonts w:ascii="Arial" w:hAnsi="Arial" w:cs="Arial"/>
            <w:sz w:val="20"/>
            <w:szCs w:val="20"/>
          </w:rPr>
          <w:t>Business Continuity</w:t>
        </w:r>
      </w:hyperlink>
      <w:r w:rsidR="00E21879">
        <w:rPr>
          <w:rFonts w:ascii="Arial" w:hAnsi="Arial" w:cs="Arial"/>
          <w:sz w:val="20"/>
          <w:szCs w:val="20"/>
        </w:rPr>
        <w:t xml:space="preserve"> </w:t>
      </w:r>
    </w:p>
    <w:p w14:paraId="151DF85B" w14:textId="77777777" w:rsidR="00FE3080" w:rsidRPr="00FE3080" w:rsidRDefault="00FE3080" w:rsidP="00E21879">
      <w:pPr>
        <w:ind w:left="720"/>
        <w:rPr>
          <w:rFonts w:ascii="Arial" w:hAnsi="Arial" w:cs="Arial"/>
          <w:sz w:val="20"/>
          <w:szCs w:val="20"/>
        </w:rPr>
      </w:pPr>
      <w:r w:rsidRPr="00FE3080">
        <w:rPr>
          <w:rFonts w:ascii="Arial" w:hAnsi="Arial" w:cs="Arial"/>
          <w:sz w:val="20"/>
          <w:szCs w:val="20"/>
        </w:rPr>
        <w:t>Emergency Management</w:t>
      </w:r>
      <w:r w:rsidR="00E21879">
        <w:rPr>
          <w:rFonts w:ascii="Arial" w:hAnsi="Arial" w:cs="Arial"/>
          <w:sz w:val="20"/>
          <w:szCs w:val="20"/>
        </w:rPr>
        <w:t xml:space="preserve"> (TBI)</w:t>
      </w:r>
    </w:p>
    <w:p w14:paraId="39CD6CBD" w14:textId="77777777" w:rsidR="00FE3080" w:rsidRPr="00FE3080" w:rsidRDefault="00C94108" w:rsidP="00E21879">
      <w:pPr>
        <w:ind w:left="720"/>
        <w:rPr>
          <w:rFonts w:ascii="Arial" w:hAnsi="Arial" w:cs="Arial"/>
          <w:sz w:val="20"/>
          <w:szCs w:val="20"/>
        </w:rPr>
      </w:pPr>
      <w:hyperlink r:id="rId12" w:history="1">
        <w:r w:rsidR="00FE3080" w:rsidRPr="00E21879">
          <w:rPr>
            <w:rStyle w:val="Hyperlink"/>
            <w:rFonts w:ascii="Arial" w:hAnsi="Arial" w:cs="Arial"/>
            <w:sz w:val="20"/>
            <w:szCs w:val="20"/>
          </w:rPr>
          <w:t>Health and Safety</w:t>
        </w:r>
      </w:hyperlink>
      <w:r w:rsidR="00E21879">
        <w:rPr>
          <w:rFonts w:ascii="Arial" w:hAnsi="Arial" w:cs="Arial"/>
          <w:sz w:val="20"/>
          <w:szCs w:val="20"/>
        </w:rPr>
        <w:t xml:space="preserve"> </w:t>
      </w:r>
    </w:p>
    <w:p w14:paraId="18D1528C" w14:textId="77777777" w:rsidR="00FE3080" w:rsidRPr="00FE3080" w:rsidRDefault="00C94108" w:rsidP="00E21879">
      <w:pPr>
        <w:ind w:left="720"/>
        <w:rPr>
          <w:rFonts w:ascii="Arial" w:hAnsi="Arial" w:cs="Arial"/>
          <w:sz w:val="20"/>
          <w:szCs w:val="20"/>
        </w:rPr>
      </w:pPr>
      <w:hyperlink r:id="rId13" w:history="1">
        <w:r w:rsidR="00FE3080" w:rsidRPr="00E21879">
          <w:rPr>
            <w:rStyle w:val="Hyperlink"/>
            <w:rFonts w:ascii="Arial" w:hAnsi="Arial" w:cs="Arial"/>
            <w:sz w:val="20"/>
            <w:szCs w:val="20"/>
          </w:rPr>
          <w:t>Financial Administration and Controls</w:t>
        </w:r>
      </w:hyperlink>
      <w:r w:rsidR="00E21879">
        <w:rPr>
          <w:rFonts w:ascii="Arial" w:hAnsi="Arial" w:cs="Arial"/>
          <w:sz w:val="20"/>
          <w:szCs w:val="20"/>
        </w:rPr>
        <w:t xml:space="preserve"> </w:t>
      </w:r>
    </w:p>
    <w:p w14:paraId="31588E11" w14:textId="77777777" w:rsidR="00FE3080" w:rsidRPr="00FE3080" w:rsidRDefault="00C94108" w:rsidP="00E21879">
      <w:pPr>
        <w:ind w:left="720"/>
        <w:rPr>
          <w:rFonts w:ascii="Arial" w:hAnsi="Arial" w:cs="Arial"/>
          <w:sz w:val="20"/>
          <w:szCs w:val="20"/>
        </w:rPr>
      </w:pPr>
      <w:hyperlink r:id="rId14" w:history="1">
        <w:r w:rsidR="00FE3080" w:rsidRPr="00E21879">
          <w:rPr>
            <w:rStyle w:val="Hyperlink"/>
            <w:rFonts w:ascii="Arial" w:hAnsi="Arial" w:cs="Arial"/>
            <w:sz w:val="20"/>
            <w:szCs w:val="20"/>
          </w:rPr>
          <w:t>Internal Audit</w:t>
        </w:r>
      </w:hyperlink>
    </w:p>
    <w:p w14:paraId="2D4EE769" w14:textId="77777777" w:rsidR="00FE3080" w:rsidRPr="00FE3080" w:rsidRDefault="00FE3080" w:rsidP="00F85115">
      <w:pPr>
        <w:ind w:left="567"/>
        <w:rPr>
          <w:rFonts w:ascii="Arial" w:hAnsi="Arial" w:cs="Arial"/>
          <w:sz w:val="20"/>
          <w:szCs w:val="20"/>
          <w:u w:val="single"/>
        </w:rPr>
      </w:pPr>
      <w:r w:rsidRPr="00FE3080">
        <w:rPr>
          <w:rFonts w:ascii="Arial" w:hAnsi="Arial" w:cs="Arial"/>
          <w:sz w:val="20"/>
          <w:szCs w:val="20"/>
          <w:u w:val="single"/>
        </w:rPr>
        <w:t>Further Reading</w:t>
      </w:r>
    </w:p>
    <w:p w14:paraId="47107AB1" w14:textId="6BCD4A2E" w:rsidR="00FE3080" w:rsidRPr="0028098D" w:rsidRDefault="00C94108" w:rsidP="008B24EE">
      <w:pPr>
        <w:ind w:left="720"/>
        <w:rPr>
          <w:rFonts w:ascii="Arial" w:hAnsi="Arial" w:cs="Arial"/>
        </w:rPr>
      </w:pPr>
      <w:hyperlink r:id="rId15" w:history="1">
        <w:r w:rsidR="00FE3080" w:rsidRPr="008B24EE">
          <w:rPr>
            <w:rStyle w:val="Hyperlink"/>
            <w:rFonts w:ascii="Arial" w:hAnsi="Arial" w:cs="Arial"/>
            <w:sz w:val="20"/>
            <w:szCs w:val="20"/>
          </w:rPr>
          <w:t>Managing risk in Higher Education – A report from PwC Educat</w:t>
        </w:r>
        <w:r w:rsidR="008B24EE" w:rsidRPr="008B24EE">
          <w:rPr>
            <w:rStyle w:val="Hyperlink"/>
            <w:rFonts w:ascii="Arial" w:hAnsi="Arial" w:cs="Arial"/>
            <w:sz w:val="20"/>
            <w:szCs w:val="20"/>
          </w:rPr>
          <w:t>ion Risk Assurance Services</w:t>
        </w:r>
      </w:hyperlink>
    </w:p>
    <w:sectPr w:rsidR="00FE3080" w:rsidRPr="0028098D" w:rsidSect="00E837FF">
      <w:headerReference w:type="default" r:id="rId16"/>
      <w:footerReference w:type="default" r:id="rId17"/>
      <w:headerReference w:type="first" r:id="rId18"/>
      <w:pgSz w:w="11906" w:h="16838" w:code="9"/>
      <w:pgMar w:top="964" w:right="1134" w:bottom="964" w:left="1134" w:header="397" w:footer="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BEE2F" w14:textId="77777777" w:rsidR="00757FF8" w:rsidRDefault="00757FF8" w:rsidP="006F0575">
      <w:pPr>
        <w:spacing w:after="0" w:line="240" w:lineRule="auto"/>
      </w:pPr>
      <w:r>
        <w:separator/>
      </w:r>
    </w:p>
  </w:endnote>
  <w:endnote w:type="continuationSeparator" w:id="0">
    <w:p w14:paraId="41D33B97" w14:textId="77777777" w:rsidR="00757FF8" w:rsidRDefault="00757FF8" w:rsidP="006F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050499"/>
      <w:docPartObj>
        <w:docPartGallery w:val="Page Numbers (Bottom of Page)"/>
        <w:docPartUnique/>
      </w:docPartObj>
    </w:sdtPr>
    <w:sdtEndPr>
      <w:rPr>
        <w:rFonts w:ascii="Arial" w:hAnsi="Arial" w:cs="Arial"/>
        <w:noProof/>
        <w:sz w:val="24"/>
        <w:szCs w:val="24"/>
      </w:rPr>
    </w:sdtEndPr>
    <w:sdtContent>
      <w:p w14:paraId="032B2704" w14:textId="77777777" w:rsidR="00934DBA" w:rsidRDefault="00934DBA" w:rsidP="00934DBA">
        <w:pPr>
          <w:pStyle w:val="Footer"/>
        </w:pPr>
      </w:p>
      <w:p w14:paraId="2984814C" w14:textId="6FEF13DD" w:rsidR="00515D45" w:rsidRPr="00515D45" w:rsidRDefault="00515D45" w:rsidP="00515D45">
        <w:pPr>
          <w:pStyle w:val="Footer"/>
          <w:jc w:val="center"/>
          <w:rPr>
            <w:rFonts w:ascii="Arial" w:hAnsi="Arial" w:cs="Arial"/>
            <w:sz w:val="24"/>
            <w:szCs w:val="24"/>
          </w:rPr>
        </w:pPr>
        <w:r w:rsidRPr="00515D45">
          <w:rPr>
            <w:rFonts w:ascii="Arial" w:hAnsi="Arial" w:cs="Arial"/>
            <w:sz w:val="24"/>
            <w:szCs w:val="24"/>
          </w:rPr>
          <w:fldChar w:fldCharType="begin"/>
        </w:r>
        <w:r w:rsidRPr="00515D45">
          <w:rPr>
            <w:rFonts w:ascii="Arial" w:hAnsi="Arial" w:cs="Arial"/>
            <w:sz w:val="24"/>
            <w:szCs w:val="24"/>
          </w:rPr>
          <w:instrText xml:space="preserve"> PAGE   \* MERGEFORMAT </w:instrText>
        </w:r>
        <w:r w:rsidRPr="00515D45">
          <w:rPr>
            <w:rFonts w:ascii="Arial" w:hAnsi="Arial" w:cs="Arial"/>
            <w:sz w:val="24"/>
            <w:szCs w:val="24"/>
          </w:rPr>
          <w:fldChar w:fldCharType="separate"/>
        </w:r>
        <w:r w:rsidR="00C94108">
          <w:rPr>
            <w:rFonts w:ascii="Arial" w:hAnsi="Arial" w:cs="Arial"/>
            <w:noProof/>
            <w:sz w:val="24"/>
            <w:szCs w:val="24"/>
          </w:rPr>
          <w:t>6</w:t>
        </w:r>
        <w:r w:rsidRPr="00515D45">
          <w:rPr>
            <w:rFonts w:ascii="Arial" w:hAnsi="Arial" w:cs="Arial"/>
            <w:noProof/>
            <w:sz w:val="24"/>
            <w:szCs w:val="24"/>
          </w:rPr>
          <w:fldChar w:fldCharType="end"/>
        </w:r>
      </w:p>
    </w:sdtContent>
  </w:sdt>
  <w:p w14:paraId="5B6106F8" w14:textId="77777777" w:rsidR="00B25A2E" w:rsidRDefault="00B2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B756" w14:textId="77777777" w:rsidR="00757FF8" w:rsidRDefault="00757FF8" w:rsidP="006F0575">
      <w:pPr>
        <w:spacing w:after="0" w:line="240" w:lineRule="auto"/>
      </w:pPr>
      <w:r>
        <w:separator/>
      </w:r>
    </w:p>
  </w:footnote>
  <w:footnote w:type="continuationSeparator" w:id="0">
    <w:p w14:paraId="5BEFAC87" w14:textId="77777777" w:rsidR="00757FF8" w:rsidRDefault="00757FF8" w:rsidP="006F0575">
      <w:pPr>
        <w:spacing w:after="0" w:line="240" w:lineRule="auto"/>
      </w:pPr>
      <w:r>
        <w:continuationSeparator/>
      </w:r>
    </w:p>
  </w:footnote>
  <w:footnote w:id="1">
    <w:p w14:paraId="5287A540" w14:textId="77777777" w:rsidR="00F67107" w:rsidRPr="00F93391" w:rsidRDefault="00F67107" w:rsidP="00F67107">
      <w:pPr>
        <w:pStyle w:val="FootnoteText"/>
        <w:rPr>
          <w:rFonts w:ascii="Arial" w:hAnsi="Arial" w:cs="Arial"/>
        </w:rPr>
      </w:pPr>
      <w:r w:rsidRPr="00F93391">
        <w:rPr>
          <w:rStyle w:val="FootnoteReference"/>
          <w:rFonts w:ascii="Arial" w:eastAsiaTheme="majorEastAsia" w:hAnsi="Arial" w:cs="Arial"/>
        </w:rPr>
        <w:footnoteRef/>
      </w:r>
      <w:r w:rsidRPr="00F93391">
        <w:rPr>
          <w:rFonts w:ascii="Arial" w:hAnsi="Arial" w:cs="Arial"/>
        </w:rPr>
        <w:t xml:space="preserve"> These have been developed in conjunction with the Director of Finance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D7DD" w14:textId="77777777" w:rsidR="00B51493" w:rsidRDefault="00B51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24E4" w14:textId="77777777" w:rsidR="006F0575" w:rsidRPr="006F0575" w:rsidRDefault="00B302FE" w:rsidP="001426D8">
    <w:pPr>
      <w:pStyle w:val="Header"/>
    </w:pPr>
    <w:r>
      <w:rPr>
        <w:noProof/>
        <w:lang w:eastAsia="zh-CN"/>
      </w:rPr>
      <w:drawing>
        <wp:inline distT="0" distB="0" distL="0" distR="0" wp14:anchorId="5DDE3813" wp14:editId="311A2199">
          <wp:extent cx="4038600" cy="646480"/>
          <wp:effectExtent l="0" t="0" r="0" b="1270"/>
          <wp:docPr id="5" name="Picture 5" descr="https://www.wiki.ed.ac.uk/download/attachments/87891303/1Line2ColCMYK_CS3.gif?ver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ed.ac.uk/download/attachments/87891303/1Line2ColCMYK_CS3.gif?vers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646480"/>
                  </a:xfrm>
                  <a:prstGeom prst="rect">
                    <a:avLst/>
                  </a:prstGeom>
                  <a:noFill/>
                  <a:ln>
                    <a:noFill/>
                  </a:ln>
                </pic:spPr>
              </pic:pic>
            </a:graphicData>
          </a:graphic>
        </wp:inline>
      </w:drawing>
    </w:r>
    <w:r w:rsidR="0053206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FD6"/>
    <w:multiLevelType w:val="hybridMultilevel"/>
    <w:tmpl w:val="5CB62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66490"/>
    <w:multiLevelType w:val="hybridMultilevel"/>
    <w:tmpl w:val="67FE1ABA"/>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41F5144"/>
    <w:multiLevelType w:val="hybridMultilevel"/>
    <w:tmpl w:val="C262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00098"/>
    <w:multiLevelType w:val="hybridMultilevel"/>
    <w:tmpl w:val="D466F784"/>
    <w:lvl w:ilvl="0" w:tplc="AC9420E4">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7173"/>
    <w:multiLevelType w:val="hybridMultilevel"/>
    <w:tmpl w:val="9D1476BE"/>
    <w:lvl w:ilvl="0" w:tplc="8556C79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2DB68D8"/>
    <w:multiLevelType w:val="hybridMultilevel"/>
    <w:tmpl w:val="AD7E3232"/>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8F737FD"/>
    <w:multiLevelType w:val="hybridMultilevel"/>
    <w:tmpl w:val="33F4788C"/>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29BD767A"/>
    <w:multiLevelType w:val="hybridMultilevel"/>
    <w:tmpl w:val="A664B828"/>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C0911C1"/>
    <w:multiLevelType w:val="hybridMultilevel"/>
    <w:tmpl w:val="965A71DA"/>
    <w:lvl w:ilvl="0" w:tplc="143CA97C">
      <w:start w:val="1"/>
      <w:numFmt w:val="lowerLetter"/>
      <w:lvlText w:val="%1."/>
      <w:lvlJc w:val="left"/>
      <w:pPr>
        <w:ind w:left="927" w:hanging="360"/>
      </w:pPr>
      <w:rPr>
        <w:rFonts w:ascii="Arial" w:eastAsiaTheme="minorHAnsi" w:hAnsi="Arial" w:cs="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D555047"/>
    <w:multiLevelType w:val="hybridMultilevel"/>
    <w:tmpl w:val="67FCB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05AB3"/>
    <w:multiLevelType w:val="hybridMultilevel"/>
    <w:tmpl w:val="286C2676"/>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FC22F4C"/>
    <w:multiLevelType w:val="hybridMultilevel"/>
    <w:tmpl w:val="835AB62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0E12FD0"/>
    <w:multiLevelType w:val="hybridMultilevel"/>
    <w:tmpl w:val="077C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964FC"/>
    <w:multiLevelType w:val="hybridMultilevel"/>
    <w:tmpl w:val="7A0A2FE8"/>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B9D0230"/>
    <w:multiLevelType w:val="multilevel"/>
    <w:tmpl w:val="2E4A20EE"/>
    <w:styleLink w:val="Style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1070"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4C191E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F265ED"/>
    <w:multiLevelType w:val="hybridMultilevel"/>
    <w:tmpl w:val="7BF4ADEA"/>
    <w:lvl w:ilvl="0" w:tplc="2BF0E778">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D0774"/>
    <w:multiLevelType w:val="hybridMultilevel"/>
    <w:tmpl w:val="702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6763F"/>
    <w:multiLevelType w:val="hybridMultilevel"/>
    <w:tmpl w:val="15A83188"/>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61F2579"/>
    <w:multiLevelType w:val="hybridMultilevel"/>
    <w:tmpl w:val="39B089EE"/>
    <w:lvl w:ilvl="0" w:tplc="1EE0E5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7337795"/>
    <w:multiLevelType w:val="hybridMultilevel"/>
    <w:tmpl w:val="9BA0EFEA"/>
    <w:lvl w:ilvl="0" w:tplc="C456B99E">
      <w:start w:val="15"/>
      <w:numFmt w:val="bullet"/>
      <w:lvlText w:val=""/>
      <w:lvlJc w:val="left"/>
      <w:pPr>
        <w:ind w:left="720" w:hanging="360"/>
      </w:pPr>
      <w:rPr>
        <w:rFonts w:ascii="Symbol" w:eastAsiaTheme="minorHAnsi" w:hAnsi="Symbo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009FF"/>
    <w:multiLevelType w:val="hybridMultilevel"/>
    <w:tmpl w:val="437C619E"/>
    <w:lvl w:ilvl="0" w:tplc="AC9420E4">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466D5"/>
    <w:multiLevelType w:val="hybridMultilevel"/>
    <w:tmpl w:val="5B22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E60A3"/>
    <w:multiLevelType w:val="hybridMultilevel"/>
    <w:tmpl w:val="497A272A"/>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5AB0FE3"/>
    <w:multiLevelType w:val="multilevel"/>
    <w:tmpl w:val="2E4A20EE"/>
    <w:numStyleLink w:val="Style1"/>
  </w:abstractNum>
  <w:abstractNum w:abstractNumId="25" w15:restartNumberingAfterBreak="0">
    <w:nsid w:val="67F322B2"/>
    <w:multiLevelType w:val="hybridMultilevel"/>
    <w:tmpl w:val="DE1C67C2"/>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7D7504"/>
    <w:multiLevelType w:val="hybridMultilevel"/>
    <w:tmpl w:val="9E62965E"/>
    <w:lvl w:ilvl="0" w:tplc="27CC1F4A">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FD76D13"/>
    <w:multiLevelType w:val="hybridMultilevel"/>
    <w:tmpl w:val="7CB4AB8A"/>
    <w:lvl w:ilvl="0" w:tplc="D4569E7C">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28C4414"/>
    <w:multiLevelType w:val="hybridMultilevel"/>
    <w:tmpl w:val="D200D4C2"/>
    <w:lvl w:ilvl="0" w:tplc="D8C491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4E53B8F"/>
    <w:multiLevelType w:val="hybridMultilevel"/>
    <w:tmpl w:val="B7B08F36"/>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E4323CF"/>
    <w:multiLevelType w:val="hybridMultilevel"/>
    <w:tmpl w:val="7EEC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1B05FC"/>
    <w:multiLevelType w:val="hybridMultilevel"/>
    <w:tmpl w:val="6786F1A8"/>
    <w:lvl w:ilvl="0" w:tplc="92E85F3E">
      <w:start w:val="1"/>
      <w:numFmt w:val="lowerLetter"/>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0"/>
  </w:num>
  <w:num w:numId="2">
    <w:abstractNumId w:val="16"/>
  </w:num>
  <w:num w:numId="3">
    <w:abstractNumId w:val="20"/>
  </w:num>
  <w:num w:numId="4">
    <w:abstractNumId w:val="19"/>
  </w:num>
  <w:num w:numId="5">
    <w:abstractNumId w:val="3"/>
  </w:num>
  <w:num w:numId="6">
    <w:abstractNumId w:val="22"/>
  </w:num>
  <w:num w:numId="7">
    <w:abstractNumId w:val="0"/>
  </w:num>
  <w:num w:numId="8">
    <w:abstractNumId w:val="17"/>
  </w:num>
  <w:num w:numId="9">
    <w:abstractNumId w:val="12"/>
  </w:num>
  <w:num w:numId="10">
    <w:abstractNumId w:val="21"/>
  </w:num>
  <w:num w:numId="11">
    <w:abstractNumId w:val="9"/>
  </w:num>
  <w:num w:numId="12">
    <w:abstractNumId w:val="28"/>
  </w:num>
  <w:num w:numId="13">
    <w:abstractNumId w:val="15"/>
  </w:num>
  <w:num w:numId="14">
    <w:abstractNumId w:val="23"/>
  </w:num>
  <w:num w:numId="15">
    <w:abstractNumId w:val="25"/>
  </w:num>
  <w:num w:numId="16">
    <w:abstractNumId w:val="29"/>
  </w:num>
  <w:num w:numId="17">
    <w:abstractNumId w:val="10"/>
  </w:num>
  <w:num w:numId="18">
    <w:abstractNumId w:val="18"/>
  </w:num>
  <w:num w:numId="19">
    <w:abstractNumId w:val="13"/>
  </w:num>
  <w:num w:numId="20">
    <w:abstractNumId w:val="7"/>
  </w:num>
  <w:num w:numId="21">
    <w:abstractNumId w:val="31"/>
  </w:num>
  <w:num w:numId="22">
    <w:abstractNumId w:val="8"/>
  </w:num>
  <w:num w:numId="23">
    <w:abstractNumId w:val="27"/>
  </w:num>
  <w:num w:numId="24">
    <w:abstractNumId w:val="5"/>
  </w:num>
  <w:num w:numId="25">
    <w:abstractNumId w:val="1"/>
  </w:num>
  <w:num w:numId="26">
    <w:abstractNumId w:val="26"/>
  </w:num>
  <w:num w:numId="27">
    <w:abstractNumId w:val="4"/>
  </w:num>
  <w:num w:numId="28">
    <w:abstractNumId w:val="24"/>
  </w:num>
  <w:num w:numId="29">
    <w:abstractNumId w:val="14"/>
  </w:num>
  <w:num w:numId="30">
    <w:abstractNumId w:val="11"/>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75"/>
    <w:rsid w:val="0000680D"/>
    <w:rsid w:val="00020654"/>
    <w:rsid w:val="00026931"/>
    <w:rsid w:val="0003000F"/>
    <w:rsid w:val="000309E0"/>
    <w:rsid w:val="00031957"/>
    <w:rsid w:val="00042790"/>
    <w:rsid w:val="00042FA7"/>
    <w:rsid w:val="00061E58"/>
    <w:rsid w:val="00071D2B"/>
    <w:rsid w:val="000869C1"/>
    <w:rsid w:val="000A2119"/>
    <w:rsid w:val="000B0DBA"/>
    <w:rsid w:val="000B5CF3"/>
    <w:rsid w:val="000C7FA6"/>
    <w:rsid w:val="000E3F5B"/>
    <w:rsid w:val="000F4A87"/>
    <w:rsid w:val="00123855"/>
    <w:rsid w:val="001313CF"/>
    <w:rsid w:val="001426D8"/>
    <w:rsid w:val="0016491C"/>
    <w:rsid w:val="00177F36"/>
    <w:rsid w:val="001974BF"/>
    <w:rsid w:val="001B3D3E"/>
    <w:rsid w:val="001B6B9C"/>
    <w:rsid w:val="001C3575"/>
    <w:rsid w:val="001C67CA"/>
    <w:rsid w:val="001D26EC"/>
    <w:rsid w:val="001D6D89"/>
    <w:rsid w:val="001E562A"/>
    <w:rsid w:val="00201863"/>
    <w:rsid w:val="002045A4"/>
    <w:rsid w:val="002201D3"/>
    <w:rsid w:val="00232FF9"/>
    <w:rsid w:val="00265BEB"/>
    <w:rsid w:val="00265D62"/>
    <w:rsid w:val="00271763"/>
    <w:rsid w:val="0027584D"/>
    <w:rsid w:val="00277196"/>
    <w:rsid w:val="0028098D"/>
    <w:rsid w:val="00292C55"/>
    <w:rsid w:val="002B7E6A"/>
    <w:rsid w:val="002C0E8B"/>
    <w:rsid w:val="002D4598"/>
    <w:rsid w:val="002D5444"/>
    <w:rsid w:val="002F0227"/>
    <w:rsid w:val="0030137D"/>
    <w:rsid w:val="003018C1"/>
    <w:rsid w:val="00301DC9"/>
    <w:rsid w:val="003024EB"/>
    <w:rsid w:val="00320794"/>
    <w:rsid w:val="00327FEB"/>
    <w:rsid w:val="00353288"/>
    <w:rsid w:val="00356C73"/>
    <w:rsid w:val="00362D63"/>
    <w:rsid w:val="00392A2D"/>
    <w:rsid w:val="0039380D"/>
    <w:rsid w:val="003F0E54"/>
    <w:rsid w:val="0040774E"/>
    <w:rsid w:val="0041038A"/>
    <w:rsid w:val="004136BB"/>
    <w:rsid w:val="00420AFD"/>
    <w:rsid w:val="00452C3B"/>
    <w:rsid w:val="00471E09"/>
    <w:rsid w:val="00480891"/>
    <w:rsid w:val="004A2BF4"/>
    <w:rsid w:val="004B1E95"/>
    <w:rsid w:val="004B4C0A"/>
    <w:rsid w:val="004B6FE3"/>
    <w:rsid w:val="004C0447"/>
    <w:rsid w:val="004C4342"/>
    <w:rsid w:val="004D6EBB"/>
    <w:rsid w:val="004D7F03"/>
    <w:rsid w:val="004E3D00"/>
    <w:rsid w:val="005006DF"/>
    <w:rsid w:val="0050309D"/>
    <w:rsid w:val="00515D45"/>
    <w:rsid w:val="00525631"/>
    <w:rsid w:val="00532069"/>
    <w:rsid w:val="00536F51"/>
    <w:rsid w:val="00550C39"/>
    <w:rsid w:val="00556699"/>
    <w:rsid w:val="00560A5F"/>
    <w:rsid w:val="005638CA"/>
    <w:rsid w:val="00575C8F"/>
    <w:rsid w:val="00577A44"/>
    <w:rsid w:val="005A6E3D"/>
    <w:rsid w:val="005B794E"/>
    <w:rsid w:val="005E35C0"/>
    <w:rsid w:val="005F51FF"/>
    <w:rsid w:val="005F6960"/>
    <w:rsid w:val="00633EEA"/>
    <w:rsid w:val="00661941"/>
    <w:rsid w:val="00667E11"/>
    <w:rsid w:val="00680898"/>
    <w:rsid w:val="00681B6F"/>
    <w:rsid w:val="006C25EB"/>
    <w:rsid w:val="006E7300"/>
    <w:rsid w:val="006F0575"/>
    <w:rsid w:val="006F3EF8"/>
    <w:rsid w:val="006F5087"/>
    <w:rsid w:val="0070540B"/>
    <w:rsid w:val="00707013"/>
    <w:rsid w:val="00724614"/>
    <w:rsid w:val="00724788"/>
    <w:rsid w:val="007364B4"/>
    <w:rsid w:val="007578B9"/>
    <w:rsid w:val="00757FF8"/>
    <w:rsid w:val="00761F88"/>
    <w:rsid w:val="00762CCF"/>
    <w:rsid w:val="00764ADD"/>
    <w:rsid w:val="00777C56"/>
    <w:rsid w:val="007833D2"/>
    <w:rsid w:val="00787339"/>
    <w:rsid w:val="007A23CD"/>
    <w:rsid w:val="007A2521"/>
    <w:rsid w:val="007D5A48"/>
    <w:rsid w:val="00801ECA"/>
    <w:rsid w:val="00806DF0"/>
    <w:rsid w:val="00813749"/>
    <w:rsid w:val="008171D0"/>
    <w:rsid w:val="008247CD"/>
    <w:rsid w:val="00830BDE"/>
    <w:rsid w:val="00830EC1"/>
    <w:rsid w:val="00842376"/>
    <w:rsid w:val="0088267F"/>
    <w:rsid w:val="00894484"/>
    <w:rsid w:val="008954B6"/>
    <w:rsid w:val="008B24EE"/>
    <w:rsid w:val="008D5390"/>
    <w:rsid w:val="008D7471"/>
    <w:rsid w:val="008F2D24"/>
    <w:rsid w:val="00902058"/>
    <w:rsid w:val="0091478C"/>
    <w:rsid w:val="00917FD4"/>
    <w:rsid w:val="009230B9"/>
    <w:rsid w:val="00934DBA"/>
    <w:rsid w:val="0093731C"/>
    <w:rsid w:val="00951B24"/>
    <w:rsid w:val="00964484"/>
    <w:rsid w:val="0097508F"/>
    <w:rsid w:val="00992296"/>
    <w:rsid w:val="009A37AD"/>
    <w:rsid w:val="009C0039"/>
    <w:rsid w:val="009C52D3"/>
    <w:rsid w:val="009D5831"/>
    <w:rsid w:val="009E35FB"/>
    <w:rsid w:val="00A07962"/>
    <w:rsid w:val="00A22C57"/>
    <w:rsid w:val="00A243F7"/>
    <w:rsid w:val="00A2630E"/>
    <w:rsid w:val="00A350A3"/>
    <w:rsid w:val="00A41B54"/>
    <w:rsid w:val="00A42575"/>
    <w:rsid w:val="00A5404C"/>
    <w:rsid w:val="00A76C07"/>
    <w:rsid w:val="00A84A4B"/>
    <w:rsid w:val="00AB4909"/>
    <w:rsid w:val="00AE26C9"/>
    <w:rsid w:val="00AF7475"/>
    <w:rsid w:val="00B01930"/>
    <w:rsid w:val="00B03CCB"/>
    <w:rsid w:val="00B16239"/>
    <w:rsid w:val="00B2545B"/>
    <w:rsid w:val="00B25A2E"/>
    <w:rsid w:val="00B302FE"/>
    <w:rsid w:val="00B4108D"/>
    <w:rsid w:val="00B42A68"/>
    <w:rsid w:val="00B51493"/>
    <w:rsid w:val="00B53371"/>
    <w:rsid w:val="00B56654"/>
    <w:rsid w:val="00B57364"/>
    <w:rsid w:val="00B654E4"/>
    <w:rsid w:val="00B67B29"/>
    <w:rsid w:val="00B72DDA"/>
    <w:rsid w:val="00B9313C"/>
    <w:rsid w:val="00BB45F5"/>
    <w:rsid w:val="00BC3E10"/>
    <w:rsid w:val="00BC55AF"/>
    <w:rsid w:val="00BC6695"/>
    <w:rsid w:val="00BE147E"/>
    <w:rsid w:val="00BE67E8"/>
    <w:rsid w:val="00BF6A6F"/>
    <w:rsid w:val="00C023D0"/>
    <w:rsid w:val="00C1190C"/>
    <w:rsid w:val="00C2114A"/>
    <w:rsid w:val="00C35CD7"/>
    <w:rsid w:val="00C55E2A"/>
    <w:rsid w:val="00C645E3"/>
    <w:rsid w:val="00C74432"/>
    <w:rsid w:val="00C8752B"/>
    <w:rsid w:val="00C903D8"/>
    <w:rsid w:val="00C910A9"/>
    <w:rsid w:val="00C94108"/>
    <w:rsid w:val="00C9429C"/>
    <w:rsid w:val="00C94E67"/>
    <w:rsid w:val="00C9516D"/>
    <w:rsid w:val="00CA7B9A"/>
    <w:rsid w:val="00CB27CB"/>
    <w:rsid w:val="00CB2A7B"/>
    <w:rsid w:val="00CF4910"/>
    <w:rsid w:val="00D2580B"/>
    <w:rsid w:val="00D33301"/>
    <w:rsid w:val="00D46014"/>
    <w:rsid w:val="00D56675"/>
    <w:rsid w:val="00D575EE"/>
    <w:rsid w:val="00D66912"/>
    <w:rsid w:val="00D7566F"/>
    <w:rsid w:val="00DC439B"/>
    <w:rsid w:val="00DD6B73"/>
    <w:rsid w:val="00DE28CE"/>
    <w:rsid w:val="00E17DE0"/>
    <w:rsid w:val="00E209FB"/>
    <w:rsid w:val="00E21494"/>
    <w:rsid w:val="00E21879"/>
    <w:rsid w:val="00E244C9"/>
    <w:rsid w:val="00E25797"/>
    <w:rsid w:val="00E35469"/>
    <w:rsid w:val="00E376F8"/>
    <w:rsid w:val="00E63D62"/>
    <w:rsid w:val="00E66739"/>
    <w:rsid w:val="00E82DE6"/>
    <w:rsid w:val="00E837FF"/>
    <w:rsid w:val="00E87D71"/>
    <w:rsid w:val="00EA352E"/>
    <w:rsid w:val="00EA6E72"/>
    <w:rsid w:val="00EB1CEA"/>
    <w:rsid w:val="00ED7CBC"/>
    <w:rsid w:val="00EF6C68"/>
    <w:rsid w:val="00F17817"/>
    <w:rsid w:val="00F23B77"/>
    <w:rsid w:val="00F31AFA"/>
    <w:rsid w:val="00F57008"/>
    <w:rsid w:val="00F609C8"/>
    <w:rsid w:val="00F6323D"/>
    <w:rsid w:val="00F67107"/>
    <w:rsid w:val="00F763A8"/>
    <w:rsid w:val="00F771CC"/>
    <w:rsid w:val="00F850F6"/>
    <w:rsid w:val="00F85115"/>
    <w:rsid w:val="00F93391"/>
    <w:rsid w:val="00FA6449"/>
    <w:rsid w:val="00FB59E8"/>
    <w:rsid w:val="00FB747E"/>
    <w:rsid w:val="00FD423B"/>
    <w:rsid w:val="00FD4F0E"/>
    <w:rsid w:val="00FD6AA5"/>
    <w:rsid w:val="00FD75DC"/>
    <w:rsid w:val="00FE3080"/>
    <w:rsid w:val="00FE4741"/>
    <w:rsid w:val="00FF1F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1D5C"/>
  <w15:docId w15:val="{7E25B0C3-8792-4BF6-A107-69952F85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A352E"/>
    <w:pPr>
      <w:keepNext/>
      <w:tabs>
        <w:tab w:val="left" w:pos="360"/>
        <w:tab w:val="left" w:pos="8640"/>
      </w:tabs>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unhideWhenUsed/>
    <w:qFormat/>
    <w:rsid w:val="008171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171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575"/>
  </w:style>
  <w:style w:type="paragraph" w:styleId="Footer">
    <w:name w:val="footer"/>
    <w:basedOn w:val="Normal"/>
    <w:link w:val="FooterChar"/>
    <w:uiPriority w:val="99"/>
    <w:unhideWhenUsed/>
    <w:rsid w:val="006F0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575"/>
  </w:style>
  <w:style w:type="paragraph" w:styleId="BalloonText">
    <w:name w:val="Balloon Text"/>
    <w:basedOn w:val="Normal"/>
    <w:link w:val="BalloonTextChar"/>
    <w:uiPriority w:val="99"/>
    <w:semiHidden/>
    <w:unhideWhenUsed/>
    <w:rsid w:val="006F0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75"/>
    <w:rPr>
      <w:rFonts w:ascii="Tahoma" w:hAnsi="Tahoma" w:cs="Tahoma"/>
      <w:sz w:val="16"/>
      <w:szCs w:val="16"/>
    </w:rPr>
  </w:style>
  <w:style w:type="character" w:customStyle="1" w:styleId="Heading2Char">
    <w:name w:val="Heading 2 Char"/>
    <w:basedOn w:val="DefaultParagraphFont"/>
    <w:link w:val="Heading2"/>
    <w:rsid w:val="00EA352E"/>
    <w:rPr>
      <w:rFonts w:ascii="Times New Roman" w:eastAsia="Times New Roman" w:hAnsi="Times New Roman" w:cs="Times New Roman"/>
      <w:b/>
      <w:szCs w:val="20"/>
    </w:rPr>
  </w:style>
  <w:style w:type="paragraph" w:styleId="BodyTextIndent">
    <w:name w:val="Body Text Indent"/>
    <w:basedOn w:val="Normal"/>
    <w:link w:val="BodyTextIndentChar"/>
    <w:rsid w:val="00EA352E"/>
    <w:pPr>
      <w:tabs>
        <w:tab w:val="left" w:pos="8640"/>
      </w:tabs>
      <w:spacing w:after="0" w:line="240" w:lineRule="auto"/>
      <w:ind w:left="421" w:hanging="425"/>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A352E"/>
    <w:rPr>
      <w:rFonts w:ascii="Times New Roman" w:eastAsia="Times New Roman" w:hAnsi="Times New Roman" w:cs="Times New Roman"/>
      <w:szCs w:val="20"/>
    </w:rPr>
  </w:style>
  <w:style w:type="paragraph" w:styleId="PlainText">
    <w:name w:val="Plain Text"/>
    <w:basedOn w:val="Normal"/>
    <w:link w:val="PlainTextChar"/>
    <w:uiPriority w:val="99"/>
    <w:unhideWhenUsed/>
    <w:rsid w:val="00EA352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A352E"/>
    <w:rPr>
      <w:rFonts w:ascii="Calibri" w:eastAsia="Calibri" w:hAnsi="Calibri" w:cs="Times New Roman"/>
      <w:szCs w:val="21"/>
    </w:rPr>
  </w:style>
  <w:style w:type="paragraph" w:styleId="ListParagraph">
    <w:name w:val="List Paragraph"/>
    <w:basedOn w:val="Normal"/>
    <w:uiPriority w:val="34"/>
    <w:qFormat/>
    <w:rsid w:val="00EA352E"/>
    <w:pPr>
      <w:ind w:left="720"/>
      <w:contextualSpacing/>
    </w:pPr>
  </w:style>
  <w:style w:type="character" w:styleId="Hyperlink">
    <w:name w:val="Hyperlink"/>
    <w:basedOn w:val="DefaultParagraphFont"/>
    <w:uiPriority w:val="99"/>
    <w:unhideWhenUsed/>
    <w:rsid w:val="0039380D"/>
    <w:rPr>
      <w:color w:val="0000FF" w:themeColor="hyperlink"/>
      <w:u w:val="single"/>
    </w:rPr>
  </w:style>
  <w:style w:type="character" w:styleId="FollowedHyperlink">
    <w:name w:val="FollowedHyperlink"/>
    <w:basedOn w:val="DefaultParagraphFont"/>
    <w:uiPriority w:val="99"/>
    <w:semiHidden/>
    <w:unhideWhenUsed/>
    <w:rsid w:val="00AE26C9"/>
    <w:rPr>
      <w:color w:val="800080" w:themeColor="followedHyperlink"/>
      <w:u w:val="single"/>
    </w:rPr>
  </w:style>
  <w:style w:type="table" w:styleId="TableGrid">
    <w:name w:val="Table Grid"/>
    <w:basedOn w:val="TableNormal"/>
    <w:uiPriority w:val="59"/>
    <w:rsid w:val="001B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25797"/>
    <w:pPr>
      <w:spacing w:after="120"/>
    </w:pPr>
  </w:style>
  <w:style w:type="character" w:customStyle="1" w:styleId="BodyTextChar">
    <w:name w:val="Body Text Char"/>
    <w:basedOn w:val="DefaultParagraphFont"/>
    <w:link w:val="BodyText"/>
    <w:uiPriority w:val="99"/>
    <w:rsid w:val="00E25797"/>
  </w:style>
  <w:style w:type="paragraph" w:styleId="NoSpacing">
    <w:name w:val="No Spacing"/>
    <w:uiPriority w:val="1"/>
    <w:qFormat/>
    <w:rsid w:val="00560A5F"/>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rsid w:val="00F6710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671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67107"/>
    <w:rPr>
      <w:rFonts w:cs="Times New Roman"/>
      <w:vertAlign w:val="superscript"/>
    </w:rPr>
  </w:style>
  <w:style w:type="paragraph" w:customStyle="1" w:styleId="xmsoplaintext">
    <w:name w:val="x_msoplaintext"/>
    <w:basedOn w:val="Normal"/>
    <w:rsid w:val="002C0E8B"/>
    <w:pPr>
      <w:spacing w:after="0" w:line="240" w:lineRule="auto"/>
    </w:pPr>
    <w:rPr>
      <w:rFonts w:ascii="Calibri" w:hAnsi="Calibri" w:cs="Times New Roman"/>
      <w:lang w:eastAsia="en-GB"/>
    </w:rPr>
  </w:style>
  <w:style w:type="paragraph" w:customStyle="1" w:styleId="xxmsoplaintext">
    <w:name w:val="x_xmsoplaintext"/>
    <w:basedOn w:val="Normal"/>
    <w:rsid w:val="002C0E8B"/>
    <w:pPr>
      <w:spacing w:after="0" w:line="240" w:lineRule="auto"/>
    </w:pPr>
    <w:rPr>
      <w:rFonts w:ascii="Calibri" w:hAnsi="Calibri" w:cs="Times New Roman"/>
      <w:lang w:eastAsia="en-GB"/>
    </w:rPr>
  </w:style>
  <w:style w:type="paragraph" w:customStyle="1" w:styleId="Default">
    <w:name w:val="Default"/>
    <w:rsid w:val="00B2545B"/>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8D5390"/>
    <w:pPr>
      <w:numPr>
        <w:numId w:val="29"/>
      </w:numPr>
    </w:pPr>
  </w:style>
  <w:style w:type="character" w:customStyle="1" w:styleId="Heading3Char">
    <w:name w:val="Heading 3 Char"/>
    <w:basedOn w:val="DefaultParagraphFont"/>
    <w:link w:val="Heading3"/>
    <w:uiPriority w:val="9"/>
    <w:rsid w:val="008171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171D0"/>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4A2BF4"/>
    <w:pPr>
      <w:spacing w:after="0" w:line="240" w:lineRule="auto"/>
    </w:pPr>
  </w:style>
  <w:style w:type="character" w:styleId="CommentReference">
    <w:name w:val="annotation reference"/>
    <w:basedOn w:val="DefaultParagraphFont"/>
    <w:uiPriority w:val="99"/>
    <w:semiHidden/>
    <w:unhideWhenUsed/>
    <w:rsid w:val="00E17DE0"/>
    <w:rPr>
      <w:sz w:val="16"/>
      <w:szCs w:val="16"/>
    </w:rPr>
  </w:style>
  <w:style w:type="paragraph" w:styleId="CommentText">
    <w:name w:val="annotation text"/>
    <w:basedOn w:val="Normal"/>
    <w:link w:val="CommentTextChar"/>
    <w:uiPriority w:val="99"/>
    <w:semiHidden/>
    <w:unhideWhenUsed/>
    <w:rsid w:val="00E17DE0"/>
    <w:pPr>
      <w:spacing w:line="240" w:lineRule="auto"/>
    </w:pPr>
    <w:rPr>
      <w:sz w:val="20"/>
      <w:szCs w:val="20"/>
    </w:rPr>
  </w:style>
  <w:style w:type="character" w:customStyle="1" w:styleId="CommentTextChar">
    <w:name w:val="Comment Text Char"/>
    <w:basedOn w:val="DefaultParagraphFont"/>
    <w:link w:val="CommentText"/>
    <w:uiPriority w:val="99"/>
    <w:semiHidden/>
    <w:rsid w:val="00E17DE0"/>
    <w:rPr>
      <w:sz w:val="20"/>
      <w:szCs w:val="20"/>
    </w:rPr>
  </w:style>
  <w:style w:type="paragraph" w:styleId="CommentSubject">
    <w:name w:val="annotation subject"/>
    <w:basedOn w:val="CommentText"/>
    <w:next w:val="CommentText"/>
    <w:link w:val="CommentSubjectChar"/>
    <w:uiPriority w:val="99"/>
    <w:semiHidden/>
    <w:unhideWhenUsed/>
    <w:rsid w:val="00E17DE0"/>
    <w:rPr>
      <w:b/>
      <w:bCs/>
    </w:rPr>
  </w:style>
  <w:style w:type="character" w:customStyle="1" w:styleId="CommentSubjectChar">
    <w:name w:val="Comment Subject Char"/>
    <w:basedOn w:val="CommentTextChar"/>
    <w:link w:val="CommentSubject"/>
    <w:uiPriority w:val="99"/>
    <w:semiHidden/>
    <w:rsid w:val="00E17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1772">
      <w:bodyDiv w:val="1"/>
      <w:marLeft w:val="0"/>
      <w:marRight w:val="0"/>
      <w:marTop w:val="0"/>
      <w:marBottom w:val="0"/>
      <w:divBdr>
        <w:top w:val="none" w:sz="0" w:space="0" w:color="auto"/>
        <w:left w:val="none" w:sz="0" w:space="0" w:color="auto"/>
        <w:bottom w:val="none" w:sz="0" w:space="0" w:color="auto"/>
        <w:right w:val="none" w:sz="0" w:space="0" w:color="auto"/>
      </w:divBdr>
    </w:div>
    <w:div w:id="930242695">
      <w:bodyDiv w:val="1"/>
      <w:marLeft w:val="0"/>
      <w:marRight w:val="0"/>
      <w:marTop w:val="0"/>
      <w:marBottom w:val="0"/>
      <w:divBdr>
        <w:top w:val="none" w:sz="0" w:space="0" w:color="auto"/>
        <w:left w:val="none" w:sz="0" w:space="0" w:color="auto"/>
        <w:bottom w:val="none" w:sz="0" w:space="0" w:color="auto"/>
        <w:right w:val="none" w:sz="0" w:space="0" w:color="auto"/>
      </w:divBdr>
    </w:div>
    <w:div w:id="1134912011">
      <w:bodyDiv w:val="1"/>
      <w:marLeft w:val="0"/>
      <w:marRight w:val="0"/>
      <w:marTop w:val="0"/>
      <w:marBottom w:val="0"/>
      <w:divBdr>
        <w:top w:val="none" w:sz="0" w:space="0" w:color="auto"/>
        <w:left w:val="none" w:sz="0" w:space="0" w:color="auto"/>
        <w:bottom w:val="none" w:sz="0" w:space="0" w:color="auto"/>
        <w:right w:val="none" w:sz="0" w:space="0" w:color="auto"/>
      </w:divBdr>
    </w:div>
    <w:div w:id="1347826518">
      <w:bodyDiv w:val="1"/>
      <w:marLeft w:val="0"/>
      <w:marRight w:val="0"/>
      <w:marTop w:val="0"/>
      <w:marBottom w:val="0"/>
      <w:divBdr>
        <w:top w:val="none" w:sz="0" w:space="0" w:color="auto"/>
        <w:left w:val="none" w:sz="0" w:space="0" w:color="auto"/>
        <w:bottom w:val="none" w:sz="0" w:space="0" w:color="auto"/>
        <w:right w:val="none" w:sz="0" w:space="0" w:color="auto"/>
      </w:divBdr>
    </w:div>
    <w:div w:id="13971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ol-bsigroup-com.ezproxy.is.ed.ac.uk/Bibliographic/BibliographicInfoData/000000000030315447" TargetMode="External"/><Relationship Id="rId13" Type="http://schemas.openxmlformats.org/officeDocument/2006/relationships/hyperlink" Target="https://www.ed.ac.uk/finance/for-staff/financial-regulations-policies-and-procedur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health-safety/policy-cop/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corporate-services/risk-management/business-continuity-management" TargetMode="External"/><Relationship Id="rId5" Type="http://schemas.openxmlformats.org/officeDocument/2006/relationships/webSettings" Target="webSettings.xml"/><Relationship Id="rId15" Type="http://schemas.openxmlformats.org/officeDocument/2006/relationships/hyperlink" Target="https://www.pwc.co.uk/industries/government-public-sector/education/managing-risk-in-higher-education.html" TargetMode="External"/><Relationship Id="rId10" Type="http://schemas.openxmlformats.org/officeDocument/2006/relationships/hyperlink" Target="https://www.ed.ac.uk/unpublished/corporate-services/risk-management/risk-management-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sol-bsigroup-com.ezproxy.is.ed.ac.uk/Bibliographic/BibliographicInfoData/000000000030315447" TargetMode="External"/><Relationship Id="rId14" Type="http://schemas.openxmlformats.org/officeDocument/2006/relationships/hyperlink" Target="https://www.ed.ac.uk/internal-audit/documents-and-resour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7BF4-0805-4758-B089-8AE9F41A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Deborah</dc:creator>
  <cp:lastModifiedBy>Chris Maclean</cp:lastModifiedBy>
  <cp:revision>2</cp:revision>
  <cp:lastPrinted>2018-09-04T13:12:00Z</cp:lastPrinted>
  <dcterms:created xsi:type="dcterms:W3CDTF">2023-01-16T11:50:00Z</dcterms:created>
  <dcterms:modified xsi:type="dcterms:W3CDTF">2023-01-16T11:50:00Z</dcterms:modified>
</cp:coreProperties>
</file>