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FB34" w14:textId="2ED90A1E" w:rsidR="00A83E0F" w:rsidRDefault="000B3106" w:rsidP="00A83E0F">
      <w:pPr>
        <w:rPr>
          <w:b/>
        </w:rPr>
      </w:pPr>
      <w:r>
        <w:rPr>
          <w:b/>
        </w:rPr>
        <w:t>RESPONSIBILITY FOR</w:t>
      </w:r>
      <w:r w:rsidR="00A83E0F">
        <w:rPr>
          <w:b/>
        </w:rPr>
        <w:t xml:space="preserve"> </w:t>
      </w:r>
      <w:r w:rsidR="00EA12BF">
        <w:rPr>
          <w:b/>
        </w:rPr>
        <w:t xml:space="preserve">LEGAL AND CONTRACTUAL </w:t>
      </w:r>
      <w:r w:rsidR="00A83E0F">
        <w:rPr>
          <w:b/>
        </w:rPr>
        <w:t xml:space="preserve">WORK </w:t>
      </w:r>
    </w:p>
    <w:p w14:paraId="6F009CA8" w14:textId="77777777" w:rsidR="00A83E0F" w:rsidRDefault="00A83E0F" w:rsidP="00A83E0F">
      <w:pPr>
        <w:rPr>
          <w:b/>
        </w:rPr>
      </w:pPr>
      <w:r>
        <w:rPr>
          <w:b/>
        </w:rPr>
        <w:t>Introduction</w:t>
      </w:r>
    </w:p>
    <w:p w14:paraId="3E8F02E4" w14:textId="4A083DE8" w:rsidR="008A1D5D" w:rsidRDefault="00B871AD" w:rsidP="00F949B9">
      <w:r>
        <w:t>T</w:t>
      </w:r>
      <w:r w:rsidR="00A83E0F">
        <w:t xml:space="preserve">his </w:t>
      </w:r>
      <w:r w:rsidR="007A604C">
        <w:t>document</w:t>
      </w:r>
      <w:r>
        <w:t xml:space="preserve"> aims to set</w:t>
      </w:r>
      <w:r w:rsidR="00A83E0F">
        <w:t xml:space="preserve"> out </w:t>
      </w:r>
      <w:r>
        <w:t xml:space="preserve">the various </w:t>
      </w:r>
      <w:r w:rsidR="00442202">
        <w:t xml:space="preserve">types of </w:t>
      </w:r>
      <w:r w:rsidR="003C2F7E">
        <w:t>legal and contract</w:t>
      </w:r>
      <w:r>
        <w:t xml:space="preserve">ing </w:t>
      </w:r>
      <w:r w:rsidR="00442202">
        <w:t>work</w:t>
      </w:r>
      <w:r>
        <w:t xml:space="preserve"> which </w:t>
      </w:r>
      <w:r w:rsidR="00F949B9">
        <w:t xml:space="preserve">arise in the University and which </w:t>
      </w:r>
      <w:r>
        <w:t xml:space="preserve">team within the University </w:t>
      </w:r>
      <w:r w:rsidR="007A604C">
        <w:t xml:space="preserve">is responsible for </w:t>
      </w:r>
      <w:r w:rsidR="00442202">
        <w:t xml:space="preserve">giving the advice for the work type in question. </w:t>
      </w:r>
    </w:p>
    <w:p w14:paraId="731414DC" w14:textId="77464806" w:rsidR="007A604C" w:rsidRDefault="007A604C" w:rsidP="007A604C">
      <w:r>
        <w:t>In summary:</w:t>
      </w:r>
    </w:p>
    <w:tbl>
      <w:tblPr>
        <w:tblStyle w:val="TableGrid"/>
        <w:tblW w:w="0" w:type="auto"/>
        <w:tblInd w:w="-5" w:type="dxa"/>
        <w:tblLook w:val="04A0" w:firstRow="1" w:lastRow="0" w:firstColumn="1" w:lastColumn="0" w:noHBand="0" w:noVBand="1"/>
      </w:tblPr>
      <w:tblGrid>
        <w:gridCol w:w="3828"/>
        <w:gridCol w:w="3118"/>
        <w:gridCol w:w="3118"/>
      </w:tblGrid>
      <w:tr w:rsidR="00210814" w14:paraId="0200A5CB" w14:textId="0592CDAB" w:rsidTr="009A51D1">
        <w:tc>
          <w:tcPr>
            <w:tcW w:w="3828" w:type="dxa"/>
          </w:tcPr>
          <w:p w14:paraId="44F6FE60" w14:textId="7479F674" w:rsidR="00210814" w:rsidRPr="007A604C" w:rsidRDefault="00210814" w:rsidP="007A604C">
            <w:pPr>
              <w:rPr>
                <w:b/>
              </w:rPr>
            </w:pPr>
            <w:r w:rsidRPr="007A604C">
              <w:rPr>
                <w:b/>
              </w:rPr>
              <w:t>Type of work</w:t>
            </w:r>
          </w:p>
        </w:tc>
        <w:tc>
          <w:tcPr>
            <w:tcW w:w="3118" w:type="dxa"/>
          </w:tcPr>
          <w:p w14:paraId="52898D5A" w14:textId="05F0BABA" w:rsidR="00210814" w:rsidRPr="007A604C" w:rsidRDefault="00210814" w:rsidP="007A604C">
            <w:pPr>
              <w:rPr>
                <w:b/>
              </w:rPr>
            </w:pPr>
            <w:r w:rsidRPr="007A604C">
              <w:rPr>
                <w:b/>
              </w:rPr>
              <w:t>Team</w:t>
            </w:r>
          </w:p>
        </w:tc>
        <w:tc>
          <w:tcPr>
            <w:tcW w:w="3118" w:type="dxa"/>
          </w:tcPr>
          <w:p w14:paraId="6BE8DE5A" w14:textId="27E38522" w:rsidR="00210814" w:rsidRPr="007A604C" w:rsidRDefault="00210814" w:rsidP="007A604C">
            <w:pPr>
              <w:rPr>
                <w:b/>
              </w:rPr>
            </w:pPr>
            <w:r>
              <w:rPr>
                <w:b/>
              </w:rPr>
              <w:t>Email</w:t>
            </w:r>
          </w:p>
        </w:tc>
      </w:tr>
      <w:tr w:rsidR="00210814" w14:paraId="5DC73493" w14:textId="5FA71C9A" w:rsidTr="009A51D1">
        <w:tc>
          <w:tcPr>
            <w:tcW w:w="3828" w:type="dxa"/>
          </w:tcPr>
          <w:p w14:paraId="6DE50607" w14:textId="16F00BBA" w:rsidR="00210814" w:rsidRDefault="00210814" w:rsidP="00210814">
            <w:r w:rsidRPr="007A604C">
              <w:t xml:space="preserve">Research related </w:t>
            </w:r>
          </w:p>
        </w:tc>
        <w:tc>
          <w:tcPr>
            <w:tcW w:w="3118" w:type="dxa"/>
          </w:tcPr>
          <w:p w14:paraId="06253DF9" w14:textId="6D01F410" w:rsidR="00210814" w:rsidRDefault="00210814" w:rsidP="007A604C">
            <w:r w:rsidRPr="007A604C">
              <w:t>RSO Contracts</w:t>
            </w:r>
          </w:p>
        </w:tc>
        <w:tc>
          <w:tcPr>
            <w:tcW w:w="3118" w:type="dxa"/>
          </w:tcPr>
          <w:p w14:paraId="29012E2B" w14:textId="6B55858F" w:rsidR="00210814" w:rsidRPr="007A604C" w:rsidRDefault="00210814" w:rsidP="007A604C">
            <w:r>
              <w:t>RSO.Contracts@ed.ac.uk</w:t>
            </w:r>
          </w:p>
        </w:tc>
      </w:tr>
      <w:tr w:rsidR="00210814" w14:paraId="5390C8F3" w14:textId="2D54E284" w:rsidTr="009A51D1">
        <w:tc>
          <w:tcPr>
            <w:tcW w:w="3828" w:type="dxa"/>
          </w:tcPr>
          <w:p w14:paraId="3E38D14E" w14:textId="494C44DD" w:rsidR="00210814" w:rsidRDefault="00210814" w:rsidP="007A604C">
            <w:r w:rsidRPr="007A604C">
              <w:t>Industry related CDAs and Consultancy</w:t>
            </w:r>
          </w:p>
        </w:tc>
        <w:tc>
          <w:tcPr>
            <w:tcW w:w="3118" w:type="dxa"/>
          </w:tcPr>
          <w:p w14:paraId="24C27860" w14:textId="1031CED1" w:rsidR="00210814" w:rsidRDefault="00210814" w:rsidP="0013432F">
            <w:r w:rsidRPr="007A604C">
              <w:t>EI Contracts</w:t>
            </w:r>
          </w:p>
        </w:tc>
        <w:tc>
          <w:tcPr>
            <w:tcW w:w="3118" w:type="dxa"/>
          </w:tcPr>
          <w:p w14:paraId="2C82B2F4" w14:textId="5DB33BE9" w:rsidR="00210814" w:rsidRPr="007A604C" w:rsidRDefault="00210814" w:rsidP="0013432F">
            <w:r>
              <w:t>EI.Contracts@ei.ed.ac.uk</w:t>
            </w:r>
          </w:p>
        </w:tc>
      </w:tr>
      <w:tr w:rsidR="00210814" w14:paraId="025112B2" w14:textId="2D17FBAE" w:rsidTr="009A51D1">
        <w:tc>
          <w:tcPr>
            <w:tcW w:w="3828" w:type="dxa"/>
          </w:tcPr>
          <w:p w14:paraId="30000643" w14:textId="138F0506" w:rsidR="00210814" w:rsidRPr="007A604C" w:rsidRDefault="00210814" w:rsidP="007A604C">
            <w:r w:rsidRPr="007A604C">
              <w:t>Other industry related contracts</w:t>
            </w:r>
          </w:p>
        </w:tc>
        <w:tc>
          <w:tcPr>
            <w:tcW w:w="3118" w:type="dxa"/>
          </w:tcPr>
          <w:p w14:paraId="0BFCF509" w14:textId="4991145C" w:rsidR="00210814" w:rsidRDefault="00210814" w:rsidP="007A604C">
            <w:r w:rsidRPr="007A604C">
              <w:t>Legal Services</w:t>
            </w:r>
          </w:p>
        </w:tc>
        <w:tc>
          <w:tcPr>
            <w:tcW w:w="3118" w:type="dxa"/>
          </w:tcPr>
          <w:p w14:paraId="0C1F0F2A" w14:textId="208B80A0" w:rsidR="00210814" w:rsidRPr="00210814" w:rsidRDefault="00210814" w:rsidP="007A604C">
            <w:hyperlink r:id="rId12" w:history="1">
              <w:r w:rsidRPr="00210814">
                <w:rPr>
                  <w:rStyle w:val="Hyperlink"/>
                  <w:rFonts w:cs="Arial"/>
                  <w:lang w:val="en"/>
                </w:rPr>
                <w:t>legalservices@ed.ac.uk</w:t>
              </w:r>
            </w:hyperlink>
          </w:p>
        </w:tc>
      </w:tr>
    </w:tbl>
    <w:p w14:paraId="7A550249" w14:textId="77777777" w:rsidR="007A604C" w:rsidRDefault="007A604C" w:rsidP="007A604C"/>
    <w:p w14:paraId="68B1E607" w14:textId="045571D1" w:rsidR="0013432F" w:rsidRDefault="0013432F" w:rsidP="007A604C">
      <w:r>
        <w:t>More detail regarding specific types of contracts is given in the next pages</w:t>
      </w:r>
    </w:p>
    <w:p w14:paraId="1438A10F" w14:textId="4F1AE5A4" w:rsidR="0013432F" w:rsidRDefault="0013432F" w:rsidP="007A604C"/>
    <w:p w14:paraId="2F9DADA2" w14:textId="77777777" w:rsidR="0013432F" w:rsidRDefault="0013432F" w:rsidP="007A604C">
      <w:pPr>
        <w:sectPr w:rsidR="0013432F" w:rsidSect="002341DD">
          <w:footerReference w:type="default" r:id="rId13"/>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649"/>
        <w:gridCol w:w="4649"/>
        <w:gridCol w:w="4650"/>
      </w:tblGrid>
      <w:tr w:rsidR="00A83E0F" w14:paraId="45E6F2D1" w14:textId="77777777" w:rsidTr="00A529EA">
        <w:trPr>
          <w:tblHeader/>
        </w:trPr>
        <w:tc>
          <w:tcPr>
            <w:tcW w:w="4649" w:type="dxa"/>
          </w:tcPr>
          <w:p w14:paraId="3CE1FFFC" w14:textId="65A572E4" w:rsidR="00A83E0F" w:rsidRPr="00FC5F34" w:rsidRDefault="00A83E0F" w:rsidP="00A529EA">
            <w:pPr>
              <w:jc w:val="center"/>
              <w:rPr>
                <w:b/>
                <w:u w:val="single"/>
              </w:rPr>
            </w:pPr>
            <w:r w:rsidRPr="00FC5F34">
              <w:rPr>
                <w:b/>
                <w:u w:val="single"/>
              </w:rPr>
              <w:lastRenderedPageBreak/>
              <w:t>Work Type</w:t>
            </w:r>
          </w:p>
        </w:tc>
        <w:tc>
          <w:tcPr>
            <w:tcW w:w="4649" w:type="dxa"/>
          </w:tcPr>
          <w:p w14:paraId="452631DA" w14:textId="77777777" w:rsidR="00A83E0F" w:rsidRPr="00FC5F34" w:rsidRDefault="00A83E0F">
            <w:pPr>
              <w:jc w:val="center"/>
              <w:rPr>
                <w:b/>
                <w:u w:val="single"/>
              </w:rPr>
            </w:pPr>
            <w:r w:rsidRPr="00FC5F34">
              <w:rPr>
                <w:b/>
                <w:u w:val="single"/>
              </w:rPr>
              <w:t>Responsibility</w:t>
            </w:r>
          </w:p>
        </w:tc>
        <w:tc>
          <w:tcPr>
            <w:tcW w:w="4650" w:type="dxa"/>
          </w:tcPr>
          <w:p w14:paraId="655340B9" w14:textId="0D204965" w:rsidR="00A83E0F" w:rsidRPr="00A529EA" w:rsidRDefault="00A83E0F" w:rsidP="00A529EA">
            <w:pPr>
              <w:jc w:val="center"/>
              <w:rPr>
                <w:b/>
                <w:i/>
                <w:u w:val="single"/>
              </w:rPr>
            </w:pPr>
            <w:r w:rsidRPr="00A529EA">
              <w:rPr>
                <w:b/>
                <w:i/>
                <w:u w:val="single"/>
              </w:rPr>
              <w:t>Comment</w:t>
            </w:r>
            <w:r w:rsidR="0033044D" w:rsidRPr="00A529EA">
              <w:rPr>
                <w:b/>
                <w:i/>
                <w:u w:val="single"/>
              </w:rPr>
              <w:t xml:space="preserve"> </w:t>
            </w:r>
          </w:p>
        </w:tc>
      </w:tr>
      <w:tr w:rsidR="00F16ED7" w14:paraId="3DA1D267" w14:textId="77777777" w:rsidTr="00BD2FE7">
        <w:tc>
          <w:tcPr>
            <w:tcW w:w="4649" w:type="dxa"/>
          </w:tcPr>
          <w:p w14:paraId="5C7BBE6D" w14:textId="4DF93BD1" w:rsidR="00F16ED7" w:rsidRPr="00650B41" w:rsidRDefault="00F16ED7" w:rsidP="00F16ED7">
            <w:r>
              <w:t xml:space="preserve">Amendments and variations to existing industry related agreements </w:t>
            </w:r>
          </w:p>
        </w:tc>
        <w:tc>
          <w:tcPr>
            <w:tcW w:w="4649" w:type="dxa"/>
          </w:tcPr>
          <w:p w14:paraId="1245324B" w14:textId="486228FD" w:rsidR="00F16ED7" w:rsidRDefault="00F16ED7" w:rsidP="00F16ED7">
            <w:pPr>
              <w:jc w:val="center"/>
            </w:pPr>
            <w:r w:rsidRPr="00817A0A">
              <w:rPr>
                <w:u w:val="single"/>
              </w:rPr>
              <w:t>EI Contracts</w:t>
            </w:r>
          </w:p>
        </w:tc>
        <w:tc>
          <w:tcPr>
            <w:tcW w:w="4650" w:type="dxa"/>
          </w:tcPr>
          <w:p w14:paraId="03A720CC" w14:textId="2331F10D" w:rsidR="00F16ED7" w:rsidRPr="00A529EA" w:rsidRDefault="00F16ED7" w:rsidP="00F16ED7">
            <w:pPr>
              <w:rPr>
                <w:i/>
              </w:rPr>
            </w:pPr>
            <w:r w:rsidRPr="00817A0A">
              <w:rPr>
                <w:i/>
              </w:rPr>
              <w:t xml:space="preserve">This is to cover straightforward amendments </w:t>
            </w:r>
            <w:r>
              <w:rPr>
                <w:i/>
              </w:rPr>
              <w:t xml:space="preserve">to industry related agreements </w:t>
            </w:r>
            <w:r w:rsidRPr="00817A0A">
              <w:rPr>
                <w:i/>
              </w:rPr>
              <w:t>e</w:t>
            </w:r>
            <w:r>
              <w:rPr>
                <w:i/>
              </w:rPr>
              <w:t>g no cost extensions. Amendments to research related agreements remain the responsibility of RSO Contracts</w:t>
            </w:r>
          </w:p>
        </w:tc>
      </w:tr>
      <w:tr w:rsidR="00F16ED7" w14:paraId="7E90F772" w14:textId="77777777" w:rsidTr="00BD2FE7">
        <w:tc>
          <w:tcPr>
            <w:tcW w:w="4649" w:type="dxa"/>
          </w:tcPr>
          <w:p w14:paraId="47FE0E32" w14:textId="77777777" w:rsidR="00F16ED7" w:rsidRDefault="00F16ED7" w:rsidP="00F16ED7">
            <w:r w:rsidRPr="00650B41">
              <w:t>Clinical Trial/Study – UoE Sponsor</w:t>
            </w:r>
          </w:p>
        </w:tc>
        <w:tc>
          <w:tcPr>
            <w:tcW w:w="4649" w:type="dxa"/>
          </w:tcPr>
          <w:p w14:paraId="78737EEF" w14:textId="77777777" w:rsidR="00F16ED7" w:rsidRDefault="00F16ED7" w:rsidP="00F16ED7">
            <w:pPr>
              <w:jc w:val="center"/>
            </w:pPr>
            <w:r>
              <w:t>RSO Contracts</w:t>
            </w:r>
          </w:p>
        </w:tc>
        <w:tc>
          <w:tcPr>
            <w:tcW w:w="4650" w:type="dxa"/>
          </w:tcPr>
          <w:p w14:paraId="129523F4" w14:textId="6D7BE797" w:rsidR="00F16ED7" w:rsidRPr="00A529EA" w:rsidRDefault="00F16ED7" w:rsidP="00F16ED7">
            <w:pPr>
              <w:rPr>
                <w:i/>
              </w:rPr>
            </w:pPr>
          </w:p>
        </w:tc>
      </w:tr>
      <w:tr w:rsidR="00F16ED7" w14:paraId="12355F0E" w14:textId="77777777" w:rsidTr="00BD2FE7">
        <w:tc>
          <w:tcPr>
            <w:tcW w:w="4649" w:type="dxa"/>
          </w:tcPr>
          <w:p w14:paraId="20C7F9BD" w14:textId="77777777" w:rsidR="00F16ED7" w:rsidRDefault="00F16ED7" w:rsidP="00F16ED7">
            <w:r w:rsidRPr="00650B41">
              <w:t>Clinical Trial/Study – UoE Not Sponsor</w:t>
            </w:r>
            <w:r>
              <w:t xml:space="preserve"> </w:t>
            </w:r>
          </w:p>
          <w:p w14:paraId="0E961E7B" w14:textId="77777777" w:rsidR="00F16ED7" w:rsidRDefault="00F16ED7" w:rsidP="00F16ED7">
            <w:pPr>
              <w:pStyle w:val="ListParagraph"/>
              <w:numPr>
                <w:ilvl w:val="0"/>
                <w:numId w:val="5"/>
              </w:numPr>
            </w:pPr>
            <w:r>
              <w:t xml:space="preserve">Academic and non-commercial cases </w:t>
            </w:r>
          </w:p>
          <w:p w14:paraId="5CFDF99E" w14:textId="77777777" w:rsidR="00F16ED7" w:rsidRDefault="00F16ED7" w:rsidP="00F16ED7">
            <w:pPr>
              <w:pStyle w:val="ListParagraph"/>
            </w:pPr>
          </w:p>
          <w:p w14:paraId="39FC2D24" w14:textId="77777777" w:rsidR="00F16ED7" w:rsidRDefault="00F16ED7" w:rsidP="00F16ED7">
            <w:pPr>
              <w:pStyle w:val="ListParagraph"/>
            </w:pPr>
          </w:p>
          <w:p w14:paraId="1A71BCEA" w14:textId="301C0311" w:rsidR="00F16ED7" w:rsidRDefault="00F16ED7" w:rsidP="00F16ED7">
            <w:pPr>
              <w:pStyle w:val="ListParagraph"/>
              <w:numPr>
                <w:ilvl w:val="0"/>
                <w:numId w:val="5"/>
              </w:numPr>
            </w:pPr>
            <w:r>
              <w:t>industrial collaboration / engagement is involved</w:t>
            </w:r>
          </w:p>
        </w:tc>
        <w:tc>
          <w:tcPr>
            <w:tcW w:w="4649" w:type="dxa"/>
          </w:tcPr>
          <w:p w14:paraId="4BDAEF9C" w14:textId="77777777" w:rsidR="00F16ED7" w:rsidRDefault="00F16ED7" w:rsidP="00F16ED7">
            <w:pPr>
              <w:jc w:val="center"/>
            </w:pPr>
          </w:p>
          <w:p w14:paraId="18691116" w14:textId="3BDD82DB" w:rsidR="00F16ED7" w:rsidRDefault="00F16ED7" w:rsidP="00F16ED7">
            <w:pPr>
              <w:jc w:val="center"/>
            </w:pPr>
            <w:r>
              <w:t>RSO Contracts</w:t>
            </w:r>
          </w:p>
          <w:p w14:paraId="6A682FBC" w14:textId="75568406" w:rsidR="00F16ED7" w:rsidRDefault="00F16ED7" w:rsidP="00F16ED7">
            <w:pPr>
              <w:jc w:val="center"/>
            </w:pPr>
          </w:p>
          <w:p w14:paraId="11C135B0" w14:textId="370512E9" w:rsidR="00F16ED7" w:rsidRDefault="00F16ED7" w:rsidP="00F16ED7">
            <w:pPr>
              <w:jc w:val="center"/>
            </w:pPr>
            <w:r>
              <w:t>Legal Services</w:t>
            </w:r>
          </w:p>
        </w:tc>
        <w:tc>
          <w:tcPr>
            <w:tcW w:w="4650" w:type="dxa"/>
          </w:tcPr>
          <w:p w14:paraId="5D664214" w14:textId="77777777" w:rsidR="00F16ED7" w:rsidRPr="00A529EA" w:rsidRDefault="00F16ED7" w:rsidP="00F16ED7">
            <w:pPr>
              <w:rPr>
                <w:i/>
              </w:rPr>
            </w:pPr>
          </w:p>
          <w:p w14:paraId="3701D966" w14:textId="77777777" w:rsidR="00F16ED7" w:rsidRPr="00A529EA" w:rsidRDefault="00F16ED7" w:rsidP="00F16ED7">
            <w:pPr>
              <w:rPr>
                <w:i/>
              </w:rPr>
            </w:pPr>
          </w:p>
          <w:p w14:paraId="1A5CA2DC" w14:textId="77777777" w:rsidR="00F16ED7" w:rsidRPr="00A529EA" w:rsidRDefault="00F16ED7" w:rsidP="00F16ED7">
            <w:pPr>
              <w:rPr>
                <w:i/>
              </w:rPr>
            </w:pPr>
          </w:p>
          <w:p w14:paraId="1BD5E66A" w14:textId="5E6547F2" w:rsidR="00F16ED7" w:rsidRPr="00A529EA" w:rsidRDefault="00F16ED7" w:rsidP="00F16ED7">
            <w:pPr>
              <w:rPr>
                <w:i/>
              </w:rPr>
            </w:pPr>
            <w:r w:rsidRPr="00A529EA">
              <w:rPr>
                <w:i/>
              </w:rPr>
              <w:t xml:space="preserve">This is an activity where responsibilities can change at the margins and in cases of doubt reference should be made to the guiding rationales at the </w:t>
            </w:r>
            <w:r>
              <w:rPr>
                <w:i/>
              </w:rPr>
              <w:t>end</w:t>
            </w:r>
            <w:r w:rsidRPr="00A529EA">
              <w:rPr>
                <w:i/>
              </w:rPr>
              <w:t xml:space="preserve"> of this table. E.g. it can be the case that a company is involved in a trial/study which has research as its fundamental aim and in these cases RSO Contracts would have primary responsibility. </w:t>
            </w:r>
          </w:p>
          <w:p w14:paraId="4A0364B2" w14:textId="77777777" w:rsidR="00F16ED7" w:rsidRDefault="00F16ED7" w:rsidP="00F16ED7">
            <w:pPr>
              <w:rPr>
                <w:i/>
              </w:rPr>
            </w:pPr>
            <w:r w:rsidRPr="00A529EA">
              <w:rPr>
                <w:i/>
              </w:rPr>
              <w:t xml:space="preserve">Irrespective of this, RSO Contracts would always be involved in the preparation of the necessary co-sponsorship, site agreements (etc). </w:t>
            </w:r>
          </w:p>
          <w:p w14:paraId="7F3AE01F" w14:textId="729F5534" w:rsidR="00F16ED7" w:rsidRPr="00A529EA" w:rsidRDefault="00F16ED7" w:rsidP="00F16ED7">
            <w:pPr>
              <w:rPr>
                <w:i/>
              </w:rPr>
            </w:pPr>
            <w:r w:rsidRPr="00A529EA">
              <w:rPr>
                <w:i/>
              </w:rPr>
              <w:t xml:space="preserve">The PIG process (used by ACCORD colleagues at Little France) indicates that RSO Contracts will lead the clinical trial project management activities engaging with Legal Services &amp; </w:t>
            </w:r>
            <w:r>
              <w:rPr>
                <w:i/>
              </w:rPr>
              <w:t>EI Contracts</w:t>
            </w:r>
            <w:r w:rsidRPr="00A529EA">
              <w:rPr>
                <w:i/>
              </w:rPr>
              <w:t xml:space="preserve"> as required.</w:t>
            </w:r>
          </w:p>
          <w:p w14:paraId="764362E2" w14:textId="01D62F4A" w:rsidR="00F16ED7" w:rsidRPr="00A529EA" w:rsidRDefault="00F16ED7" w:rsidP="00F16ED7">
            <w:pPr>
              <w:rPr>
                <w:i/>
              </w:rPr>
            </w:pPr>
          </w:p>
        </w:tc>
      </w:tr>
      <w:tr w:rsidR="00F16ED7" w14:paraId="4EDD387C" w14:textId="77777777" w:rsidTr="00BD2FE7">
        <w:tc>
          <w:tcPr>
            <w:tcW w:w="4649" w:type="dxa"/>
          </w:tcPr>
          <w:p w14:paraId="248C65BE" w14:textId="1E6D0686" w:rsidR="00F16ED7" w:rsidRDefault="00F16ED7" w:rsidP="00F16ED7">
            <w:r w:rsidRPr="00650B41">
              <w:t>Confidentiality</w:t>
            </w:r>
            <w:r>
              <w:t xml:space="preserve"> agreements with companies and businesses</w:t>
            </w:r>
          </w:p>
        </w:tc>
        <w:tc>
          <w:tcPr>
            <w:tcW w:w="4649" w:type="dxa"/>
          </w:tcPr>
          <w:p w14:paraId="4C96C492" w14:textId="6594A353" w:rsidR="00F16ED7" w:rsidRDefault="00F16ED7" w:rsidP="00F16ED7">
            <w:pPr>
              <w:jc w:val="center"/>
            </w:pPr>
            <w:r>
              <w:t>EI Contracts</w:t>
            </w:r>
          </w:p>
        </w:tc>
        <w:tc>
          <w:tcPr>
            <w:tcW w:w="4650" w:type="dxa"/>
          </w:tcPr>
          <w:p w14:paraId="4F00056E" w14:textId="124A95AD" w:rsidR="00F16ED7" w:rsidRPr="00A529EA" w:rsidRDefault="00F16ED7" w:rsidP="00F16ED7">
            <w:pPr>
              <w:rPr>
                <w:i/>
              </w:rPr>
            </w:pPr>
          </w:p>
        </w:tc>
      </w:tr>
      <w:tr w:rsidR="00F16ED7" w14:paraId="21848920" w14:textId="77777777" w:rsidTr="00BD2FE7">
        <w:tc>
          <w:tcPr>
            <w:tcW w:w="4649" w:type="dxa"/>
          </w:tcPr>
          <w:p w14:paraId="67F3A687" w14:textId="4AFB8420" w:rsidR="00F16ED7" w:rsidRDefault="00F16ED7" w:rsidP="00F16ED7">
            <w:r>
              <w:t>Confidentiality agreements where no commercial party</w:t>
            </w:r>
          </w:p>
        </w:tc>
        <w:tc>
          <w:tcPr>
            <w:tcW w:w="4649" w:type="dxa"/>
          </w:tcPr>
          <w:p w14:paraId="09486D4D" w14:textId="2353E0E2" w:rsidR="00F16ED7" w:rsidRDefault="00F16ED7" w:rsidP="00F16ED7">
            <w:pPr>
              <w:jc w:val="center"/>
            </w:pPr>
            <w:r>
              <w:t>RSO Contracts</w:t>
            </w:r>
          </w:p>
        </w:tc>
        <w:tc>
          <w:tcPr>
            <w:tcW w:w="4650" w:type="dxa"/>
          </w:tcPr>
          <w:p w14:paraId="40034A44" w14:textId="56E7EBD7" w:rsidR="00F16ED7" w:rsidRPr="00DA5EAA" w:rsidRDefault="00F16ED7" w:rsidP="00F16ED7">
            <w:r>
              <w:rPr>
                <w:i/>
              </w:rPr>
              <w:t xml:space="preserve">All CDA requests to be sent to EI Contracts in first instance </w:t>
            </w:r>
            <w:r w:rsidR="00DA5EAA" w:rsidRPr="00DA5EAA">
              <w:t xml:space="preserve">- </w:t>
            </w:r>
            <w:r w:rsidR="00DA5EAA" w:rsidRPr="00DA5EAA">
              <w:t>EI.Contracts@ei.ed.ac.uk</w:t>
            </w:r>
          </w:p>
          <w:p w14:paraId="3A95D7CC" w14:textId="5944EDBD" w:rsidR="00F16ED7" w:rsidRDefault="00F16ED7" w:rsidP="00F16ED7">
            <w:pPr>
              <w:rPr>
                <w:i/>
              </w:rPr>
            </w:pPr>
          </w:p>
        </w:tc>
      </w:tr>
      <w:tr w:rsidR="00F16ED7" w14:paraId="4852A439" w14:textId="77777777" w:rsidTr="00BD2FE7">
        <w:tc>
          <w:tcPr>
            <w:tcW w:w="4649" w:type="dxa"/>
          </w:tcPr>
          <w:p w14:paraId="0A9486B8" w14:textId="0DF994C1" w:rsidR="00F16ED7" w:rsidRDefault="00F16ED7" w:rsidP="00F16ED7">
            <w:r>
              <w:t xml:space="preserve">Consultancy </w:t>
            </w:r>
          </w:p>
        </w:tc>
        <w:tc>
          <w:tcPr>
            <w:tcW w:w="4649" w:type="dxa"/>
          </w:tcPr>
          <w:p w14:paraId="7F010925" w14:textId="3BF40A55" w:rsidR="00F16ED7" w:rsidRDefault="00F16ED7" w:rsidP="00F16ED7">
            <w:pPr>
              <w:jc w:val="center"/>
            </w:pPr>
            <w:r>
              <w:t>EI Contracts</w:t>
            </w:r>
          </w:p>
        </w:tc>
        <w:tc>
          <w:tcPr>
            <w:tcW w:w="4650" w:type="dxa"/>
          </w:tcPr>
          <w:p w14:paraId="5C872992" w14:textId="1F371A50" w:rsidR="00F16ED7" w:rsidRPr="00A529EA" w:rsidRDefault="00F16ED7" w:rsidP="00F16ED7">
            <w:pPr>
              <w:rPr>
                <w:i/>
              </w:rPr>
            </w:pPr>
            <w:r>
              <w:rPr>
                <w:i/>
              </w:rPr>
              <w:t xml:space="preserve">First port of call: </w:t>
            </w:r>
            <w:r w:rsidRPr="00A529EA">
              <w:rPr>
                <w:i/>
              </w:rPr>
              <w:t xml:space="preserve">ERI’s </w:t>
            </w:r>
            <w:r>
              <w:rPr>
                <w:i/>
              </w:rPr>
              <w:t xml:space="preserve">Consultancy team, which </w:t>
            </w:r>
            <w:r w:rsidRPr="00A529EA">
              <w:rPr>
                <w:i/>
              </w:rPr>
              <w:t xml:space="preserve">deals with the day-to-day matters using templates. </w:t>
            </w:r>
          </w:p>
        </w:tc>
      </w:tr>
      <w:tr w:rsidR="00F16ED7" w14:paraId="325C5CE1" w14:textId="77777777" w:rsidTr="00BD2FE7">
        <w:tc>
          <w:tcPr>
            <w:tcW w:w="4649" w:type="dxa"/>
          </w:tcPr>
          <w:p w14:paraId="257304E9" w14:textId="38B46CAA" w:rsidR="00F16ED7" w:rsidRDefault="00F16ED7" w:rsidP="00F16ED7">
            <w:r w:rsidRPr="00650B41">
              <w:t>Contract Dispute</w:t>
            </w:r>
          </w:p>
          <w:p w14:paraId="48902F31" w14:textId="77777777" w:rsidR="00F16ED7" w:rsidRDefault="00F16ED7" w:rsidP="00F16ED7"/>
        </w:tc>
        <w:tc>
          <w:tcPr>
            <w:tcW w:w="4649" w:type="dxa"/>
          </w:tcPr>
          <w:p w14:paraId="5E6F4EC1" w14:textId="77777777" w:rsidR="00F16ED7" w:rsidRDefault="00F16ED7" w:rsidP="00F16ED7">
            <w:pPr>
              <w:jc w:val="center"/>
            </w:pPr>
            <w:r>
              <w:t>Legal Services</w:t>
            </w:r>
          </w:p>
        </w:tc>
        <w:tc>
          <w:tcPr>
            <w:tcW w:w="4650" w:type="dxa"/>
          </w:tcPr>
          <w:p w14:paraId="6F2D27CA" w14:textId="77777777" w:rsidR="00F16ED7" w:rsidRPr="00A529EA" w:rsidRDefault="00F16ED7" w:rsidP="00F16ED7">
            <w:pPr>
              <w:jc w:val="center"/>
              <w:rPr>
                <w:i/>
              </w:rPr>
            </w:pPr>
          </w:p>
        </w:tc>
      </w:tr>
      <w:tr w:rsidR="00F16ED7" w14:paraId="6D0B89AE" w14:textId="77777777" w:rsidTr="00BD2FE7">
        <w:tc>
          <w:tcPr>
            <w:tcW w:w="4649" w:type="dxa"/>
          </w:tcPr>
          <w:p w14:paraId="49AE72DE" w14:textId="77777777" w:rsidR="00F16ED7" w:rsidRDefault="00F16ED7" w:rsidP="00F16ED7">
            <w:r>
              <w:t xml:space="preserve">Contract Research </w:t>
            </w:r>
          </w:p>
          <w:p w14:paraId="305EEC6F" w14:textId="1AD6DD23" w:rsidR="00F16ED7" w:rsidRPr="00650B41" w:rsidRDefault="00F16ED7" w:rsidP="00F16ED7">
            <w:r>
              <w:t>See “Research – contract research” below</w:t>
            </w:r>
          </w:p>
        </w:tc>
        <w:tc>
          <w:tcPr>
            <w:tcW w:w="4649" w:type="dxa"/>
          </w:tcPr>
          <w:p w14:paraId="44A11E3D" w14:textId="3A397851" w:rsidR="00F16ED7" w:rsidRDefault="00F16ED7" w:rsidP="00F16ED7">
            <w:pPr>
              <w:jc w:val="center"/>
            </w:pPr>
          </w:p>
        </w:tc>
        <w:tc>
          <w:tcPr>
            <w:tcW w:w="4650" w:type="dxa"/>
          </w:tcPr>
          <w:p w14:paraId="7411E1AC" w14:textId="77777777" w:rsidR="00F16ED7" w:rsidRPr="00A529EA" w:rsidRDefault="00F16ED7" w:rsidP="00F16ED7">
            <w:pPr>
              <w:rPr>
                <w:i/>
              </w:rPr>
            </w:pPr>
          </w:p>
        </w:tc>
      </w:tr>
      <w:tr w:rsidR="00F16ED7" w14:paraId="45F07E46" w14:textId="77777777" w:rsidTr="00BD2FE7">
        <w:tc>
          <w:tcPr>
            <w:tcW w:w="4649" w:type="dxa"/>
          </w:tcPr>
          <w:p w14:paraId="1C63FE2E" w14:textId="77777777" w:rsidR="00F16ED7" w:rsidRDefault="00F16ED7" w:rsidP="00F16ED7">
            <w:r w:rsidRPr="00650B41">
              <w:t>Data Transfer</w:t>
            </w:r>
            <w:r>
              <w:t>/Sharing</w:t>
            </w:r>
            <w:r w:rsidRPr="00650B41">
              <w:t xml:space="preserve"> – </w:t>
            </w:r>
            <w:r>
              <w:t xml:space="preserve">both </w:t>
            </w:r>
            <w:r w:rsidRPr="00650B41">
              <w:t>incoming</w:t>
            </w:r>
            <w:r>
              <w:t xml:space="preserve"> and </w:t>
            </w:r>
            <w:r w:rsidRPr="00650B41">
              <w:t>outgoing</w:t>
            </w:r>
          </w:p>
        </w:tc>
        <w:tc>
          <w:tcPr>
            <w:tcW w:w="4649" w:type="dxa"/>
          </w:tcPr>
          <w:p w14:paraId="6479A360" w14:textId="77E8B73E" w:rsidR="00F16ED7" w:rsidRDefault="00F16ED7" w:rsidP="00F16ED7">
            <w:pPr>
              <w:jc w:val="center"/>
            </w:pPr>
            <w:r>
              <w:t>RSO Contracts</w:t>
            </w:r>
          </w:p>
          <w:p w14:paraId="521F87DA" w14:textId="77777777" w:rsidR="00F16ED7" w:rsidRDefault="00F16ED7" w:rsidP="00F16ED7">
            <w:pPr>
              <w:jc w:val="center"/>
            </w:pPr>
          </w:p>
          <w:p w14:paraId="163A6187" w14:textId="58BC44B2" w:rsidR="00F16ED7" w:rsidRDefault="00F16ED7" w:rsidP="00F16ED7">
            <w:pPr>
              <w:jc w:val="center"/>
            </w:pPr>
            <w:r>
              <w:t>Legal Services</w:t>
            </w:r>
          </w:p>
          <w:p w14:paraId="431AE767" w14:textId="47C86C42" w:rsidR="00F16ED7" w:rsidRDefault="00F16ED7" w:rsidP="00F16ED7">
            <w:pPr>
              <w:jc w:val="center"/>
            </w:pPr>
          </w:p>
        </w:tc>
        <w:tc>
          <w:tcPr>
            <w:tcW w:w="4650" w:type="dxa"/>
          </w:tcPr>
          <w:p w14:paraId="40ED0765" w14:textId="1B9BFBD8" w:rsidR="00F16ED7" w:rsidRPr="00A529EA" w:rsidRDefault="00F16ED7" w:rsidP="00F16ED7">
            <w:pPr>
              <w:rPr>
                <w:i/>
              </w:rPr>
            </w:pPr>
            <w:r w:rsidRPr="00A529EA">
              <w:rPr>
                <w:i/>
              </w:rPr>
              <w:t xml:space="preserve">Agreements relating to the transfer /sharing of data for research purposes </w:t>
            </w:r>
            <w:r>
              <w:rPr>
                <w:i/>
              </w:rPr>
              <w:t>are</w:t>
            </w:r>
            <w:r w:rsidRPr="00A529EA">
              <w:rPr>
                <w:i/>
              </w:rPr>
              <w:t xml:space="preserve"> the responsibility of RSO Contracts.</w:t>
            </w:r>
          </w:p>
          <w:p w14:paraId="1A839B7B" w14:textId="53DABFD8" w:rsidR="00F16ED7" w:rsidRPr="00A529EA" w:rsidRDefault="00F16ED7" w:rsidP="00F16ED7">
            <w:pPr>
              <w:rPr>
                <w:i/>
              </w:rPr>
            </w:pPr>
            <w:r w:rsidRPr="00A529EA">
              <w:rPr>
                <w:i/>
              </w:rPr>
              <w:t>Agreements concerning sensitive personal data; non-research contracts involving data protection issues; and information security issues are the responsibility of Legal Services.</w:t>
            </w:r>
          </w:p>
        </w:tc>
      </w:tr>
      <w:tr w:rsidR="00F16ED7" w14:paraId="1573EBBA" w14:textId="77777777" w:rsidTr="00BD2FE7">
        <w:tc>
          <w:tcPr>
            <w:tcW w:w="4649" w:type="dxa"/>
          </w:tcPr>
          <w:p w14:paraId="5078ED94" w14:textId="760FFFEB" w:rsidR="00F16ED7" w:rsidRPr="00650B41" w:rsidRDefault="00F16ED7" w:rsidP="00F16ED7">
            <w:r>
              <w:t>Data Protection Law matters</w:t>
            </w:r>
          </w:p>
        </w:tc>
        <w:tc>
          <w:tcPr>
            <w:tcW w:w="4649" w:type="dxa"/>
          </w:tcPr>
          <w:p w14:paraId="67246541" w14:textId="77777777" w:rsidR="00F16ED7" w:rsidRDefault="00F16ED7" w:rsidP="00F16ED7">
            <w:pPr>
              <w:jc w:val="center"/>
            </w:pPr>
            <w:r>
              <w:t>Legal Services</w:t>
            </w:r>
          </w:p>
          <w:p w14:paraId="4A3F142B" w14:textId="77777777" w:rsidR="00F16ED7" w:rsidRDefault="00F16ED7" w:rsidP="00F16ED7">
            <w:pPr>
              <w:jc w:val="center"/>
            </w:pPr>
          </w:p>
        </w:tc>
        <w:tc>
          <w:tcPr>
            <w:tcW w:w="4650" w:type="dxa"/>
          </w:tcPr>
          <w:p w14:paraId="70F58172" w14:textId="77777777" w:rsidR="00F16ED7" w:rsidRPr="00A529EA" w:rsidRDefault="00F16ED7" w:rsidP="00F16ED7">
            <w:pPr>
              <w:rPr>
                <w:i/>
              </w:rPr>
            </w:pPr>
          </w:p>
        </w:tc>
      </w:tr>
      <w:tr w:rsidR="00F16ED7" w14:paraId="461749D9" w14:textId="77777777" w:rsidTr="00BD2FE7">
        <w:tc>
          <w:tcPr>
            <w:tcW w:w="4649" w:type="dxa"/>
          </w:tcPr>
          <w:p w14:paraId="5D3E921B" w14:textId="77777777" w:rsidR="00F16ED7" w:rsidRDefault="00F16ED7" w:rsidP="00F16ED7">
            <w:pPr>
              <w:spacing w:after="0"/>
            </w:pPr>
            <w:r>
              <w:t xml:space="preserve">EC funded research. </w:t>
            </w:r>
          </w:p>
          <w:p w14:paraId="38D5212F" w14:textId="77777777" w:rsidR="00F16ED7" w:rsidRDefault="00F16ED7" w:rsidP="00F16ED7">
            <w:pPr>
              <w:spacing w:after="0"/>
              <w:rPr>
                <w:i/>
              </w:rPr>
            </w:pPr>
            <w:r>
              <w:t>This includes</w:t>
            </w:r>
            <w:r w:rsidRPr="00427612">
              <w:rPr>
                <w:i/>
              </w:rPr>
              <w:t xml:space="preserve"> </w:t>
            </w:r>
          </w:p>
          <w:p w14:paraId="627C0717" w14:textId="6366CFEE" w:rsidR="00F16ED7" w:rsidRPr="00427612" w:rsidRDefault="00F16ED7" w:rsidP="00F16ED7">
            <w:pPr>
              <w:pStyle w:val="ListParagraph"/>
              <w:numPr>
                <w:ilvl w:val="0"/>
                <w:numId w:val="9"/>
              </w:numPr>
            </w:pPr>
            <w:r w:rsidRPr="00427612">
              <w:t xml:space="preserve">Research Collaborations – both where UoE is the Lead and not the Lead </w:t>
            </w:r>
          </w:p>
          <w:p w14:paraId="4B28D8C5" w14:textId="77777777" w:rsidR="00F16ED7" w:rsidRPr="00427612" w:rsidRDefault="00F16ED7" w:rsidP="00F16ED7">
            <w:pPr>
              <w:pStyle w:val="ListParagraph"/>
              <w:numPr>
                <w:ilvl w:val="0"/>
                <w:numId w:val="8"/>
              </w:numPr>
            </w:pPr>
            <w:r w:rsidRPr="00427612">
              <w:t>Marie Curie funding</w:t>
            </w:r>
          </w:p>
          <w:p w14:paraId="7910C81E" w14:textId="77777777" w:rsidR="00F16ED7" w:rsidRPr="00427612" w:rsidRDefault="00F16ED7" w:rsidP="00F16ED7">
            <w:pPr>
              <w:pStyle w:val="ListParagraph"/>
              <w:numPr>
                <w:ilvl w:val="0"/>
                <w:numId w:val="8"/>
              </w:numPr>
            </w:pPr>
            <w:r w:rsidRPr="00427612">
              <w:t>IMI funding</w:t>
            </w:r>
          </w:p>
          <w:p w14:paraId="6350ED18" w14:textId="77777777" w:rsidR="00F16ED7" w:rsidRDefault="00F16ED7" w:rsidP="00F16ED7">
            <w:pPr>
              <w:pStyle w:val="ListParagraph"/>
              <w:numPr>
                <w:ilvl w:val="0"/>
                <w:numId w:val="8"/>
              </w:numPr>
            </w:pPr>
            <w:r w:rsidRPr="00427612">
              <w:t>ERC funding</w:t>
            </w:r>
          </w:p>
          <w:p w14:paraId="10BB69BF" w14:textId="32A48BA2" w:rsidR="00F16ED7" w:rsidRDefault="00F16ED7" w:rsidP="00F16ED7">
            <w:pPr>
              <w:pStyle w:val="ListParagraph"/>
            </w:pPr>
          </w:p>
        </w:tc>
        <w:tc>
          <w:tcPr>
            <w:tcW w:w="4649" w:type="dxa"/>
          </w:tcPr>
          <w:p w14:paraId="00D490BE" w14:textId="5FE06ADF" w:rsidR="00F16ED7" w:rsidRDefault="00F16ED7" w:rsidP="00F16ED7">
            <w:pPr>
              <w:jc w:val="center"/>
            </w:pPr>
            <w:r>
              <w:t xml:space="preserve">Legal Services </w:t>
            </w:r>
          </w:p>
        </w:tc>
        <w:tc>
          <w:tcPr>
            <w:tcW w:w="4650" w:type="dxa"/>
          </w:tcPr>
          <w:p w14:paraId="1B592619" w14:textId="3E922FF0" w:rsidR="00F16ED7" w:rsidRPr="00A529EA" w:rsidRDefault="00F16ED7" w:rsidP="00F16ED7">
            <w:pPr>
              <w:rPr>
                <w:i/>
              </w:rPr>
            </w:pPr>
            <w:r w:rsidRPr="00A529EA">
              <w:rPr>
                <w:i/>
              </w:rPr>
              <w:t xml:space="preserve"> </w:t>
            </w:r>
          </w:p>
        </w:tc>
      </w:tr>
      <w:tr w:rsidR="00F16ED7" w14:paraId="2B91DE33" w14:textId="77777777" w:rsidTr="00BD2FE7">
        <w:tc>
          <w:tcPr>
            <w:tcW w:w="4649" w:type="dxa"/>
          </w:tcPr>
          <w:p w14:paraId="0678EF97" w14:textId="1627DAB7" w:rsidR="00F16ED7" w:rsidRDefault="00F16ED7" w:rsidP="00F16ED7">
            <w:r w:rsidRPr="00650B41">
              <w:t>Education</w:t>
            </w:r>
          </w:p>
        </w:tc>
        <w:tc>
          <w:tcPr>
            <w:tcW w:w="4649" w:type="dxa"/>
          </w:tcPr>
          <w:p w14:paraId="688C1A97" w14:textId="2C7D790A" w:rsidR="00F16ED7" w:rsidRDefault="00F16ED7" w:rsidP="00F16ED7">
            <w:pPr>
              <w:jc w:val="center"/>
            </w:pPr>
            <w:r>
              <w:t>Legal Services</w:t>
            </w:r>
          </w:p>
        </w:tc>
        <w:tc>
          <w:tcPr>
            <w:tcW w:w="4650" w:type="dxa"/>
          </w:tcPr>
          <w:p w14:paraId="61E50F89" w14:textId="66A4841A" w:rsidR="00F16ED7" w:rsidRPr="00A529EA" w:rsidRDefault="00F16ED7" w:rsidP="00F16ED7">
            <w:pPr>
              <w:rPr>
                <w:i/>
              </w:rPr>
            </w:pPr>
            <w:r>
              <w:rPr>
                <w:i/>
              </w:rPr>
              <w:t>Agreements relating to Centres for Doctoral Training (CDTs) are a mixture of education and research and are dealt with by RSO Contracts</w:t>
            </w:r>
          </w:p>
        </w:tc>
      </w:tr>
      <w:tr w:rsidR="00F16ED7" w14:paraId="1CA9CD74" w14:textId="77777777" w:rsidTr="00BD2FE7">
        <w:tc>
          <w:tcPr>
            <w:tcW w:w="4649" w:type="dxa"/>
          </w:tcPr>
          <w:p w14:paraId="160625CB" w14:textId="2ED4B660" w:rsidR="00F16ED7" w:rsidRDefault="00F16ED7" w:rsidP="00F16ED7">
            <w:r w:rsidRPr="00650B41">
              <w:t>Equipment Agreements</w:t>
            </w:r>
            <w:r>
              <w:t xml:space="preserve"> – Outgoing/Service/Hire</w:t>
            </w:r>
          </w:p>
        </w:tc>
        <w:tc>
          <w:tcPr>
            <w:tcW w:w="4649" w:type="dxa"/>
          </w:tcPr>
          <w:p w14:paraId="686684E0" w14:textId="65700253" w:rsidR="00F16ED7" w:rsidRDefault="00F16ED7" w:rsidP="00F16ED7">
            <w:pPr>
              <w:jc w:val="center"/>
            </w:pPr>
            <w:r>
              <w:t>EI  Contracts</w:t>
            </w:r>
          </w:p>
          <w:p w14:paraId="50DC5C9A" w14:textId="74D29936" w:rsidR="00F16ED7" w:rsidRDefault="00F16ED7" w:rsidP="00F16ED7"/>
        </w:tc>
        <w:tc>
          <w:tcPr>
            <w:tcW w:w="4650" w:type="dxa"/>
          </w:tcPr>
          <w:p w14:paraId="1A7DA389" w14:textId="61CFE29C" w:rsidR="00F16ED7" w:rsidRPr="004E7D15" w:rsidRDefault="00F16ED7" w:rsidP="00F16ED7">
            <w:pPr>
              <w:rPr>
                <w:i/>
              </w:rPr>
            </w:pPr>
            <w:r w:rsidRPr="004E7D15">
              <w:rPr>
                <w:i/>
              </w:rPr>
              <w:t xml:space="preserve">It is the intention that </w:t>
            </w:r>
            <w:r>
              <w:rPr>
                <w:i/>
              </w:rPr>
              <w:t>EI Contracts</w:t>
            </w:r>
            <w:r w:rsidRPr="004E7D15">
              <w:rPr>
                <w:i/>
              </w:rPr>
              <w:t xml:space="preserve"> will be responsible for this work type where the underlying transaction involves EI providing UoE equipment or services using equipment for external customers for payment. This is associated with EI’s consultancy services</w:t>
            </w:r>
          </w:p>
          <w:p w14:paraId="30D9554A" w14:textId="3F844E65" w:rsidR="00F16ED7" w:rsidRPr="00A529EA" w:rsidRDefault="00F16ED7" w:rsidP="00F16ED7">
            <w:pPr>
              <w:rPr>
                <w:i/>
              </w:rPr>
            </w:pPr>
            <w:r w:rsidRPr="004E7D15">
              <w:rPr>
                <w:i/>
              </w:rPr>
              <w:t xml:space="preserve">Occasionally equipment agreements are needed when researchers need access to equipment for their research or they are sharing their equipment with other researchers. In these cases  EI </w:t>
            </w:r>
            <w:r>
              <w:rPr>
                <w:i/>
              </w:rPr>
              <w:t>Contracts</w:t>
            </w:r>
            <w:r w:rsidRPr="004E7D15">
              <w:rPr>
                <w:i/>
              </w:rPr>
              <w:t xml:space="preserve"> should pass the instruction on to </w:t>
            </w:r>
            <w:r w:rsidRPr="00007A15">
              <w:rPr>
                <w:b/>
                <w:i/>
              </w:rPr>
              <w:t>RSO Contracts</w:t>
            </w:r>
          </w:p>
        </w:tc>
      </w:tr>
      <w:tr w:rsidR="00F16ED7" w14:paraId="4C2A01B3" w14:textId="77777777" w:rsidTr="00BD2FE7">
        <w:tc>
          <w:tcPr>
            <w:tcW w:w="4649" w:type="dxa"/>
          </w:tcPr>
          <w:p w14:paraId="393B9F40" w14:textId="1896B779" w:rsidR="00F16ED7" w:rsidRDefault="00F16ED7" w:rsidP="00F16ED7">
            <w:r w:rsidRPr="00650B41">
              <w:t>Freedom of Information</w:t>
            </w:r>
            <w:r>
              <w:t xml:space="preserve"> law matters</w:t>
            </w:r>
          </w:p>
        </w:tc>
        <w:tc>
          <w:tcPr>
            <w:tcW w:w="4649" w:type="dxa"/>
          </w:tcPr>
          <w:p w14:paraId="3F59385C" w14:textId="77777777" w:rsidR="00F16ED7" w:rsidRDefault="00F16ED7" w:rsidP="00F16ED7">
            <w:pPr>
              <w:jc w:val="center"/>
            </w:pPr>
            <w:r>
              <w:t>Legal Services</w:t>
            </w:r>
          </w:p>
        </w:tc>
        <w:tc>
          <w:tcPr>
            <w:tcW w:w="4650" w:type="dxa"/>
          </w:tcPr>
          <w:p w14:paraId="5CD400A8" w14:textId="77777777" w:rsidR="00F16ED7" w:rsidRPr="0033044D" w:rsidRDefault="00F16ED7" w:rsidP="00F16ED7">
            <w:pPr>
              <w:jc w:val="center"/>
              <w:rPr>
                <w:i/>
              </w:rPr>
            </w:pPr>
          </w:p>
        </w:tc>
      </w:tr>
      <w:tr w:rsidR="00F16ED7" w14:paraId="216DAE4D" w14:textId="77777777" w:rsidTr="00BD2FE7">
        <w:tc>
          <w:tcPr>
            <w:tcW w:w="4649" w:type="dxa"/>
          </w:tcPr>
          <w:p w14:paraId="0290139C" w14:textId="717DDE35" w:rsidR="00F16ED7" w:rsidRDefault="00F16ED7" w:rsidP="00F16ED7">
            <w:r w:rsidRPr="00650B41">
              <w:t xml:space="preserve">General Legal Advice </w:t>
            </w:r>
            <w:r>
              <w:t>outwith the other categories of work types in this table</w:t>
            </w:r>
          </w:p>
        </w:tc>
        <w:tc>
          <w:tcPr>
            <w:tcW w:w="4649" w:type="dxa"/>
          </w:tcPr>
          <w:p w14:paraId="6C4D0A81" w14:textId="2678A083" w:rsidR="00F16ED7" w:rsidRDefault="00F16ED7" w:rsidP="00F16ED7">
            <w:pPr>
              <w:jc w:val="center"/>
            </w:pPr>
            <w:r>
              <w:t xml:space="preserve">Legal Services </w:t>
            </w:r>
          </w:p>
        </w:tc>
        <w:tc>
          <w:tcPr>
            <w:tcW w:w="4650" w:type="dxa"/>
          </w:tcPr>
          <w:p w14:paraId="6298F7F7" w14:textId="5192779D" w:rsidR="00F16ED7" w:rsidRPr="0033044D" w:rsidRDefault="00F16ED7" w:rsidP="00F16ED7">
            <w:pPr>
              <w:rPr>
                <w:i/>
              </w:rPr>
            </w:pPr>
          </w:p>
        </w:tc>
      </w:tr>
      <w:tr w:rsidR="00F16ED7" w14:paraId="6A85C51C" w14:textId="77777777" w:rsidTr="00BD2FE7">
        <w:tc>
          <w:tcPr>
            <w:tcW w:w="4649" w:type="dxa"/>
          </w:tcPr>
          <w:p w14:paraId="4DB5F5D0" w14:textId="18F49AB3" w:rsidR="00F16ED7" w:rsidRPr="00650B41" w:rsidRDefault="00F16ED7" w:rsidP="00F16ED7">
            <w:r>
              <w:t>Impact Acceleration Account (IAA) matters</w:t>
            </w:r>
          </w:p>
        </w:tc>
        <w:tc>
          <w:tcPr>
            <w:tcW w:w="4649" w:type="dxa"/>
          </w:tcPr>
          <w:p w14:paraId="58A4111D" w14:textId="29142098" w:rsidR="00F16ED7" w:rsidRDefault="00F16ED7" w:rsidP="00F16ED7">
            <w:pPr>
              <w:jc w:val="center"/>
            </w:pPr>
            <w:r>
              <w:t>EI Contracts</w:t>
            </w:r>
          </w:p>
        </w:tc>
        <w:tc>
          <w:tcPr>
            <w:tcW w:w="4650" w:type="dxa"/>
          </w:tcPr>
          <w:p w14:paraId="29317C99" w14:textId="77777777" w:rsidR="00F16ED7" w:rsidRPr="0033044D" w:rsidRDefault="00F16ED7" w:rsidP="00F16ED7">
            <w:pPr>
              <w:rPr>
                <w:i/>
              </w:rPr>
            </w:pPr>
          </w:p>
        </w:tc>
      </w:tr>
      <w:tr w:rsidR="00F16ED7" w14:paraId="10A494E8" w14:textId="77777777" w:rsidTr="00BD2FE7">
        <w:tc>
          <w:tcPr>
            <w:tcW w:w="4649" w:type="dxa"/>
          </w:tcPr>
          <w:p w14:paraId="07C48536" w14:textId="77777777" w:rsidR="00F16ED7" w:rsidRDefault="00F16ED7" w:rsidP="00F16ED7">
            <w:r w:rsidRPr="00650B41">
              <w:t>Investment</w:t>
            </w:r>
            <w:r>
              <w:t xml:space="preserve"> matters connected with spin-out companies</w:t>
            </w:r>
          </w:p>
        </w:tc>
        <w:tc>
          <w:tcPr>
            <w:tcW w:w="4649" w:type="dxa"/>
          </w:tcPr>
          <w:p w14:paraId="193715CD" w14:textId="77777777" w:rsidR="00F16ED7" w:rsidRDefault="00F16ED7" w:rsidP="00F16ED7">
            <w:pPr>
              <w:jc w:val="center"/>
            </w:pPr>
            <w:r>
              <w:t>Legal Services</w:t>
            </w:r>
          </w:p>
        </w:tc>
        <w:tc>
          <w:tcPr>
            <w:tcW w:w="4650" w:type="dxa"/>
          </w:tcPr>
          <w:p w14:paraId="714C2140" w14:textId="77777777" w:rsidR="00F16ED7" w:rsidRPr="0033044D" w:rsidRDefault="00F16ED7" w:rsidP="00F16ED7">
            <w:pPr>
              <w:pStyle w:val="Heading2"/>
              <w:outlineLvl w:val="1"/>
            </w:pPr>
          </w:p>
        </w:tc>
      </w:tr>
      <w:tr w:rsidR="00F16ED7" w14:paraId="41FD89D1" w14:textId="77777777" w:rsidTr="00BD2FE7">
        <w:tc>
          <w:tcPr>
            <w:tcW w:w="4649" w:type="dxa"/>
          </w:tcPr>
          <w:p w14:paraId="14F1371D" w14:textId="5A7812F6" w:rsidR="00F16ED7" w:rsidRDefault="00F16ED7" w:rsidP="00F16ED7">
            <w:r>
              <w:t>IP Transfer</w:t>
            </w:r>
            <w:r w:rsidRPr="00650B41">
              <w:t xml:space="preserve"> –</w:t>
            </w:r>
            <w:r>
              <w:t xml:space="preserve"> </w:t>
            </w:r>
            <w:r w:rsidRPr="00650B41">
              <w:t>outgoing</w:t>
            </w:r>
            <w:r>
              <w:t xml:space="preserve"> – but not including Student Assignations for which see below under “Student Assignations”</w:t>
            </w:r>
          </w:p>
        </w:tc>
        <w:tc>
          <w:tcPr>
            <w:tcW w:w="4649" w:type="dxa"/>
          </w:tcPr>
          <w:p w14:paraId="04DC1B2C" w14:textId="51C05454" w:rsidR="00F16ED7" w:rsidRDefault="00F16ED7" w:rsidP="00F16ED7">
            <w:pPr>
              <w:jc w:val="center"/>
            </w:pPr>
            <w:r>
              <w:t>EI’s Tech Transfer Office (TTO)</w:t>
            </w:r>
          </w:p>
        </w:tc>
        <w:tc>
          <w:tcPr>
            <w:tcW w:w="4650" w:type="dxa"/>
          </w:tcPr>
          <w:p w14:paraId="0B0B0CFA" w14:textId="5A6FF9F9" w:rsidR="00F16ED7" w:rsidRPr="00A529EA" w:rsidRDefault="00F16ED7" w:rsidP="00F16ED7">
            <w:pPr>
              <w:pStyle w:val="Heading2"/>
              <w:outlineLvl w:val="1"/>
              <w:rPr>
                <w:rFonts w:asciiTheme="minorHAnsi" w:hAnsiTheme="minorHAnsi"/>
                <w:i/>
                <w:sz w:val="22"/>
                <w:szCs w:val="22"/>
              </w:rPr>
            </w:pPr>
            <w:r>
              <w:rPr>
                <w:rFonts w:asciiTheme="minorHAnsi" w:hAnsiTheme="minorHAnsi"/>
                <w:i/>
                <w:color w:val="auto"/>
                <w:sz w:val="22"/>
                <w:szCs w:val="22"/>
              </w:rPr>
              <w:t xml:space="preserve">The TTO deals with the day-to-day matters using templates </w:t>
            </w:r>
          </w:p>
        </w:tc>
      </w:tr>
      <w:tr w:rsidR="00F16ED7" w14:paraId="0DD89A61" w14:textId="77777777" w:rsidTr="00BD2FE7">
        <w:tc>
          <w:tcPr>
            <w:tcW w:w="4649" w:type="dxa"/>
          </w:tcPr>
          <w:p w14:paraId="6BB5B30F" w14:textId="2D227AE1" w:rsidR="00F16ED7" w:rsidRDefault="00F16ED7" w:rsidP="00F16ED7">
            <w:r>
              <w:t>IP Transfer - incoming</w:t>
            </w:r>
          </w:p>
        </w:tc>
        <w:tc>
          <w:tcPr>
            <w:tcW w:w="4649" w:type="dxa"/>
          </w:tcPr>
          <w:p w14:paraId="34A33126" w14:textId="1ED0D33F" w:rsidR="00F16ED7" w:rsidRDefault="00F16ED7" w:rsidP="00F16ED7">
            <w:pPr>
              <w:jc w:val="center"/>
            </w:pPr>
            <w:r>
              <w:t>Legal Services</w:t>
            </w:r>
          </w:p>
        </w:tc>
        <w:tc>
          <w:tcPr>
            <w:tcW w:w="4650" w:type="dxa"/>
          </w:tcPr>
          <w:p w14:paraId="73A14B74" w14:textId="77777777" w:rsidR="00F16ED7" w:rsidRDefault="00F16ED7" w:rsidP="00F16ED7">
            <w:pPr>
              <w:pStyle w:val="Heading2"/>
              <w:outlineLvl w:val="1"/>
              <w:rPr>
                <w:rFonts w:asciiTheme="minorHAnsi" w:hAnsiTheme="minorHAnsi"/>
                <w:i/>
                <w:color w:val="auto"/>
                <w:sz w:val="22"/>
                <w:szCs w:val="22"/>
              </w:rPr>
            </w:pPr>
          </w:p>
        </w:tc>
      </w:tr>
      <w:tr w:rsidR="00F16ED7" w14:paraId="691B3FBE" w14:textId="77777777" w:rsidTr="00BD2FE7">
        <w:tc>
          <w:tcPr>
            <w:tcW w:w="4649" w:type="dxa"/>
          </w:tcPr>
          <w:p w14:paraId="3546A1B7" w14:textId="77777777" w:rsidR="00F16ED7" w:rsidRDefault="00F16ED7" w:rsidP="00F16ED7">
            <w:r w:rsidRPr="00650B41">
              <w:t>Mergers</w:t>
            </w:r>
          </w:p>
        </w:tc>
        <w:tc>
          <w:tcPr>
            <w:tcW w:w="4649" w:type="dxa"/>
          </w:tcPr>
          <w:p w14:paraId="71B6AE73" w14:textId="77777777" w:rsidR="00F16ED7" w:rsidRDefault="00F16ED7" w:rsidP="00F16ED7">
            <w:pPr>
              <w:jc w:val="center"/>
            </w:pPr>
            <w:r>
              <w:t>Legal Services</w:t>
            </w:r>
          </w:p>
        </w:tc>
        <w:tc>
          <w:tcPr>
            <w:tcW w:w="4650" w:type="dxa"/>
          </w:tcPr>
          <w:p w14:paraId="084F667B" w14:textId="77777777" w:rsidR="00F16ED7" w:rsidRPr="0033044D" w:rsidRDefault="00F16ED7" w:rsidP="00F16ED7">
            <w:pPr>
              <w:jc w:val="center"/>
              <w:rPr>
                <w:i/>
              </w:rPr>
            </w:pPr>
          </w:p>
        </w:tc>
      </w:tr>
      <w:tr w:rsidR="00F16ED7" w14:paraId="34361BEC" w14:textId="77777777" w:rsidTr="00BD2FE7">
        <w:tc>
          <w:tcPr>
            <w:tcW w:w="4649" w:type="dxa"/>
          </w:tcPr>
          <w:p w14:paraId="55694BAA" w14:textId="156E8746" w:rsidR="00F16ED7" w:rsidRDefault="00F16ED7" w:rsidP="00F16ED7">
            <w:r w:rsidRPr="00650B41">
              <w:t>Miscellaneous IP Query</w:t>
            </w:r>
            <w:r>
              <w:t xml:space="preserve"> outwith the other categories of work types in this table</w:t>
            </w:r>
          </w:p>
        </w:tc>
        <w:tc>
          <w:tcPr>
            <w:tcW w:w="4649" w:type="dxa"/>
          </w:tcPr>
          <w:p w14:paraId="4388AB53" w14:textId="5D56D421" w:rsidR="00F16ED7" w:rsidRDefault="00F16ED7" w:rsidP="00F16ED7">
            <w:pPr>
              <w:jc w:val="center"/>
            </w:pPr>
            <w:r>
              <w:t xml:space="preserve">Legal Services </w:t>
            </w:r>
          </w:p>
        </w:tc>
        <w:tc>
          <w:tcPr>
            <w:tcW w:w="4650" w:type="dxa"/>
          </w:tcPr>
          <w:p w14:paraId="6D215E93" w14:textId="6FD884A8" w:rsidR="00F16ED7" w:rsidRPr="0033044D" w:rsidRDefault="00F16ED7" w:rsidP="00F16ED7">
            <w:pPr>
              <w:jc w:val="center"/>
              <w:rPr>
                <w:i/>
              </w:rPr>
            </w:pPr>
          </w:p>
        </w:tc>
      </w:tr>
      <w:tr w:rsidR="00F16ED7" w14:paraId="7CCEAC5B" w14:textId="77777777" w:rsidTr="00BD2FE7">
        <w:tc>
          <w:tcPr>
            <w:tcW w:w="4649" w:type="dxa"/>
          </w:tcPr>
          <w:p w14:paraId="1ADA0394" w14:textId="3AA6C05D" w:rsidR="00F16ED7" w:rsidRDefault="00F16ED7" w:rsidP="00F16ED7">
            <w:r>
              <w:t>Material transfer Agreements (</w:t>
            </w:r>
            <w:r w:rsidRPr="00650B41">
              <w:t>MTA</w:t>
            </w:r>
            <w:r>
              <w:t>s)</w:t>
            </w:r>
            <w:r w:rsidRPr="00650B41">
              <w:t xml:space="preserve"> – </w:t>
            </w:r>
            <w:r>
              <w:t xml:space="preserve">both </w:t>
            </w:r>
            <w:r w:rsidRPr="00650B41">
              <w:t>incoming</w:t>
            </w:r>
            <w:r>
              <w:t xml:space="preserve"> and </w:t>
            </w:r>
            <w:r w:rsidRPr="00650B41">
              <w:t>outgoing</w:t>
            </w:r>
            <w:r>
              <w:t xml:space="preserve"> for academic use</w:t>
            </w:r>
          </w:p>
        </w:tc>
        <w:tc>
          <w:tcPr>
            <w:tcW w:w="4649" w:type="dxa"/>
          </w:tcPr>
          <w:p w14:paraId="38C80C3F" w14:textId="2EC82F58" w:rsidR="00F16ED7" w:rsidRDefault="00F16ED7" w:rsidP="00F16ED7">
            <w:pPr>
              <w:jc w:val="center"/>
            </w:pPr>
            <w:r>
              <w:t>RSO Contracts</w:t>
            </w:r>
          </w:p>
        </w:tc>
        <w:tc>
          <w:tcPr>
            <w:tcW w:w="4650" w:type="dxa"/>
          </w:tcPr>
          <w:p w14:paraId="6D8AB1AA" w14:textId="3371AB8E" w:rsidR="00F16ED7" w:rsidRPr="0033044D" w:rsidRDefault="00F16ED7" w:rsidP="00F16ED7">
            <w:pPr>
              <w:rPr>
                <w:i/>
              </w:rPr>
            </w:pPr>
            <w:r>
              <w:rPr>
                <w:i/>
              </w:rPr>
              <w:t>See row below for where the transfer of materials is to a business for evaluation and/or commercial use.</w:t>
            </w:r>
          </w:p>
        </w:tc>
      </w:tr>
      <w:tr w:rsidR="00F16ED7" w14:paraId="3CA77FC5" w14:textId="77777777" w:rsidTr="00BD2FE7">
        <w:tc>
          <w:tcPr>
            <w:tcW w:w="4649" w:type="dxa"/>
          </w:tcPr>
          <w:p w14:paraId="02C18A1F" w14:textId="45AF1256" w:rsidR="00F16ED7" w:rsidRDefault="00F16ED7" w:rsidP="00F16ED7">
            <w:r>
              <w:t>Material transfer Agreements (MTAs) – outgoing for commercial use</w:t>
            </w:r>
          </w:p>
        </w:tc>
        <w:tc>
          <w:tcPr>
            <w:tcW w:w="4649" w:type="dxa"/>
          </w:tcPr>
          <w:p w14:paraId="55DC6C34" w14:textId="14D5AF09" w:rsidR="00F16ED7" w:rsidRDefault="00F16ED7" w:rsidP="00F16ED7">
            <w:pPr>
              <w:jc w:val="center"/>
            </w:pPr>
            <w:r>
              <w:t>EI’s Tech Transfer Office (TTO)</w:t>
            </w:r>
          </w:p>
        </w:tc>
        <w:tc>
          <w:tcPr>
            <w:tcW w:w="4650" w:type="dxa"/>
          </w:tcPr>
          <w:p w14:paraId="042FE66C" w14:textId="34924842" w:rsidR="00F16ED7" w:rsidRDefault="00F16ED7" w:rsidP="00F16ED7">
            <w:pPr>
              <w:rPr>
                <w:i/>
              </w:rPr>
            </w:pPr>
            <w:r>
              <w:rPr>
                <w:i/>
              </w:rPr>
              <w:t xml:space="preserve">In such a case the more appropriate agreement will likely be an evaluation licence and thus these cases should be referred to the TTO </w:t>
            </w:r>
          </w:p>
        </w:tc>
      </w:tr>
      <w:tr w:rsidR="00F16ED7" w14:paraId="0BBD8B10" w14:textId="77777777" w:rsidTr="00BD2FE7">
        <w:tc>
          <w:tcPr>
            <w:tcW w:w="4649" w:type="dxa"/>
          </w:tcPr>
          <w:p w14:paraId="1FB72AF4" w14:textId="77777777" w:rsidR="00F16ED7" w:rsidRPr="00650B41" w:rsidRDefault="00F16ED7" w:rsidP="00F16ED7">
            <w:r>
              <w:t>MoU</w:t>
            </w:r>
          </w:p>
        </w:tc>
        <w:tc>
          <w:tcPr>
            <w:tcW w:w="4649" w:type="dxa"/>
          </w:tcPr>
          <w:p w14:paraId="50F78AE9" w14:textId="05D5A687" w:rsidR="00F16ED7" w:rsidRDefault="00F16ED7" w:rsidP="00F16ED7">
            <w:pPr>
              <w:jc w:val="center"/>
            </w:pPr>
            <w:r>
              <w:t>Legal Services</w:t>
            </w:r>
          </w:p>
        </w:tc>
        <w:tc>
          <w:tcPr>
            <w:tcW w:w="4650" w:type="dxa"/>
          </w:tcPr>
          <w:p w14:paraId="78F5E0CA" w14:textId="46A822EF" w:rsidR="00F16ED7" w:rsidRPr="0033044D" w:rsidRDefault="00F16ED7" w:rsidP="00F16ED7">
            <w:pPr>
              <w:rPr>
                <w:i/>
              </w:rPr>
            </w:pPr>
          </w:p>
        </w:tc>
      </w:tr>
      <w:tr w:rsidR="00F16ED7" w14:paraId="6A6A633C" w14:textId="77777777" w:rsidTr="00BD2FE7">
        <w:tc>
          <w:tcPr>
            <w:tcW w:w="4649" w:type="dxa"/>
          </w:tcPr>
          <w:p w14:paraId="018CAB06" w14:textId="77777777" w:rsidR="00F16ED7" w:rsidRPr="00650B41" w:rsidRDefault="00F16ED7" w:rsidP="00F16ED7">
            <w:r>
              <w:t>Other one-off arrangements</w:t>
            </w:r>
          </w:p>
        </w:tc>
        <w:tc>
          <w:tcPr>
            <w:tcW w:w="4649" w:type="dxa"/>
          </w:tcPr>
          <w:p w14:paraId="0C89C03A" w14:textId="77777777" w:rsidR="00F16ED7" w:rsidRDefault="00F16ED7" w:rsidP="00F16ED7">
            <w:pPr>
              <w:jc w:val="center"/>
            </w:pPr>
            <w:r>
              <w:t>Legal Services</w:t>
            </w:r>
          </w:p>
        </w:tc>
        <w:tc>
          <w:tcPr>
            <w:tcW w:w="4650" w:type="dxa"/>
          </w:tcPr>
          <w:p w14:paraId="1BA029A5" w14:textId="77777777" w:rsidR="00F16ED7" w:rsidRPr="0033044D" w:rsidRDefault="00F16ED7" w:rsidP="00F16ED7">
            <w:pPr>
              <w:jc w:val="center"/>
              <w:rPr>
                <w:i/>
              </w:rPr>
            </w:pPr>
          </w:p>
        </w:tc>
      </w:tr>
      <w:tr w:rsidR="00F16ED7" w14:paraId="5A5AB856" w14:textId="77777777" w:rsidTr="00BD2FE7">
        <w:tc>
          <w:tcPr>
            <w:tcW w:w="4649" w:type="dxa"/>
          </w:tcPr>
          <w:p w14:paraId="0E6DF783" w14:textId="77777777" w:rsidR="00F16ED7" w:rsidRPr="00650B41" w:rsidRDefault="00F16ED7" w:rsidP="00F16ED7">
            <w:r w:rsidRPr="00650B41">
              <w:t xml:space="preserve">Procurement </w:t>
            </w:r>
            <w:r>
              <w:t>matters</w:t>
            </w:r>
          </w:p>
        </w:tc>
        <w:tc>
          <w:tcPr>
            <w:tcW w:w="4649" w:type="dxa"/>
          </w:tcPr>
          <w:p w14:paraId="2BBD1E61" w14:textId="77777777" w:rsidR="00F16ED7" w:rsidRDefault="00F16ED7" w:rsidP="00F16ED7">
            <w:pPr>
              <w:jc w:val="center"/>
            </w:pPr>
            <w:r>
              <w:t>Legal Services</w:t>
            </w:r>
          </w:p>
        </w:tc>
        <w:tc>
          <w:tcPr>
            <w:tcW w:w="4650" w:type="dxa"/>
          </w:tcPr>
          <w:p w14:paraId="11433526" w14:textId="77777777" w:rsidR="00F16ED7" w:rsidRPr="0033044D" w:rsidRDefault="00F16ED7" w:rsidP="00F16ED7">
            <w:pPr>
              <w:jc w:val="center"/>
              <w:rPr>
                <w:i/>
              </w:rPr>
            </w:pPr>
          </w:p>
        </w:tc>
      </w:tr>
      <w:tr w:rsidR="00F16ED7" w14:paraId="47A7C77B" w14:textId="77777777" w:rsidTr="00BD2FE7">
        <w:tc>
          <w:tcPr>
            <w:tcW w:w="4649" w:type="dxa"/>
          </w:tcPr>
          <w:p w14:paraId="655EAAA9" w14:textId="77777777" w:rsidR="00F16ED7" w:rsidRPr="00650B41" w:rsidRDefault="00F16ED7" w:rsidP="00F16ED7">
            <w:r w:rsidRPr="00650B41">
              <w:t>Publications</w:t>
            </w:r>
          </w:p>
        </w:tc>
        <w:tc>
          <w:tcPr>
            <w:tcW w:w="4649" w:type="dxa"/>
          </w:tcPr>
          <w:p w14:paraId="7BC5F30D" w14:textId="77777777" w:rsidR="00F16ED7" w:rsidRDefault="00F16ED7" w:rsidP="00F16ED7">
            <w:pPr>
              <w:jc w:val="center"/>
            </w:pPr>
            <w:r>
              <w:t>Legal Services</w:t>
            </w:r>
          </w:p>
        </w:tc>
        <w:tc>
          <w:tcPr>
            <w:tcW w:w="4650" w:type="dxa"/>
          </w:tcPr>
          <w:p w14:paraId="740A3BDF" w14:textId="77777777" w:rsidR="00F16ED7" w:rsidRPr="0033044D" w:rsidRDefault="00F16ED7" w:rsidP="00F16ED7">
            <w:pPr>
              <w:jc w:val="center"/>
              <w:rPr>
                <w:i/>
              </w:rPr>
            </w:pPr>
          </w:p>
        </w:tc>
      </w:tr>
      <w:tr w:rsidR="00F16ED7" w14:paraId="3DC3948E" w14:textId="77777777" w:rsidTr="00BD2FE7">
        <w:tc>
          <w:tcPr>
            <w:tcW w:w="4649" w:type="dxa"/>
          </w:tcPr>
          <w:p w14:paraId="0A9CA210" w14:textId="77777777" w:rsidR="00F16ED7" w:rsidRPr="00650B41" w:rsidRDefault="00F16ED7" w:rsidP="00F16ED7">
            <w:r w:rsidRPr="00650B41">
              <w:t>Research Collaboration – Academic</w:t>
            </w:r>
          </w:p>
        </w:tc>
        <w:tc>
          <w:tcPr>
            <w:tcW w:w="4649" w:type="dxa"/>
          </w:tcPr>
          <w:p w14:paraId="3601F443" w14:textId="4555D79F" w:rsidR="00F16ED7" w:rsidRDefault="00F16ED7" w:rsidP="00F16ED7">
            <w:pPr>
              <w:jc w:val="center"/>
            </w:pPr>
            <w:r>
              <w:t xml:space="preserve">RSO Contracts </w:t>
            </w:r>
          </w:p>
        </w:tc>
        <w:tc>
          <w:tcPr>
            <w:tcW w:w="4650" w:type="dxa"/>
          </w:tcPr>
          <w:p w14:paraId="04048DE1" w14:textId="77777777" w:rsidR="00F16ED7" w:rsidRPr="0033044D" w:rsidRDefault="00F16ED7" w:rsidP="00F16ED7">
            <w:pPr>
              <w:rPr>
                <w:i/>
              </w:rPr>
            </w:pPr>
          </w:p>
        </w:tc>
      </w:tr>
      <w:tr w:rsidR="00F16ED7" w14:paraId="252FAC7B" w14:textId="77777777" w:rsidTr="00BD2FE7">
        <w:tc>
          <w:tcPr>
            <w:tcW w:w="4649" w:type="dxa"/>
          </w:tcPr>
          <w:p w14:paraId="1326DEAF" w14:textId="77777777" w:rsidR="00F16ED7" w:rsidRPr="00650B41" w:rsidRDefault="00F16ED7" w:rsidP="00F16ED7">
            <w:r w:rsidRPr="00650B41">
              <w:t>Research Col</w:t>
            </w:r>
            <w:r>
              <w:t>laboration – Industrial – non-EC funded</w:t>
            </w:r>
          </w:p>
        </w:tc>
        <w:tc>
          <w:tcPr>
            <w:tcW w:w="4649" w:type="dxa"/>
          </w:tcPr>
          <w:p w14:paraId="5539A3E8" w14:textId="258E7C9A" w:rsidR="00F16ED7" w:rsidRDefault="00F16ED7" w:rsidP="00F16ED7">
            <w:pPr>
              <w:jc w:val="center"/>
            </w:pPr>
            <w:r>
              <w:t xml:space="preserve">Legal Services </w:t>
            </w:r>
          </w:p>
        </w:tc>
        <w:tc>
          <w:tcPr>
            <w:tcW w:w="4650" w:type="dxa"/>
          </w:tcPr>
          <w:p w14:paraId="1F51EE4C" w14:textId="083B35BB" w:rsidR="00F16ED7" w:rsidRPr="0033044D" w:rsidRDefault="00F16ED7" w:rsidP="00F16ED7">
            <w:pPr>
              <w:rPr>
                <w:i/>
              </w:rPr>
            </w:pPr>
          </w:p>
        </w:tc>
      </w:tr>
      <w:tr w:rsidR="00F16ED7" w14:paraId="34EAD745" w14:textId="77777777" w:rsidTr="00BD2FE7">
        <w:tc>
          <w:tcPr>
            <w:tcW w:w="4649" w:type="dxa"/>
          </w:tcPr>
          <w:p w14:paraId="30F8C07A" w14:textId="6DC5B93E" w:rsidR="00F16ED7" w:rsidRPr="00650B41" w:rsidRDefault="00F16ED7" w:rsidP="00F16ED7">
            <w:r>
              <w:t>Research - c</w:t>
            </w:r>
            <w:r w:rsidRPr="00650B41">
              <w:t>ontract research</w:t>
            </w:r>
            <w:r>
              <w:t xml:space="preserve"> – being r</w:t>
            </w:r>
            <w:r w:rsidRPr="00650B41">
              <w:t>esearch</w:t>
            </w:r>
            <w:r>
              <w:t xml:space="preserve"> attended to by UoE only for a business customer paying a commercial price</w:t>
            </w:r>
          </w:p>
        </w:tc>
        <w:tc>
          <w:tcPr>
            <w:tcW w:w="4649" w:type="dxa"/>
          </w:tcPr>
          <w:p w14:paraId="51FCE156" w14:textId="1C6E24C6" w:rsidR="00F16ED7" w:rsidRDefault="00F16ED7" w:rsidP="00F16ED7">
            <w:pPr>
              <w:jc w:val="center"/>
            </w:pPr>
            <w:r>
              <w:t xml:space="preserve"> Legal Services</w:t>
            </w:r>
          </w:p>
        </w:tc>
        <w:tc>
          <w:tcPr>
            <w:tcW w:w="4650" w:type="dxa"/>
          </w:tcPr>
          <w:p w14:paraId="6D5D71FD" w14:textId="73AF793B" w:rsidR="00F16ED7" w:rsidRPr="0033044D" w:rsidRDefault="00F16ED7" w:rsidP="00F16ED7">
            <w:pPr>
              <w:rPr>
                <w:i/>
              </w:rPr>
            </w:pPr>
          </w:p>
        </w:tc>
      </w:tr>
      <w:tr w:rsidR="00F16ED7" w14:paraId="0D47CCF6" w14:textId="77777777" w:rsidTr="00BD2FE7">
        <w:tc>
          <w:tcPr>
            <w:tcW w:w="4649" w:type="dxa"/>
          </w:tcPr>
          <w:p w14:paraId="30513C52" w14:textId="77777777" w:rsidR="00F16ED7" w:rsidRPr="00650B41" w:rsidRDefault="00F16ED7" w:rsidP="00F16ED7">
            <w:r w:rsidRPr="00650B41">
              <w:t>Research – UoE only – grant funded</w:t>
            </w:r>
          </w:p>
        </w:tc>
        <w:tc>
          <w:tcPr>
            <w:tcW w:w="4649" w:type="dxa"/>
          </w:tcPr>
          <w:p w14:paraId="3783EFDB" w14:textId="00D278D9" w:rsidR="00F16ED7" w:rsidRDefault="00F16ED7" w:rsidP="00F16ED7">
            <w:pPr>
              <w:jc w:val="center"/>
            </w:pPr>
            <w:r>
              <w:t xml:space="preserve"> RSO Contracts </w:t>
            </w:r>
          </w:p>
        </w:tc>
        <w:tc>
          <w:tcPr>
            <w:tcW w:w="4650" w:type="dxa"/>
          </w:tcPr>
          <w:p w14:paraId="5B9564C5" w14:textId="3B48B4EA" w:rsidR="00F16ED7" w:rsidRPr="0033044D" w:rsidRDefault="00F16ED7" w:rsidP="00F16ED7">
            <w:pPr>
              <w:rPr>
                <w:i/>
              </w:rPr>
            </w:pPr>
            <w:r>
              <w:rPr>
                <w:i/>
              </w:rPr>
              <w:t>First port of call: the appropriate college-facing team in RSO</w:t>
            </w:r>
          </w:p>
        </w:tc>
      </w:tr>
      <w:tr w:rsidR="00F16ED7" w14:paraId="7D0D999F" w14:textId="77777777" w:rsidTr="00BD2FE7">
        <w:tc>
          <w:tcPr>
            <w:tcW w:w="4649" w:type="dxa"/>
          </w:tcPr>
          <w:p w14:paraId="38A34858" w14:textId="71F584F0" w:rsidR="00F16ED7" w:rsidRPr="00650B41" w:rsidRDefault="00F16ED7" w:rsidP="00F16ED7">
            <w:r>
              <w:t>Research – EC – see “EC Research above at</w:t>
            </w:r>
          </w:p>
        </w:tc>
        <w:tc>
          <w:tcPr>
            <w:tcW w:w="4649" w:type="dxa"/>
          </w:tcPr>
          <w:p w14:paraId="6B1B3B3F" w14:textId="6D4447DD" w:rsidR="00F16ED7" w:rsidRDefault="00F16ED7" w:rsidP="00F16ED7"/>
        </w:tc>
        <w:tc>
          <w:tcPr>
            <w:tcW w:w="4650" w:type="dxa"/>
          </w:tcPr>
          <w:p w14:paraId="0EBCD394" w14:textId="77777777" w:rsidR="00F16ED7" w:rsidRPr="0033044D" w:rsidRDefault="00F16ED7" w:rsidP="00F16ED7">
            <w:pPr>
              <w:rPr>
                <w:i/>
              </w:rPr>
            </w:pPr>
          </w:p>
        </w:tc>
      </w:tr>
      <w:tr w:rsidR="00F16ED7" w14:paraId="064B7F83" w14:textId="77777777" w:rsidTr="00BD2FE7">
        <w:tc>
          <w:tcPr>
            <w:tcW w:w="4649" w:type="dxa"/>
          </w:tcPr>
          <w:p w14:paraId="168EA25B" w14:textId="77777777" w:rsidR="00F16ED7" w:rsidRPr="00650B41" w:rsidRDefault="00F16ED7" w:rsidP="00F16ED7">
            <w:r w:rsidRPr="00650B41">
              <w:t>Revenue Sharing</w:t>
            </w:r>
          </w:p>
        </w:tc>
        <w:tc>
          <w:tcPr>
            <w:tcW w:w="4649" w:type="dxa"/>
          </w:tcPr>
          <w:p w14:paraId="78F73E3E" w14:textId="77777777" w:rsidR="00F16ED7" w:rsidRDefault="00F16ED7" w:rsidP="00F16ED7">
            <w:pPr>
              <w:jc w:val="center"/>
            </w:pPr>
            <w:r>
              <w:t>Legal Services</w:t>
            </w:r>
          </w:p>
        </w:tc>
        <w:tc>
          <w:tcPr>
            <w:tcW w:w="4650" w:type="dxa"/>
          </w:tcPr>
          <w:p w14:paraId="401BD1C6" w14:textId="64BFAD02" w:rsidR="00F16ED7" w:rsidRPr="0033044D" w:rsidRDefault="00F16ED7" w:rsidP="00F16ED7">
            <w:pPr>
              <w:rPr>
                <w:i/>
              </w:rPr>
            </w:pPr>
            <w:r w:rsidRPr="0033044D">
              <w:rPr>
                <w:i/>
              </w:rPr>
              <w:t>Straightforward arrangements are attended to by the TTO</w:t>
            </w:r>
            <w:r>
              <w:rPr>
                <w:i/>
              </w:rPr>
              <w:t>.</w:t>
            </w:r>
          </w:p>
        </w:tc>
      </w:tr>
      <w:tr w:rsidR="00F16ED7" w14:paraId="39094943" w14:textId="77777777" w:rsidTr="00BD2FE7">
        <w:tc>
          <w:tcPr>
            <w:tcW w:w="4649" w:type="dxa"/>
          </w:tcPr>
          <w:p w14:paraId="19676B41" w14:textId="590D9398" w:rsidR="00F16ED7" w:rsidRPr="00650B41" w:rsidRDefault="00F16ED7" w:rsidP="00F16ED7">
            <w:r w:rsidRPr="00650B41">
              <w:t>Spinout/</w:t>
            </w:r>
            <w:r>
              <w:t>start</w:t>
            </w:r>
            <w:r w:rsidRPr="00650B41">
              <w:t>up</w:t>
            </w:r>
          </w:p>
        </w:tc>
        <w:tc>
          <w:tcPr>
            <w:tcW w:w="4649" w:type="dxa"/>
          </w:tcPr>
          <w:p w14:paraId="2F8A6BF7" w14:textId="77777777" w:rsidR="00F16ED7" w:rsidRDefault="00F16ED7" w:rsidP="00F16ED7">
            <w:pPr>
              <w:jc w:val="center"/>
            </w:pPr>
            <w:r>
              <w:t xml:space="preserve">Legal Services </w:t>
            </w:r>
          </w:p>
        </w:tc>
        <w:tc>
          <w:tcPr>
            <w:tcW w:w="4650" w:type="dxa"/>
          </w:tcPr>
          <w:p w14:paraId="6C5CA3EA" w14:textId="77777777" w:rsidR="00F16ED7" w:rsidRPr="0033044D" w:rsidRDefault="00F16ED7" w:rsidP="00F16ED7">
            <w:pPr>
              <w:jc w:val="center"/>
              <w:rPr>
                <w:i/>
              </w:rPr>
            </w:pPr>
          </w:p>
        </w:tc>
      </w:tr>
      <w:tr w:rsidR="00F16ED7" w14:paraId="42EAD6ED" w14:textId="77777777" w:rsidTr="00BD2FE7">
        <w:tc>
          <w:tcPr>
            <w:tcW w:w="4649" w:type="dxa"/>
          </w:tcPr>
          <w:p w14:paraId="344C4F8E" w14:textId="77777777" w:rsidR="00F16ED7" w:rsidRPr="00650B41" w:rsidRDefault="00F16ED7" w:rsidP="00F16ED7">
            <w:r w:rsidRPr="00650B41">
              <w:t>Staff secondment</w:t>
            </w:r>
          </w:p>
        </w:tc>
        <w:tc>
          <w:tcPr>
            <w:tcW w:w="4649" w:type="dxa"/>
          </w:tcPr>
          <w:p w14:paraId="6E94C79C" w14:textId="1D298190" w:rsidR="00F16ED7" w:rsidRDefault="00F16ED7" w:rsidP="00F16ED7">
            <w:pPr>
              <w:jc w:val="center"/>
            </w:pPr>
            <w:r>
              <w:t>Legal Services</w:t>
            </w:r>
          </w:p>
        </w:tc>
        <w:tc>
          <w:tcPr>
            <w:tcW w:w="4650" w:type="dxa"/>
          </w:tcPr>
          <w:p w14:paraId="7ECE1439" w14:textId="3BB0A9F3" w:rsidR="00F16ED7" w:rsidRPr="0033044D" w:rsidRDefault="00F16ED7" w:rsidP="00F16ED7">
            <w:pPr>
              <w:rPr>
                <w:i/>
              </w:rPr>
            </w:pPr>
          </w:p>
        </w:tc>
      </w:tr>
      <w:tr w:rsidR="00F16ED7" w14:paraId="30B99ECF" w14:textId="77777777" w:rsidTr="00BD2FE7">
        <w:trPr>
          <w:trHeight w:val="372"/>
        </w:trPr>
        <w:tc>
          <w:tcPr>
            <w:tcW w:w="4649" w:type="dxa"/>
          </w:tcPr>
          <w:p w14:paraId="464424A1" w14:textId="77777777" w:rsidR="00F16ED7" w:rsidRPr="00650B41" w:rsidRDefault="00F16ED7" w:rsidP="00F16ED7">
            <w:r w:rsidRPr="00650B41">
              <w:t xml:space="preserve">Studentship </w:t>
            </w:r>
          </w:p>
        </w:tc>
        <w:tc>
          <w:tcPr>
            <w:tcW w:w="4649" w:type="dxa"/>
          </w:tcPr>
          <w:p w14:paraId="3F3E08DC" w14:textId="6AEEC9B2" w:rsidR="00F16ED7" w:rsidRDefault="00F16ED7" w:rsidP="00F16ED7">
            <w:pPr>
              <w:jc w:val="center"/>
            </w:pPr>
            <w:r>
              <w:t xml:space="preserve">RSO Contracts </w:t>
            </w:r>
          </w:p>
        </w:tc>
        <w:tc>
          <w:tcPr>
            <w:tcW w:w="4650" w:type="dxa"/>
          </w:tcPr>
          <w:p w14:paraId="49E6A7A1" w14:textId="188AF6EA" w:rsidR="00F16ED7" w:rsidRPr="0033044D" w:rsidRDefault="00F16ED7" w:rsidP="00F16ED7">
            <w:pPr>
              <w:rPr>
                <w:i/>
              </w:rPr>
            </w:pPr>
            <w:r>
              <w:rPr>
                <w:i/>
              </w:rPr>
              <w:t xml:space="preserve">Note that Student Assignations of IP are part and parcel of </w:t>
            </w:r>
            <w:r w:rsidRPr="00A529EA">
              <w:rPr>
                <w:i/>
              </w:rPr>
              <w:t>studentships and are dealt with by RSO Contracts – see “Student Assignations of IP” below</w:t>
            </w:r>
          </w:p>
        </w:tc>
      </w:tr>
      <w:tr w:rsidR="00F16ED7" w14:paraId="15A921B4" w14:textId="77777777" w:rsidTr="00BD2FE7">
        <w:trPr>
          <w:trHeight w:val="372"/>
        </w:trPr>
        <w:tc>
          <w:tcPr>
            <w:tcW w:w="4649" w:type="dxa"/>
          </w:tcPr>
          <w:p w14:paraId="1C44118E" w14:textId="6968B067" w:rsidR="00F16ED7" w:rsidRPr="00650B41" w:rsidRDefault="00F16ED7" w:rsidP="00F16ED7">
            <w:r>
              <w:t xml:space="preserve">Student Assignations of IP </w:t>
            </w:r>
          </w:p>
        </w:tc>
        <w:tc>
          <w:tcPr>
            <w:tcW w:w="4649" w:type="dxa"/>
          </w:tcPr>
          <w:p w14:paraId="0854BC9D" w14:textId="77777777" w:rsidR="00F16ED7" w:rsidRDefault="00F16ED7" w:rsidP="00F16ED7">
            <w:pPr>
              <w:jc w:val="center"/>
            </w:pPr>
            <w:r>
              <w:t xml:space="preserve">RSO Contracts </w:t>
            </w:r>
          </w:p>
          <w:p w14:paraId="7A624774" w14:textId="77777777" w:rsidR="00F16ED7" w:rsidRDefault="00F16ED7" w:rsidP="00F16ED7">
            <w:pPr>
              <w:jc w:val="center"/>
            </w:pPr>
          </w:p>
        </w:tc>
        <w:tc>
          <w:tcPr>
            <w:tcW w:w="4650" w:type="dxa"/>
          </w:tcPr>
          <w:p w14:paraId="2CE58ABB" w14:textId="77777777" w:rsidR="00F16ED7" w:rsidRDefault="00F16ED7" w:rsidP="00F16ED7">
            <w:pPr>
              <w:rPr>
                <w:i/>
              </w:rPr>
            </w:pPr>
            <w:r>
              <w:rPr>
                <w:i/>
              </w:rPr>
              <w:t>These documents often include confidentiality obligations and are dealt with by RSO Contracts as part and parcel of their studentships remit.</w:t>
            </w:r>
          </w:p>
          <w:p w14:paraId="275C294C" w14:textId="33A09896" w:rsidR="00F16ED7" w:rsidRDefault="00F16ED7" w:rsidP="00F16ED7">
            <w:pPr>
              <w:rPr>
                <w:i/>
              </w:rPr>
            </w:pPr>
            <w:r>
              <w:rPr>
                <w:i/>
              </w:rPr>
              <w:t>Now and again students will transfer IP to the University solely to assist with a patenting matter, a technology transfer deal or a company spin-out being attended to by EI. In these cases RSO Contracts should pass responsibility for attending to the assignation in question to EI Contracts</w:t>
            </w:r>
          </w:p>
        </w:tc>
      </w:tr>
      <w:tr w:rsidR="00F16ED7" w14:paraId="14EC85D8" w14:textId="77777777" w:rsidTr="00BD2FE7">
        <w:tc>
          <w:tcPr>
            <w:tcW w:w="4649" w:type="dxa"/>
          </w:tcPr>
          <w:p w14:paraId="5C0E4470" w14:textId="5A41E4BB" w:rsidR="00F16ED7" w:rsidRPr="00650B41" w:rsidRDefault="00F16ED7" w:rsidP="00F16ED7">
            <w:r w:rsidRPr="00650B41">
              <w:t>Transfer of Contracts</w:t>
            </w:r>
            <w:r>
              <w:t xml:space="preserve"> (other than is relation to transfer of grants – for which see below)</w:t>
            </w:r>
          </w:p>
        </w:tc>
        <w:tc>
          <w:tcPr>
            <w:tcW w:w="4649" w:type="dxa"/>
          </w:tcPr>
          <w:p w14:paraId="0D3FE32D" w14:textId="0E567D0C" w:rsidR="00F16ED7" w:rsidRDefault="00F16ED7" w:rsidP="00F16ED7">
            <w:pPr>
              <w:jc w:val="center"/>
            </w:pPr>
            <w:r>
              <w:t>Legal Services</w:t>
            </w:r>
          </w:p>
        </w:tc>
        <w:tc>
          <w:tcPr>
            <w:tcW w:w="4650" w:type="dxa"/>
          </w:tcPr>
          <w:p w14:paraId="3EDBE4FD" w14:textId="25AFD3D1" w:rsidR="00F16ED7" w:rsidRPr="0033044D" w:rsidRDefault="00F16ED7" w:rsidP="00F16ED7">
            <w:pPr>
              <w:rPr>
                <w:i/>
              </w:rPr>
            </w:pPr>
          </w:p>
        </w:tc>
      </w:tr>
      <w:tr w:rsidR="00F16ED7" w14:paraId="2989EFEF" w14:textId="77777777" w:rsidTr="00BD2FE7">
        <w:tc>
          <w:tcPr>
            <w:tcW w:w="4649" w:type="dxa"/>
          </w:tcPr>
          <w:p w14:paraId="776FB467" w14:textId="4C9B5A15" w:rsidR="00F16ED7" w:rsidRPr="00650B41" w:rsidRDefault="00F16ED7" w:rsidP="00F16ED7">
            <w:r>
              <w:t>Transfer of Grants</w:t>
            </w:r>
          </w:p>
        </w:tc>
        <w:tc>
          <w:tcPr>
            <w:tcW w:w="4649" w:type="dxa"/>
          </w:tcPr>
          <w:p w14:paraId="1368C6F6" w14:textId="0B74E31D" w:rsidR="00F16ED7" w:rsidRDefault="00F16ED7" w:rsidP="00F16ED7">
            <w:pPr>
              <w:jc w:val="center"/>
            </w:pPr>
            <w:r>
              <w:t xml:space="preserve">RSO Contracts </w:t>
            </w:r>
          </w:p>
        </w:tc>
        <w:tc>
          <w:tcPr>
            <w:tcW w:w="4650" w:type="dxa"/>
          </w:tcPr>
          <w:p w14:paraId="35A58271" w14:textId="77777777" w:rsidR="00F16ED7" w:rsidRPr="0033044D" w:rsidRDefault="00F16ED7" w:rsidP="00F16ED7">
            <w:pPr>
              <w:rPr>
                <w:i/>
              </w:rPr>
            </w:pPr>
          </w:p>
        </w:tc>
      </w:tr>
    </w:tbl>
    <w:p w14:paraId="7D676AF5" w14:textId="77777777" w:rsidR="007E391B" w:rsidRDefault="007E391B" w:rsidP="005F18CD">
      <w:pPr>
        <w:tabs>
          <w:tab w:val="left" w:pos="6469"/>
        </w:tabs>
      </w:pPr>
    </w:p>
    <w:p w14:paraId="2D2C8BD2" w14:textId="77777777" w:rsidR="00F949B9" w:rsidRDefault="00F949B9" w:rsidP="00F949B9">
      <w:pPr>
        <w:rPr>
          <w:b/>
        </w:rPr>
      </w:pPr>
      <w:r>
        <w:rPr>
          <w:b/>
        </w:rPr>
        <w:t>General guidance</w:t>
      </w:r>
    </w:p>
    <w:p w14:paraId="20FCB0C3" w14:textId="77777777" w:rsidR="00F949B9" w:rsidRPr="00EA12BF" w:rsidRDefault="00F949B9" w:rsidP="00F949B9">
      <w:pPr>
        <w:pStyle w:val="ListParagraph"/>
        <w:numPr>
          <w:ilvl w:val="0"/>
          <w:numId w:val="3"/>
        </w:numPr>
        <w:rPr>
          <w:b/>
        </w:rPr>
      </w:pPr>
      <w:r>
        <w:rPr>
          <w:b/>
        </w:rPr>
        <w:t>First port of call</w:t>
      </w:r>
    </w:p>
    <w:p w14:paraId="1915E888" w14:textId="77777777" w:rsidR="00F949B9" w:rsidRPr="00EA12BF" w:rsidRDefault="00F949B9" w:rsidP="00F949B9">
      <w:pPr>
        <w:ind w:left="720"/>
        <w:rPr>
          <w:b/>
        </w:rPr>
      </w:pPr>
      <w:r w:rsidRPr="00A529EA">
        <w:rPr>
          <w:b/>
        </w:rPr>
        <w:t xml:space="preserve">RSO </w:t>
      </w:r>
      <w:r>
        <w:t xml:space="preserve">has research as its main area of activity. RSO is to refer its initial contractual requirements to </w:t>
      </w:r>
      <w:r w:rsidRPr="00E97660">
        <w:rPr>
          <w:b/>
        </w:rPr>
        <w:t>RSO Contracts</w:t>
      </w:r>
      <w:r>
        <w:t xml:space="preserve">. </w:t>
      </w:r>
    </w:p>
    <w:p w14:paraId="78866C04" w14:textId="0F9EF71B" w:rsidR="00F949B9" w:rsidRDefault="00F949B9" w:rsidP="00F949B9">
      <w:pPr>
        <w:ind w:left="720"/>
      </w:pPr>
      <w:r w:rsidRPr="00A529EA">
        <w:rPr>
          <w:b/>
        </w:rPr>
        <w:t>EI’s</w:t>
      </w:r>
      <w:r>
        <w:t xml:space="preserve"> primary responsibilities relate to money-making business activities such as Consultancy, Technology Transfer, Business Development and Company Formation. EI BDEs (and all other BDEs across the University ) are to refer their contractual requirements to:</w:t>
      </w:r>
    </w:p>
    <w:p w14:paraId="57EAC1A6" w14:textId="586F74A2" w:rsidR="00F949B9" w:rsidRDefault="0017344F" w:rsidP="00F949B9">
      <w:pPr>
        <w:pStyle w:val="ListParagraph"/>
        <w:numPr>
          <w:ilvl w:val="0"/>
          <w:numId w:val="7"/>
        </w:numPr>
      </w:pPr>
      <w:r>
        <w:rPr>
          <w:b/>
        </w:rPr>
        <w:t>EI Contracts</w:t>
      </w:r>
      <w:r w:rsidR="00F949B9">
        <w:t xml:space="preserve"> for Confidentiality, Consultancy and Assignations of IP matters;</w:t>
      </w:r>
    </w:p>
    <w:p w14:paraId="6413E23B" w14:textId="77777777" w:rsidR="00F949B9" w:rsidRDefault="00F949B9" w:rsidP="00F949B9">
      <w:pPr>
        <w:pStyle w:val="ListParagraph"/>
        <w:numPr>
          <w:ilvl w:val="0"/>
          <w:numId w:val="7"/>
        </w:numPr>
      </w:pPr>
      <w:r w:rsidRPr="00E97660">
        <w:rPr>
          <w:b/>
        </w:rPr>
        <w:t>Legal Services</w:t>
      </w:r>
      <w:r>
        <w:t xml:space="preserve"> for all other matters such as industry partnerships, technology licensing, company formation</w:t>
      </w:r>
    </w:p>
    <w:p w14:paraId="69DAE4F9" w14:textId="77777777" w:rsidR="00F949B9" w:rsidRDefault="00F949B9" w:rsidP="00F949B9">
      <w:pPr>
        <w:pStyle w:val="ListParagraph"/>
        <w:ind w:left="1440"/>
      </w:pPr>
    </w:p>
    <w:p w14:paraId="0D8F01BF" w14:textId="77777777" w:rsidR="00F949B9" w:rsidRDefault="00F949B9" w:rsidP="00F949B9">
      <w:pPr>
        <w:pStyle w:val="ListParagraph"/>
        <w:numPr>
          <w:ilvl w:val="0"/>
          <w:numId w:val="3"/>
        </w:numPr>
        <w:rPr>
          <w:b/>
        </w:rPr>
      </w:pPr>
      <w:r w:rsidRPr="00EA12BF">
        <w:rPr>
          <w:b/>
        </w:rPr>
        <w:t>Activit</w:t>
      </w:r>
      <w:r>
        <w:rPr>
          <w:b/>
        </w:rPr>
        <w:t>i</w:t>
      </w:r>
      <w:r w:rsidRPr="00EA12BF">
        <w:rPr>
          <w:b/>
        </w:rPr>
        <w:t>es at the margins</w:t>
      </w:r>
    </w:p>
    <w:p w14:paraId="4242B555" w14:textId="77777777" w:rsidR="00F949B9" w:rsidRDefault="00F949B9" w:rsidP="00F949B9">
      <w:pPr>
        <w:pStyle w:val="ListParagraph"/>
        <w:rPr>
          <w:b/>
        </w:rPr>
      </w:pPr>
    </w:p>
    <w:p w14:paraId="14335985" w14:textId="77777777" w:rsidR="00F949B9" w:rsidRDefault="00F949B9" w:rsidP="00F949B9">
      <w:pPr>
        <w:pStyle w:val="ListParagraph"/>
      </w:pPr>
      <w:r>
        <w:t>There can be a lack of clarity at the margin between research and business transactions. To resolve these consider:</w:t>
      </w:r>
    </w:p>
    <w:p w14:paraId="10FDFC6A" w14:textId="77777777" w:rsidR="00F949B9" w:rsidRDefault="00F949B9" w:rsidP="00F949B9">
      <w:pPr>
        <w:pStyle w:val="ListParagraph"/>
      </w:pPr>
    </w:p>
    <w:p w14:paraId="7AC931B7" w14:textId="77777777" w:rsidR="00F949B9" w:rsidRPr="00F91AC3" w:rsidRDefault="00F949B9" w:rsidP="00F949B9">
      <w:pPr>
        <w:pStyle w:val="ListParagraph"/>
        <w:numPr>
          <w:ilvl w:val="0"/>
          <w:numId w:val="4"/>
        </w:numPr>
        <w:rPr>
          <w:b/>
        </w:rPr>
      </w:pPr>
      <w:r>
        <w:t>if the outcome of discussions is research for the public good, RSO and RSO Contracts should be the first port of call;</w:t>
      </w:r>
    </w:p>
    <w:p w14:paraId="13853710" w14:textId="43021880" w:rsidR="00F949B9" w:rsidRPr="00A529EA" w:rsidRDefault="00F949B9" w:rsidP="00F949B9">
      <w:pPr>
        <w:pStyle w:val="ListParagraph"/>
        <w:numPr>
          <w:ilvl w:val="0"/>
          <w:numId w:val="4"/>
        </w:numPr>
        <w:rPr>
          <w:b/>
        </w:rPr>
      </w:pPr>
      <w:r>
        <w:t xml:space="preserve">if the outcome of discussions is research as part of a money-making business transaction for UoE, EI and </w:t>
      </w:r>
      <w:r w:rsidR="0017344F">
        <w:t>EI Contracts</w:t>
      </w:r>
      <w:r>
        <w:t xml:space="preserve"> should be the first port of call; </w:t>
      </w:r>
    </w:p>
    <w:p w14:paraId="789E24C5" w14:textId="77777777" w:rsidR="00F949B9" w:rsidRPr="00A529EA" w:rsidRDefault="00F949B9" w:rsidP="00F949B9">
      <w:pPr>
        <w:ind w:left="720"/>
        <w:rPr>
          <w:b/>
        </w:rPr>
      </w:pPr>
      <w:r>
        <w:t>Similarly:</w:t>
      </w:r>
    </w:p>
    <w:p w14:paraId="65F5901A" w14:textId="4272C955" w:rsidR="00F949B9" w:rsidRPr="00F91AC3" w:rsidRDefault="00F949B9" w:rsidP="00F949B9">
      <w:pPr>
        <w:pStyle w:val="ListParagraph"/>
        <w:numPr>
          <w:ilvl w:val="0"/>
          <w:numId w:val="4"/>
        </w:numPr>
        <w:rPr>
          <w:b/>
        </w:rPr>
      </w:pPr>
      <w:r>
        <w:t xml:space="preserve">if the funding is from business </w:t>
      </w:r>
      <w:r w:rsidR="0017344F">
        <w:t>EI Contracts</w:t>
      </w:r>
      <w:r w:rsidRPr="006810B0">
        <w:t xml:space="preserve"> </w:t>
      </w:r>
      <w:r>
        <w:t xml:space="preserve">should be the first port of call; </w:t>
      </w:r>
    </w:p>
    <w:p w14:paraId="18A61D13" w14:textId="77777777" w:rsidR="00F949B9" w:rsidRPr="00A529EA" w:rsidRDefault="00F949B9" w:rsidP="00F949B9">
      <w:pPr>
        <w:pStyle w:val="ListParagraph"/>
        <w:numPr>
          <w:ilvl w:val="0"/>
          <w:numId w:val="4"/>
        </w:numPr>
        <w:rPr>
          <w:b/>
        </w:rPr>
      </w:pPr>
      <w:r>
        <w:t>if the funding is from a grant, or the University is self-funding then RSO Contracts should be the first port of call.</w:t>
      </w:r>
    </w:p>
    <w:p w14:paraId="37B61D65" w14:textId="77777777" w:rsidR="00F949B9" w:rsidRDefault="00F949B9" w:rsidP="00F949B9">
      <w:pPr>
        <w:pStyle w:val="ListParagraph"/>
      </w:pPr>
    </w:p>
    <w:p w14:paraId="60928E12" w14:textId="77777777" w:rsidR="00F949B9" w:rsidRDefault="00F949B9" w:rsidP="00F949B9">
      <w:pPr>
        <w:pStyle w:val="ListParagraph"/>
      </w:pPr>
      <w:r>
        <w:t>And, re clinical trials:</w:t>
      </w:r>
    </w:p>
    <w:p w14:paraId="71613555" w14:textId="77777777" w:rsidR="00F949B9" w:rsidRPr="004B720E" w:rsidRDefault="00F949B9" w:rsidP="00F949B9">
      <w:pPr>
        <w:pStyle w:val="ListParagraph"/>
        <w:rPr>
          <w:b/>
        </w:rPr>
      </w:pPr>
    </w:p>
    <w:p w14:paraId="3947F431" w14:textId="77777777" w:rsidR="00F949B9" w:rsidRPr="00A529EA" w:rsidRDefault="00F949B9" w:rsidP="00F949B9">
      <w:pPr>
        <w:pStyle w:val="ListParagraph"/>
        <w:numPr>
          <w:ilvl w:val="0"/>
          <w:numId w:val="4"/>
        </w:numPr>
        <w:rPr>
          <w:b/>
        </w:rPr>
      </w:pPr>
      <w:r>
        <w:t>RSO Contracts should be made aware if there is a clinical trial aspect to the transaction (due to their role in managing clinical trial contracts)</w:t>
      </w:r>
    </w:p>
    <w:p w14:paraId="186FCE73" w14:textId="77777777" w:rsidR="00F949B9" w:rsidRPr="00EA12BF" w:rsidRDefault="00F949B9" w:rsidP="00F949B9">
      <w:pPr>
        <w:pStyle w:val="ListParagraph"/>
        <w:ind w:left="1484"/>
        <w:rPr>
          <w:b/>
        </w:rPr>
      </w:pPr>
    </w:p>
    <w:p w14:paraId="5551A923" w14:textId="3E269274" w:rsidR="00F949B9" w:rsidRPr="00F949B9" w:rsidRDefault="00F949B9" w:rsidP="00F949B9">
      <w:pPr>
        <w:pStyle w:val="ListParagraph"/>
        <w:numPr>
          <w:ilvl w:val="0"/>
          <w:numId w:val="3"/>
        </w:numPr>
        <w:rPr>
          <w:b/>
        </w:rPr>
      </w:pPr>
      <w:r>
        <w:rPr>
          <w:b/>
        </w:rPr>
        <w:t>Passing on work between teams</w:t>
      </w:r>
    </w:p>
    <w:p w14:paraId="37411CD8" w14:textId="1ED86F10" w:rsidR="007E391B" w:rsidRDefault="00F949B9" w:rsidP="00F949B9">
      <w:pPr>
        <w:tabs>
          <w:tab w:val="left" w:pos="6469"/>
        </w:tabs>
      </w:pPr>
      <w:r>
        <w:t xml:space="preserve">There is only </w:t>
      </w:r>
      <w:r w:rsidRPr="00A529EA">
        <w:t xml:space="preserve">one team mentioned in the Responsibility column </w:t>
      </w:r>
      <w:r>
        <w:t>for each activity</w:t>
      </w:r>
      <w:r w:rsidRPr="00A529EA">
        <w:t xml:space="preserve">. This means that now and again teams will receive instructions which are nor really for them given the </w:t>
      </w:r>
      <w:r>
        <w:t xml:space="preserve">underlying deal. In these circumstances </w:t>
      </w:r>
      <w:r w:rsidRPr="00A529EA">
        <w:t>receiving the instruction should quickly pass the instruction on to the</w:t>
      </w:r>
      <w:r>
        <w:t xml:space="preserve"> correct team and the correct team</w:t>
      </w:r>
      <w:r w:rsidRPr="00A529EA">
        <w:t xml:space="preserve"> should immediately correspond with the user and accept the transfer of responsibility.</w:t>
      </w:r>
    </w:p>
    <w:p w14:paraId="63E3A9AE" w14:textId="77777777" w:rsidR="00F949B9" w:rsidRDefault="00F949B9" w:rsidP="005F18CD">
      <w:pPr>
        <w:tabs>
          <w:tab w:val="left" w:pos="6469"/>
        </w:tabs>
      </w:pPr>
    </w:p>
    <w:p w14:paraId="50E0E766" w14:textId="77777777" w:rsidR="007A184C" w:rsidRDefault="007A184C" w:rsidP="005F18CD">
      <w:pPr>
        <w:tabs>
          <w:tab w:val="left" w:pos="6469"/>
        </w:tabs>
      </w:pPr>
    </w:p>
    <w:p w14:paraId="2D4AA541" w14:textId="70298DA1" w:rsidR="00A83E0F" w:rsidRDefault="005F18CD" w:rsidP="007A184C">
      <w:pPr>
        <w:tabs>
          <w:tab w:val="left" w:pos="6469"/>
        </w:tabs>
        <w:spacing w:after="0"/>
      </w:pPr>
      <w:r>
        <w:t>N</w:t>
      </w:r>
      <w:r w:rsidR="00A83E0F">
        <w:t>ote prepared by</w:t>
      </w:r>
      <w:r w:rsidR="00A529EA">
        <w:t xml:space="preserve"> </w:t>
      </w:r>
      <w:r w:rsidR="0017344F">
        <w:t>EI Contracts</w:t>
      </w:r>
      <w:r w:rsidR="00A529EA">
        <w:t xml:space="preserve">, Legal Services </w:t>
      </w:r>
      <w:r w:rsidR="00A83E0F">
        <w:t xml:space="preserve">and RSO Contracts </w:t>
      </w:r>
    </w:p>
    <w:p w14:paraId="443E3A5C" w14:textId="1F985FF3" w:rsidR="00A75EFE" w:rsidRDefault="0017344F">
      <w:r>
        <w:t>1</w:t>
      </w:r>
      <w:r w:rsidR="00DA5EAA">
        <w:t>4</w:t>
      </w:r>
      <w:bookmarkStart w:id="0" w:name="_GoBack"/>
      <w:bookmarkEnd w:id="0"/>
      <w:r>
        <w:t xml:space="preserve"> February 2018</w:t>
      </w:r>
    </w:p>
    <w:sectPr w:rsidR="00A75EFE" w:rsidSect="002341DD">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456F0" w16cid:durableId="1E158A41"/>
  <w16cid:commentId w16cid:paraId="3E0A00ED" w16cid:durableId="1E158A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BC16" w14:textId="77777777" w:rsidR="00E85E51" w:rsidRDefault="00E85E51">
      <w:pPr>
        <w:spacing w:after="0" w:line="240" w:lineRule="auto"/>
      </w:pPr>
      <w:r>
        <w:separator/>
      </w:r>
    </w:p>
  </w:endnote>
  <w:endnote w:type="continuationSeparator" w:id="0">
    <w:p w14:paraId="7B4ABC7C" w14:textId="77777777" w:rsidR="00E85E51" w:rsidRDefault="00E8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99F0" w14:textId="09FF2DFF" w:rsidR="003C297E" w:rsidRDefault="00210814">
    <w:pPr>
      <w:pStyle w:val="Footer"/>
      <w:rPr>
        <w:noProof/>
      </w:rPr>
    </w:pPr>
    <w:fldSimple w:instr=" FILENAME   \* MERGEFORMAT ">
      <w:r w:rsidR="00325F69">
        <w:rPr>
          <w:noProof/>
        </w:rPr>
        <w:t xml:space="preserve">Responsibility for Allocation of Legal and Contractual Work - Public </w:t>
      </w:r>
      <w:r w:rsidR="007A604C">
        <w:rPr>
          <w:noProof/>
        </w:rPr>
        <w:t xml:space="preserve">3 October </w:t>
      </w:r>
      <w:r w:rsidR="00325F69">
        <w:rPr>
          <w:noProof/>
        </w:rPr>
        <w:t>2017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0C1B" w14:textId="77777777" w:rsidR="00E85E51" w:rsidRDefault="00E85E51">
      <w:pPr>
        <w:spacing w:after="0" w:line="240" w:lineRule="auto"/>
      </w:pPr>
      <w:r>
        <w:separator/>
      </w:r>
    </w:p>
  </w:footnote>
  <w:footnote w:type="continuationSeparator" w:id="0">
    <w:p w14:paraId="5E704484" w14:textId="77777777" w:rsidR="00E85E51" w:rsidRDefault="00E85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2322"/>
    <w:multiLevelType w:val="hybridMultilevel"/>
    <w:tmpl w:val="04AA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D0710"/>
    <w:multiLevelType w:val="hybridMultilevel"/>
    <w:tmpl w:val="0EDA397C"/>
    <w:lvl w:ilvl="0" w:tplc="E9D2A40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C111C"/>
    <w:multiLevelType w:val="hybridMultilevel"/>
    <w:tmpl w:val="5694E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70276"/>
    <w:multiLevelType w:val="hybridMultilevel"/>
    <w:tmpl w:val="343AECA8"/>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4" w15:restartNumberingAfterBreak="0">
    <w:nsid w:val="559B6D7A"/>
    <w:multiLevelType w:val="hybridMultilevel"/>
    <w:tmpl w:val="E76E1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D380B"/>
    <w:multiLevelType w:val="hybridMultilevel"/>
    <w:tmpl w:val="9762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C2ED1"/>
    <w:multiLevelType w:val="hybridMultilevel"/>
    <w:tmpl w:val="671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7255A"/>
    <w:multiLevelType w:val="hybridMultilevel"/>
    <w:tmpl w:val="2C86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F3817"/>
    <w:multiLevelType w:val="hybridMultilevel"/>
    <w:tmpl w:val="05C0F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0F"/>
    <w:rsid w:val="00007A15"/>
    <w:rsid w:val="000325F2"/>
    <w:rsid w:val="00057F91"/>
    <w:rsid w:val="0008310D"/>
    <w:rsid w:val="000B3106"/>
    <w:rsid w:val="000F4BDB"/>
    <w:rsid w:val="0013432F"/>
    <w:rsid w:val="0017344F"/>
    <w:rsid w:val="00210814"/>
    <w:rsid w:val="002A4B4E"/>
    <w:rsid w:val="002E4D79"/>
    <w:rsid w:val="00324939"/>
    <w:rsid w:val="00325F69"/>
    <w:rsid w:val="0033044D"/>
    <w:rsid w:val="00367ED2"/>
    <w:rsid w:val="003C2F7E"/>
    <w:rsid w:val="003E6578"/>
    <w:rsid w:val="004009A8"/>
    <w:rsid w:val="00427612"/>
    <w:rsid w:val="00442202"/>
    <w:rsid w:val="0045550B"/>
    <w:rsid w:val="0048098B"/>
    <w:rsid w:val="004B720E"/>
    <w:rsid w:val="004E7D15"/>
    <w:rsid w:val="005379F5"/>
    <w:rsid w:val="0057591A"/>
    <w:rsid w:val="005A2B3B"/>
    <w:rsid w:val="005A3AE6"/>
    <w:rsid w:val="005C0909"/>
    <w:rsid w:val="005C1A09"/>
    <w:rsid w:val="005F18CD"/>
    <w:rsid w:val="006025EB"/>
    <w:rsid w:val="006603B7"/>
    <w:rsid w:val="00666E55"/>
    <w:rsid w:val="0067572D"/>
    <w:rsid w:val="006810B0"/>
    <w:rsid w:val="006C36BA"/>
    <w:rsid w:val="007067A0"/>
    <w:rsid w:val="007A184C"/>
    <w:rsid w:val="007A604C"/>
    <w:rsid w:val="007E391B"/>
    <w:rsid w:val="00817A0A"/>
    <w:rsid w:val="0085580D"/>
    <w:rsid w:val="00860ED2"/>
    <w:rsid w:val="00884585"/>
    <w:rsid w:val="008A1D5D"/>
    <w:rsid w:val="00951912"/>
    <w:rsid w:val="009662CB"/>
    <w:rsid w:val="00A338AC"/>
    <w:rsid w:val="00A41983"/>
    <w:rsid w:val="00A529EA"/>
    <w:rsid w:val="00A57581"/>
    <w:rsid w:val="00A75EFE"/>
    <w:rsid w:val="00A83E0F"/>
    <w:rsid w:val="00AC7027"/>
    <w:rsid w:val="00B863AA"/>
    <w:rsid w:val="00B871AD"/>
    <w:rsid w:val="00C105E2"/>
    <w:rsid w:val="00C94A69"/>
    <w:rsid w:val="00CC7182"/>
    <w:rsid w:val="00D36963"/>
    <w:rsid w:val="00D4251B"/>
    <w:rsid w:val="00D849AC"/>
    <w:rsid w:val="00DA5EAA"/>
    <w:rsid w:val="00DC1E16"/>
    <w:rsid w:val="00DF75DB"/>
    <w:rsid w:val="00E0007F"/>
    <w:rsid w:val="00E85E51"/>
    <w:rsid w:val="00E97660"/>
    <w:rsid w:val="00EA12BF"/>
    <w:rsid w:val="00EE5FC4"/>
    <w:rsid w:val="00EF1052"/>
    <w:rsid w:val="00F10FBC"/>
    <w:rsid w:val="00F16ED7"/>
    <w:rsid w:val="00F23837"/>
    <w:rsid w:val="00F455CF"/>
    <w:rsid w:val="00F91AC3"/>
    <w:rsid w:val="00F949B9"/>
    <w:rsid w:val="00FE046A"/>
    <w:rsid w:val="00FF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57B50F"/>
  <w15:chartTrackingRefBased/>
  <w15:docId w15:val="{9AFD6CC5-EA3C-4E1A-ADC3-84D9D5E0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0F"/>
    <w:pPr>
      <w:spacing w:after="200" w:line="276" w:lineRule="auto"/>
    </w:pPr>
  </w:style>
  <w:style w:type="paragraph" w:styleId="Heading2">
    <w:name w:val="heading 2"/>
    <w:basedOn w:val="Normal"/>
    <w:next w:val="Normal"/>
    <w:link w:val="Heading2Char"/>
    <w:uiPriority w:val="9"/>
    <w:unhideWhenUsed/>
    <w:qFormat/>
    <w:rsid w:val="005A2B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0F"/>
    <w:pPr>
      <w:ind w:left="720"/>
      <w:contextualSpacing/>
    </w:pPr>
  </w:style>
  <w:style w:type="paragraph" w:styleId="Header">
    <w:name w:val="header"/>
    <w:basedOn w:val="Normal"/>
    <w:link w:val="HeaderChar"/>
    <w:uiPriority w:val="99"/>
    <w:unhideWhenUsed/>
    <w:rsid w:val="00A83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0F"/>
  </w:style>
  <w:style w:type="paragraph" w:styleId="Footer">
    <w:name w:val="footer"/>
    <w:basedOn w:val="Normal"/>
    <w:link w:val="FooterChar"/>
    <w:uiPriority w:val="99"/>
    <w:unhideWhenUsed/>
    <w:rsid w:val="00A83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0F"/>
  </w:style>
  <w:style w:type="table" w:styleId="TableGrid">
    <w:name w:val="Table Grid"/>
    <w:basedOn w:val="TableNormal"/>
    <w:uiPriority w:val="59"/>
    <w:rsid w:val="00A8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10D"/>
    <w:rPr>
      <w:sz w:val="16"/>
      <w:szCs w:val="16"/>
    </w:rPr>
  </w:style>
  <w:style w:type="paragraph" w:styleId="CommentText">
    <w:name w:val="annotation text"/>
    <w:basedOn w:val="Normal"/>
    <w:link w:val="CommentTextChar"/>
    <w:uiPriority w:val="99"/>
    <w:semiHidden/>
    <w:unhideWhenUsed/>
    <w:rsid w:val="0008310D"/>
    <w:pPr>
      <w:spacing w:line="240" w:lineRule="auto"/>
    </w:pPr>
    <w:rPr>
      <w:sz w:val="20"/>
      <w:szCs w:val="20"/>
    </w:rPr>
  </w:style>
  <w:style w:type="character" w:customStyle="1" w:styleId="CommentTextChar">
    <w:name w:val="Comment Text Char"/>
    <w:basedOn w:val="DefaultParagraphFont"/>
    <w:link w:val="CommentText"/>
    <w:uiPriority w:val="99"/>
    <w:semiHidden/>
    <w:rsid w:val="0008310D"/>
    <w:rPr>
      <w:sz w:val="20"/>
      <w:szCs w:val="20"/>
    </w:rPr>
  </w:style>
  <w:style w:type="paragraph" w:styleId="CommentSubject">
    <w:name w:val="annotation subject"/>
    <w:basedOn w:val="CommentText"/>
    <w:next w:val="CommentText"/>
    <w:link w:val="CommentSubjectChar"/>
    <w:uiPriority w:val="99"/>
    <w:semiHidden/>
    <w:unhideWhenUsed/>
    <w:rsid w:val="0008310D"/>
    <w:rPr>
      <w:b/>
      <w:bCs/>
    </w:rPr>
  </w:style>
  <w:style w:type="character" w:customStyle="1" w:styleId="CommentSubjectChar">
    <w:name w:val="Comment Subject Char"/>
    <w:basedOn w:val="CommentTextChar"/>
    <w:link w:val="CommentSubject"/>
    <w:uiPriority w:val="99"/>
    <w:semiHidden/>
    <w:rsid w:val="0008310D"/>
    <w:rPr>
      <w:b/>
      <w:bCs/>
      <w:sz w:val="20"/>
      <w:szCs w:val="20"/>
    </w:rPr>
  </w:style>
  <w:style w:type="paragraph" w:styleId="BalloonText">
    <w:name w:val="Balloon Text"/>
    <w:basedOn w:val="Normal"/>
    <w:link w:val="BalloonTextChar"/>
    <w:uiPriority w:val="99"/>
    <w:semiHidden/>
    <w:unhideWhenUsed/>
    <w:rsid w:val="0008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0D"/>
    <w:rPr>
      <w:rFonts w:ascii="Segoe UI" w:hAnsi="Segoe UI" w:cs="Segoe UI"/>
      <w:sz w:val="18"/>
      <w:szCs w:val="18"/>
    </w:rPr>
  </w:style>
  <w:style w:type="character" w:customStyle="1" w:styleId="Heading2Char">
    <w:name w:val="Heading 2 Char"/>
    <w:basedOn w:val="DefaultParagraphFont"/>
    <w:link w:val="Heading2"/>
    <w:uiPriority w:val="9"/>
    <w:rsid w:val="005A2B3B"/>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0007F"/>
    <w:pPr>
      <w:spacing w:after="0" w:line="240" w:lineRule="auto"/>
    </w:pPr>
  </w:style>
  <w:style w:type="character" w:styleId="Hyperlink">
    <w:name w:val="Hyperlink"/>
    <w:basedOn w:val="DefaultParagraphFont"/>
    <w:uiPriority w:val="99"/>
    <w:semiHidden/>
    <w:unhideWhenUsed/>
    <w:rsid w:val="00210814"/>
    <w:rPr>
      <w:strike w:val="0"/>
      <w:dstrike w:val="0"/>
      <w:color w:val="346DBF"/>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4057">
      <w:bodyDiv w:val="1"/>
      <w:marLeft w:val="0"/>
      <w:marRight w:val="0"/>
      <w:marTop w:val="0"/>
      <w:marBottom w:val="0"/>
      <w:divBdr>
        <w:top w:val="none" w:sz="0" w:space="0" w:color="auto"/>
        <w:left w:val="none" w:sz="0" w:space="0" w:color="auto"/>
        <w:bottom w:val="none" w:sz="0" w:space="0" w:color="auto"/>
        <w:right w:val="none" w:sz="0" w:space="0" w:color="auto"/>
      </w:divBdr>
    </w:div>
    <w:div w:id="9951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services@ed.ac.uk"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5DC93DA0B277418365578A77AFF4CC" ma:contentTypeVersion="15" ma:contentTypeDescription="Create a new document." ma:contentTypeScope="" ma:versionID="70354b452ed98694817f6285948b3597">
  <xsd:schema xmlns:xsd="http://www.w3.org/2001/XMLSchema" xmlns:xs="http://www.w3.org/2001/XMLSchema" xmlns:p="http://schemas.microsoft.com/office/2006/metadata/properties" xmlns:ns1="http://schemas.microsoft.com/sharepoint/v3" xmlns:ns2="e1d3172d-ef57-46fb-ab39-86064e7d762f" xmlns:ns3="a65bf0e5-f99e-4c5a-88da-28f480aaa0c3" xmlns:ns4="afe8da46-e288-4ec6-8bab-98cce14a5b0e" targetNamespace="http://schemas.microsoft.com/office/2006/metadata/properties" ma:root="true" ma:fieldsID="4359ce496ffa6be14e28deabdde9f567" ns1:_="" ns2:_="" ns3:_="" ns4:_="">
    <xsd:import namespace="http://schemas.microsoft.com/sharepoint/v3"/>
    <xsd:import namespace="e1d3172d-ef57-46fb-ab39-86064e7d762f"/>
    <xsd:import namespace="a65bf0e5-f99e-4c5a-88da-28f480aaa0c3"/>
    <xsd:import namespace="afe8da46-e288-4ec6-8bab-98cce14a5b0e"/>
    <xsd:element name="properties">
      <xsd:complexType>
        <xsd:sequence>
          <xsd:element name="documentManagement">
            <xsd:complexType>
              <xsd:all>
                <xsd:element ref="ns2:_dlc_DocId" minOccurs="0"/>
                <xsd:element ref="ns2:_dlc_DocIdUrl" minOccurs="0"/>
                <xsd:element ref="ns2:_dlc_DocIdPersistId" minOccurs="0"/>
                <xsd:element ref="ns3:Acting_x0020_Solicitor" minOccurs="0"/>
                <xsd:element ref="ns3:Type_x0020_Of_x0020_Work" minOccurs="0"/>
                <xsd:element ref="ns3:File_x0020_ID" minOccurs="0"/>
                <xsd:element ref="ns3:What_x0020_Legal_x0020_will_x0020_do" minOccurs="0"/>
                <xsd:element ref="ns3:What_x0020_the_x0020_client_x0020_will_x0020_do" minOccurs="0"/>
                <xsd:element ref="ns3:Approve" minOccurs="0"/>
                <xsd:element ref="ns3:File_x0020_Title1" minOccurs="0"/>
                <xsd:element ref="ns3:School" minOccurs="0"/>
                <xsd:element ref="ns3:Reject" minOccurs="0"/>
                <xsd:element ref="ns3:Further_x0020_Notes" minOccurs="0"/>
                <xsd:element ref="ns3:Reason_x0020_For_x0020_Urgency" minOccurs="0"/>
                <xsd:element ref="ns3:PI_x0020_Pre-Migration" minOccurs="0"/>
                <xsd:element ref="ns3:Legal_x0020_File_x0020_created" minOccurs="0"/>
                <xsd:element ref="ns3:Proposed_x0020_Timescales" minOccurs="0"/>
                <xsd:element ref="ns3:Project_x0020_Title" minOccurs="0"/>
                <xsd:element ref="ns3:PI" minOccurs="0"/>
                <xsd:element ref="ns3:Timescales" minOccurs="0"/>
                <xsd:element ref="ns3:Client_x0020_Ref" minOccurs="0"/>
                <xsd:element ref="ns3:Urgent_x0020_48h_x0020_Response" minOccurs="0"/>
                <xsd:element ref="ns3:Other_x0020_relevant_x0020_information" minOccurs="0"/>
                <xsd:element ref="ns3:Responsible_x0020_Solicitor" minOccurs="0"/>
                <xsd:element ref="ns3:Background" minOccurs="0"/>
                <xsd:element ref="ns3:Legal_x0020_Work" minOccurs="0"/>
                <xsd:element ref="ns3:Client_x0020_Name" minOccurs="0"/>
                <xsd:element ref="ns1:DocumentSetDescription" minOccurs="0"/>
                <xsd:element ref="ns2:SharedWithUsers" minOccurs="0"/>
                <xsd:element ref="ns3:SharedWithDetails" minOccurs="0"/>
                <xsd:element ref="ns3:Contracting_x0020_Parties1" minOccurs="0"/>
                <xsd:element ref="ns3:Legal_x0020_Contracting_x0020_Parties" minOccurs="0"/>
                <xsd:element ref="ns3:Date_x0020_of_x0020_Matter_x0020_File_x0020_Opening" minOccurs="0"/>
                <xsd:element ref="ns2:LastSharedByUser" minOccurs="0"/>
                <xsd:element ref="ns2:LastSharedByTime" minOccurs="0"/>
                <xsd:element ref="ns4:Sourc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41" nillable="true" ma:displayName="Last Shared By User" ma:description="" ma:internalName="LastSharedByUser" ma:readOnly="true">
      <xsd:simpleType>
        <xsd:restriction base="dms:Note">
          <xsd:maxLength value="255"/>
        </xsd:restriction>
      </xsd:simpleType>
    </xsd:element>
    <xsd:element name="LastSharedByTime" ma:index="4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5bf0e5-f99e-4c5a-88da-28f480aaa0c3" elementFormDefault="qualified">
    <xsd:import namespace="http://schemas.microsoft.com/office/2006/documentManagement/types"/>
    <xsd:import namespace="http://schemas.microsoft.com/office/infopath/2007/PartnerControls"/>
    <xsd:element name="Acting_x0020_Solicitor" ma:index="11" nillable="true" ma:displayName="Acting Solicitor" ma:indexed="true" ma:list="UserInfo" ma:SharePointGroup="0" ma:internalName="Acting_x0020_Solici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Work" ma:index="12" nillable="true" ma:displayName="Type Of Work" ma:internalName="Type_x0020_Of_x0020_Work">
      <xsd:simpleType>
        <xsd:restriction base="dms:Text">
          <xsd:maxLength value="255"/>
        </xsd:restriction>
      </xsd:simpleType>
    </xsd:element>
    <xsd:element name="File_x0020_ID" ma:index="13" nillable="true" ma:displayName="File ID" ma:indexed="true" ma:internalName="File_x0020_ID" ma:readOnly="false">
      <xsd:simpleType>
        <xsd:restriction base="dms:Text">
          <xsd:maxLength value="20"/>
        </xsd:restriction>
      </xsd:simpleType>
    </xsd:element>
    <xsd:element name="What_x0020_Legal_x0020_will_x0020_do" ma:index="14" nillable="true" ma:displayName="What Legal will do" ma:internalName="What_x0020_Legal_x0020_will_x0020_do">
      <xsd:simpleType>
        <xsd:restriction base="dms:Note">
          <xsd:maxLength value="255"/>
        </xsd:restriction>
      </xsd:simpleType>
    </xsd:element>
    <xsd:element name="What_x0020_the_x0020_client_x0020_will_x0020_do" ma:index="15" nillable="true" ma:displayName="What the client Will do" ma:internalName="What_x0020_the_x0020_client_x0020_will_x0020_do">
      <xsd:simpleType>
        <xsd:restriction base="dms:Note">
          <xsd:maxLength value="255"/>
        </xsd:restriction>
      </xsd:simpleType>
    </xsd:element>
    <xsd:element name="Approve" ma:index="16" nillable="true" ma:displayName="Approve" ma:internalName="Approve">
      <xsd:simpleType>
        <xsd:restriction base="dms:Text">
          <xsd:maxLength value="255"/>
        </xsd:restriction>
      </xsd:simpleType>
    </xsd:element>
    <xsd:element name="File_x0020_Title1" ma:index="17" nillable="true" ma:displayName="File Title" ma:internalName="File_x0020_Title1">
      <xsd:simpleType>
        <xsd:restriction base="dms:Note">
          <xsd:maxLength value="255"/>
        </xsd:restriction>
      </xsd:simpleType>
    </xsd:element>
    <xsd:element name="School" ma:index="18" nillable="true" ma:displayName="School" ma:indexed="true" ma:internalName="School">
      <xsd:simpleType>
        <xsd:restriction base="dms:Text">
          <xsd:maxLength value="255"/>
        </xsd:restriction>
      </xsd:simpleType>
    </xsd:element>
    <xsd:element name="Reject" ma:index="19" nillable="true" ma:displayName="Reject" ma:internalName="Reject">
      <xsd:simpleType>
        <xsd:restriction base="dms:Text">
          <xsd:maxLength value="255"/>
        </xsd:restriction>
      </xsd:simpleType>
    </xsd:element>
    <xsd:element name="Further_x0020_Notes" ma:index="20" nillable="true" ma:displayName="Further Notes" ma:internalName="Further_x0020_Notes">
      <xsd:simpleType>
        <xsd:restriction base="dms:Note">
          <xsd:maxLength value="255"/>
        </xsd:restriction>
      </xsd:simpleType>
    </xsd:element>
    <xsd:element name="Reason_x0020_For_x0020_Urgency" ma:index="21" nillable="true" ma:displayName="Reason For Urgency" ma:internalName="Reason_x0020_For_x0020_Urgency">
      <xsd:simpleType>
        <xsd:restriction base="dms:Note">
          <xsd:maxLength value="255"/>
        </xsd:restriction>
      </xsd:simpleType>
    </xsd:element>
    <xsd:element name="PI_x0020_Pre-Migration" ma:index="22" nillable="true" ma:displayName="PI Pre-Migration" ma:internalName="PI_x0020_Pre_x002d_Migration">
      <xsd:simpleType>
        <xsd:restriction base="dms:Text">
          <xsd:maxLength value="255"/>
        </xsd:restriction>
      </xsd:simpleType>
    </xsd:element>
    <xsd:element name="Legal_x0020_File_x0020_created" ma:index="23" nillable="true" ma:displayName="Legal File created" ma:internalName="Legal_x0020_File_x0020_created">
      <xsd:simpleType>
        <xsd:restriction base="dms:Text">
          <xsd:maxLength value="255"/>
        </xsd:restriction>
      </xsd:simpleType>
    </xsd:element>
    <xsd:element name="Proposed_x0020_Timescales" ma:index="24" nillable="true" ma:displayName="Proposed Timescales" ma:internalName="Proposed_x0020_Timescales">
      <xsd:simpleType>
        <xsd:restriction base="dms:Note">
          <xsd:maxLength value="255"/>
        </xsd:restriction>
      </xsd:simpleType>
    </xsd:element>
    <xsd:element name="Project_x0020_Title" ma:index="25" nillable="true" ma:displayName="Project Title" ma:internalName="Project_x0020_Title">
      <xsd:simpleType>
        <xsd:restriction base="dms:Note">
          <xsd:maxLength value="255"/>
        </xsd:restriction>
      </xsd:simpleType>
    </xsd:element>
    <xsd:element name="PI" ma:index="26" nillable="true" ma:displayName="PI" ma:list="UserInfo" ma:SharePointGroup="0" ma:internalName="P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mescales" ma:index="27" nillable="true" ma:displayName="Timescales" ma:internalName="Timescales">
      <xsd:simpleType>
        <xsd:restriction base="dms:Note">
          <xsd:maxLength value="255"/>
        </xsd:restriction>
      </xsd:simpleType>
    </xsd:element>
    <xsd:element name="Client_x0020_Ref" ma:index="28" nillable="true" ma:displayName="Client Ref" ma:internalName="Client_x0020_Ref">
      <xsd:simpleType>
        <xsd:restriction base="dms:Text">
          <xsd:maxLength value="255"/>
        </xsd:restriction>
      </xsd:simpleType>
    </xsd:element>
    <xsd:element name="Urgent_x0020_48h_x0020_Response" ma:index="29" nillable="true" ma:displayName="Urgent 48h Response" ma:internalName="Urgent_x0020_48h_x0020_Response">
      <xsd:simpleType>
        <xsd:restriction base="dms:Text">
          <xsd:maxLength value="255"/>
        </xsd:restriction>
      </xsd:simpleType>
    </xsd:element>
    <xsd:element name="Other_x0020_relevant_x0020_information" ma:index="30" nillable="true" ma:displayName="Other relevant information" ma:internalName="Other_x0020_relevant_x0020_information">
      <xsd:simpleType>
        <xsd:restriction base="dms:Note">
          <xsd:maxLength value="255"/>
        </xsd:restriction>
      </xsd:simpleType>
    </xsd:element>
    <xsd:element name="Responsible_x0020_Solicitor" ma:index="31" nillable="true" ma:displayName="Responsible Solicitor" ma:list="UserInfo" ma:SharePointGroup="0" ma:internalName="Responsible_x0020_Solici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ackground" ma:index="32" nillable="true" ma:displayName="Background" ma:internalName="Background">
      <xsd:simpleType>
        <xsd:restriction base="dms:Note">
          <xsd:maxLength value="255"/>
        </xsd:restriction>
      </xsd:simpleType>
    </xsd:element>
    <xsd:element name="Legal_x0020_Work" ma:index="33" nillable="true" ma:displayName="Legal Work" ma:internalName="Legal_x0020_Work">
      <xsd:simpleType>
        <xsd:restriction base="dms:Note">
          <xsd:maxLength value="255"/>
        </xsd:restriction>
      </xsd:simpleType>
    </xsd:element>
    <xsd:element name="Client_x0020_Name" ma:index="34" nillable="true" ma:displayName="Client Name" ma:description="Legal Columns" ma:list="UserInfo" ma:SearchPeopleOnly="false" ma:SharePointGroup="0" ma:internalName="Client_x0020_Nam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description="" ma:internalName="SharedWithDetails" ma:readOnly="true">
      <xsd:simpleType>
        <xsd:restriction base="dms:Note">
          <xsd:maxLength value="255"/>
        </xsd:restriction>
      </xsd:simpleType>
    </xsd:element>
    <xsd:element name="Contracting_x0020_Parties1" ma:index="38" nillable="true" ma:displayName="Contracting Parties" ma:internalName="Contracting_x0020_Parties1">
      <xsd:simpleType>
        <xsd:restriction base="dms:Text">
          <xsd:maxLength value="255"/>
        </xsd:restriction>
      </xsd:simpleType>
    </xsd:element>
    <xsd:element name="Legal_x0020_Contracting_x0020_Parties" ma:index="39" nillable="true" ma:displayName="Legal Contracting Parties" ma:list="{e5b09276-901f-433a-b092-f4c6ef4813d7}" ma:internalName="Legal_x0020_Contracting_x0020_Parties" ma:showField="Title" ma:web="a65bf0e5-f99e-4c5a-88da-28f480aaa0c3">
      <xsd:complexType>
        <xsd:complexContent>
          <xsd:extension base="dms:MultiChoiceLookup">
            <xsd:sequence>
              <xsd:element name="Value" type="dms:Lookup" maxOccurs="unbounded" minOccurs="0" nillable="true"/>
            </xsd:sequence>
          </xsd:extension>
        </xsd:complexContent>
      </xsd:complexType>
    </xsd:element>
    <xsd:element name="Date_x0020_of_x0020_Matter_x0020_File_x0020_Opening" ma:index="40" nillable="true" ma:displayName="Date of Matter File Opening" ma:format="DateOnly" ma:indexed="true" ma:internalName="Date_x0020_of_x0020_Matter_x0020_File_x0020_Open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e8da46-e288-4ec6-8bab-98cce14a5b0e" elementFormDefault="qualified">
    <xsd:import namespace="http://schemas.microsoft.com/office/2006/documentManagement/types"/>
    <xsd:import namespace="http://schemas.microsoft.com/office/infopath/2007/PartnerControls"/>
    <xsd:element name="Source" ma:index="43" nillable="true" ma:displayName="Source" ma:default="......" ma:format="Dropdown" ma:internalName="Source">
      <xsd:simpleType>
        <xsd:restriction base="dms:Choice">
          <xsd:enumeration value="......"/>
          <xsd:enumeration value="LIF"/>
          <xsd:enumeration value="Direct"/>
          <xsd:enumeration value="Website"/>
          <xsd:enumeration value="Other"/>
        </xsd:restriction>
      </xsd:simpleType>
    </xsd:element>
    <xsd:element name="MediaServiceMetadata" ma:index="44" nillable="true" ma:displayName="MediaServiceMetadata" ma:description="" ma:hidden="true" ma:internalName="MediaServiceMetadata" ma:readOnly="true">
      <xsd:simpleType>
        <xsd:restriction base="dms:Note"/>
      </xsd:simpleType>
    </xsd:element>
    <xsd:element name="MediaServiceFastMetadata" ma:index="45" nillable="true" ma:displayName="MediaServiceFastMetadata" ma:description="" ma:hidden="true" ma:internalName="MediaServiceFastMetadata" ma:readOnly="true">
      <xsd:simpleType>
        <xsd:restriction base="dms:Note"/>
      </xsd:simpleType>
    </xsd:element>
    <xsd:element name="MediaServiceDateTaken" ma:index="46" nillable="true" ma:displayName="MediaServiceDateTaken" ma:description="" ma:hidden="true" ma:internalName="MediaServiceDateTaken" ma:readOnly="true">
      <xsd:simpleType>
        <xsd:restriction base="dms:Text"/>
      </xsd:simpleType>
    </xsd:element>
    <xsd:element name="MediaServiceAutoTags" ma:index="4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l_x0020_Work xmlns="a65bf0e5-f99e-4c5a-88da-28f480aaa0c3" xsi:nil="true"/>
    <Client_x0020_Name xmlns="a65bf0e5-f99e-4c5a-88da-28f480aaa0c3">
      <UserInfo>
        <DisplayName/>
        <AccountId xsi:nil="true"/>
        <AccountType/>
      </UserInfo>
    </Client_x0020_Name>
    <Approve xmlns="a65bf0e5-f99e-4c5a-88da-28f480aaa0c3" xsi:nil="true"/>
    <Acting_x0020_Solicitor xmlns="a65bf0e5-f99e-4c5a-88da-28f480aaa0c3">
      <UserInfo>
        <DisplayName/>
        <AccountId>25</AccountId>
        <AccountType/>
      </UserInfo>
    </Acting_x0020_Solicitor>
    <Legal_x0020_File_x0020_created xmlns="a65bf0e5-f99e-4c5a-88da-28f480aaa0c3" xsi:nil="true"/>
    <Project_x0020_Title xmlns="a65bf0e5-f99e-4c5a-88da-28f480aaa0c3" xsi:nil="true"/>
    <School xmlns="a65bf0e5-f99e-4c5a-88da-28f480aaa0c3">Corporate Services Group (CSG)</School>
    <PI xmlns="a65bf0e5-f99e-4c5a-88da-28f480aaa0c3">
      <UserInfo>
        <DisplayName>WHITTAKER Clare</DisplayName>
        <AccountId>1289</AccountId>
        <AccountType/>
      </UserInfo>
    </PI>
    <DocumentSetDescription xmlns="http://schemas.microsoft.com/sharepoint/v3" xsi:nil="true"/>
    <Other_x0020_relevant_x0020_information xmlns="a65bf0e5-f99e-4c5a-88da-28f480aaa0c3" xsi:nil="true"/>
    <Contracting_x0020_Parties1 xmlns="a65bf0e5-f99e-4c5a-88da-28f480aaa0c3" xsi:nil="true"/>
    <File_x0020_Title1 xmlns="a65bf0e5-f99e-4c5a-88da-28f480aaa0c3">Contracts Office</File_x0020_Title1>
    <Legal_x0020_Contracting_x0020_Parties xmlns="a65bf0e5-f99e-4c5a-88da-28f480aaa0c3"/>
    <Date_x0020_of_x0020_Matter_x0020_File_x0020_Opening xmlns="a65bf0e5-f99e-4c5a-88da-28f480aaa0c3" xsi:nil="true"/>
    <Reject xmlns="a65bf0e5-f99e-4c5a-88da-28f480aaa0c3" xsi:nil="true"/>
    <Reason_x0020_For_x0020_Urgency xmlns="a65bf0e5-f99e-4c5a-88da-28f480aaa0c3" xsi:nil="true"/>
    <Background xmlns="a65bf0e5-f99e-4c5a-88da-28f480aaa0c3" xsi:nil="true"/>
    <File_x0020_ID xmlns="a65bf0e5-f99e-4c5a-88da-28f480aaa0c3">CSG2006</File_x0020_ID>
    <What_x0020_the_x0020_client_x0020_will_x0020_do xmlns="a65bf0e5-f99e-4c5a-88da-28f480aaa0c3" xsi:nil="true"/>
    <Timescales xmlns="a65bf0e5-f99e-4c5a-88da-28f480aaa0c3" xsi:nil="true"/>
    <Urgent_x0020_48h_x0020_Response xmlns="a65bf0e5-f99e-4c5a-88da-28f480aaa0c3" xsi:nil="true"/>
    <What_x0020_Legal_x0020_will_x0020_do xmlns="a65bf0e5-f99e-4c5a-88da-28f480aaa0c3" xsi:nil="true"/>
    <Further_x0020_Notes xmlns="a65bf0e5-f99e-4c5a-88da-28f480aaa0c3" xsi:nil="true"/>
    <Proposed_x0020_Timescales xmlns="a65bf0e5-f99e-4c5a-88da-28f480aaa0c3" xsi:nil="true"/>
    <Client_x0020_Ref xmlns="a65bf0e5-f99e-4c5a-88da-28f480aaa0c3" xsi:nil="true"/>
    <Responsible_x0020_Solicitor xmlns="a65bf0e5-f99e-4c5a-88da-28f480aaa0c3">
      <UserInfo>
        <DisplayName/>
        <AccountId>25</AccountId>
        <AccountType/>
      </UserInfo>
    </Responsible_x0020_Solicitor>
    <Type_x0020_Of_x0020_Work xmlns="a65bf0e5-f99e-4c5a-88da-28f480aaa0c3">General Legal Advice - UoE</Type_x0020_Of_x0020_Work>
    <PI_x0020_Pre-Migration xmlns="a65bf0e5-f99e-4c5a-88da-28f480aaa0c3" xsi:nil="true"/>
    <_dlc_DocId xmlns="e1d3172d-ef57-46fb-ab39-86064e7d762f">J47MQKMV7YRM-810887620-20869824</_dlc_DocId>
    <_dlc_DocIdUrl xmlns="e1d3172d-ef57-46fb-ab39-86064e7d762f">
      <Url>https://uoe.sharepoint.com/sites/eri/legal/_layouts/15/DocIdRedir.aspx?ID=J47MQKMV7YRM-810887620-20869824</Url>
      <Description>J47MQKMV7YRM-810887620-20869824</Description>
    </_dlc_DocIdUrl>
    <Source xmlns="afe8da46-e288-4ec6-8bab-98cce14a5b0e">......</Sour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30F8-B092-40A8-AD95-65E7289354EE}">
  <ds:schemaRefs>
    <ds:schemaRef ds:uri="http://schemas.microsoft.com/sharepoint/events"/>
  </ds:schemaRefs>
</ds:datastoreItem>
</file>

<file path=customXml/itemProps2.xml><?xml version="1.0" encoding="utf-8"?>
<ds:datastoreItem xmlns:ds="http://schemas.openxmlformats.org/officeDocument/2006/customXml" ds:itemID="{5953BAFA-95AE-4A50-B922-C0BA2891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3172d-ef57-46fb-ab39-86064e7d762f"/>
    <ds:schemaRef ds:uri="a65bf0e5-f99e-4c5a-88da-28f480aaa0c3"/>
    <ds:schemaRef ds:uri="afe8da46-e288-4ec6-8bab-98cce14a5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ED9B4-3866-42BE-8BC1-16E10B799CAF}">
  <ds:schemaRef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afe8da46-e288-4ec6-8bab-98cce14a5b0e"/>
    <ds:schemaRef ds:uri="a65bf0e5-f99e-4c5a-88da-28f480aaa0c3"/>
    <ds:schemaRef ds:uri="e1d3172d-ef57-46fb-ab39-86064e7d762f"/>
    <ds:schemaRef ds:uri="http://schemas.microsoft.com/sharepoint/v3"/>
  </ds:schemaRefs>
</ds:datastoreItem>
</file>

<file path=customXml/itemProps4.xml><?xml version="1.0" encoding="utf-8"?>
<ds:datastoreItem xmlns:ds="http://schemas.openxmlformats.org/officeDocument/2006/customXml" ds:itemID="{F69B19A9-F2CD-4B68-B54A-47C46400C93E}">
  <ds:schemaRefs>
    <ds:schemaRef ds:uri="http://schemas.microsoft.com/sharepoint/v3/contenttype/forms"/>
  </ds:schemaRefs>
</ds:datastoreItem>
</file>

<file path=customXml/itemProps5.xml><?xml version="1.0" encoding="utf-8"?>
<ds:datastoreItem xmlns:ds="http://schemas.openxmlformats.org/officeDocument/2006/customXml" ds:itemID="{34E56DCD-2F2C-42BD-B53B-8CA638D2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Allocation of Work Table twf comments 23 Nov 2016</vt:lpstr>
    </vt:vector>
  </TitlesOfParts>
  <Company>University of Edinburgh</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of Work Table twf comments 23 Nov 2016</dc:title>
  <dc:subject/>
  <dc:creator>KELLOCK Nora</dc:creator>
  <cp:keywords/>
  <dc:description/>
  <cp:lastModifiedBy>KELLOCK Nora</cp:lastModifiedBy>
  <cp:revision>3</cp:revision>
  <cp:lastPrinted>2017-02-13T12:07:00Z</cp:lastPrinted>
  <dcterms:created xsi:type="dcterms:W3CDTF">2018-02-14T17:36:00Z</dcterms:created>
  <dcterms:modified xsi:type="dcterms:W3CDTF">2018-02-14T17:36:00Z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0x010100A65DC93DA0B277418365578A77AFF4CC</vt:lpwstr>
  </property>
  <property fmtid="{D5CDD505-2E9C-101B-9397-08002B2CF9AE}" pid="3" name="_dlc_DocIdItemGuid">
    <vt:lpwstr>5301c129-edb1-483d-a153-5dd77da0cfa3</vt:lpwstr>
  </property>
  <property fmtid="{D5CDD505-2E9C-101B-9397-08002B2CF9AE}" pid="4" name="Agreement Contracting Party">
    <vt:lpwstr/>
  </property>
  <property fmtid="{D5CDD505-2E9C-101B-9397-08002B2CF9AE}" pid="5" name="Order">
    <vt:r8>2081771600</vt:r8>
  </property>
  <property fmtid="{D5CDD505-2E9C-101B-9397-08002B2CF9AE}" pid="6" name="_docset_NoMedatataSyncRequired">
    <vt:lpwstr>False</vt:lpwstr>
  </property>
</Properties>
</file>