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9A16E" w14:textId="038635E6" w:rsidR="71CFD633" w:rsidRPr="00C129CC" w:rsidRDefault="000A2BF7" w:rsidP="71CFD633">
      <w:pPr>
        <w:pStyle w:val="Heading1"/>
        <w:rPr>
          <w:lang w:val="en-GB"/>
        </w:rPr>
      </w:pPr>
      <w:r w:rsidRPr="00C129CC">
        <w:rPr>
          <w:lang w:val="en-GB"/>
        </w:rPr>
        <w:t>Production Management</w:t>
      </w:r>
      <w:r w:rsidRPr="00C129CC">
        <w:rPr>
          <w:lang w:val="en-GB"/>
        </w:rPr>
        <w:br/>
      </w:r>
      <w:r w:rsidR="71CFD633" w:rsidRPr="00C129CC">
        <w:rPr>
          <w:lang w:val="en-GB"/>
        </w:rPr>
        <w:t>Annual service report 201</w:t>
      </w:r>
      <w:r w:rsidR="007969C7" w:rsidRPr="00C129CC">
        <w:rPr>
          <w:lang w:val="en-GB"/>
        </w:rPr>
        <w:t>5/2016</w:t>
      </w:r>
    </w:p>
    <w:p w14:paraId="64B378E3" w14:textId="263BBA92" w:rsidR="71CFD633" w:rsidRPr="00451E18" w:rsidRDefault="007969C7">
      <w:r w:rsidRPr="00C129CC">
        <w:rPr>
          <w:rFonts w:ascii="Calibri" w:eastAsia="Calibri" w:hAnsi="Calibri" w:cs="Calibri"/>
          <w:lang w:val="en-GB"/>
        </w:rPr>
        <w:t>October 2016</w:t>
      </w:r>
      <w:r w:rsidR="71CFD633" w:rsidRPr="00C129CC">
        <w:rPr>
          <w:rFonts w:ascii="Calibri" w:eastAsia="Calibri" w:hAnsi="Calibri" w:cs="Calibri"/>
          <w:lang w:val="en-GB"/>
        </w:rPr>
        <w:t xml:space="preserve">, Stefan </w:t>
      </w:r>
      <w:proofErr w:type="spellStart"/>
      <w:r w:rsidR="71CFD633" w:rsidRPr="00C129CC">
        <w:rPr>
          <w:rFonts w:ascii="Calibri" w:eastAsia="Calibri" w:hAnsi="Calibri" w:cs="Calibri"/>
          <w:lang w:val="en-GB"/>
        </w:rPr>
        <w:t>Kaempf</w:t>
      </w:r>
      <w:proofErr w:type="spellEnd"/>
    </w:p>
    <w:p w14:paraId="7DC01C90" w14:textId="77777777" w:rsidR="00451E18" w:rsidRPr="00C129CC" w:rsidRDefault="00451E18" w:rsidP="00451E18">
      <w:pPr>
        <w:pStyle w:val="Heading2"/>
      </w:pPr>
      <w:r w:rsidRPr="00C129CC">
        <w:rPr>
          <w:lang w:val="en-GB"/>
        </w:rPr>
        <w:t>Overview</w:t>
      </w:r>
    </w:p>
    <w:p w14:paraId="4E14B3A1" w14:textId="77BA7EE0" w:rsidR="00451E18" w:rsidRPr="00C129CC" w:rsidRDefault="00451E18" w:rsidP="00451E18">
      <w:pPr>
        <w:rPr>
          <w:rFonts w:ascii="Calibri" w:eastAsia="Calibri" w:hAnsi="Calibri" w:cs="Calibri"/>
          <w:lang w:val="en-GB"/>
        </w:rPr>
      </w:pPr>
      <w:r w:rsidRPr="00C129CC">
        <w:rPr>
          <w:rFonts w:ascii="Calibri" w:eastAsia="Calibri" w:hAnsi="Calibri" w:cs="Calibri"/>
          <w:lang w:val="en-GB"/>
        </w:rPr>
        <w:t xml:space="preserve">The focus of this report is the period between August 2015 and July 2016, but will also </w:t>
      </w:r>
      <w:r w:rsidR="00E12636">
        <w:rPr>
          <w:rFonts w:ascii="Calibri" w:eastAsia="Calibri" w:hAnsi="Calibri" w:cs="Calibri"/>
          <w:lang w:val="en-GB"/>
        </w:rPr>
        <w:t>include some</w:t>
      </w:r>
      <w:r w:rsidRPr="00C129CC">
        <w:rPr>
          <w:rFonts w:ascii="Calibri" w:eastAsia="Calibri" w:hAnsi="Calibri" w:cs="Calibri"/>
          <w:lang w:val="en-GB"/>
        </w:rPr>
        <w:t xml:space="preserve"> data over the last five years to show the wider context. The report only </w:t>
      </w:r>
      <w:r>
        <w:rPr>
          <w:rFonts w:ascii="Calibri" w:eastAsia="Calibri" w:hAnsi="Calibri" w:cs="Calibri"/>
          <w:lang w:val="en-GB"/>
        </w:rPr>
        <w:t>covers data for systems supported by Production Management</w:t>
      </w:r>
      <w:r w:rsidRPr="00C129CC">
        <w:rPr>
          <w:rFonts w:ascii="Calibri" w:eastAsia="Calibri" w:hAnsi="Calibri" w:cs="Calibri"/>
          <w:lang w:val="en-GB"/>
        </w:rPr>
        <w:t xml:space="preserve"> (</w:t>
      </w:r>
      <w:r>
        <w:rPr>
          <w:rFonts w:ascii="Calibri" w:eastAsia="Calibri" w:hAnsi="Calibri" w:cs="Calibri"/>
          <w:lang w:val="en-GB"/>
        </w:rPr>
        <w:t xml:space="preserve">see </w:t>
      </w:r>
      <w:r w:rsidR="00321CCC">
        <w:rPr>
          <w:rFonts w:ascii="Calibri" w:eastAsia="Calibri" w:hAnsi="Calibri" w:cs="Calibri"/>
          <w:lang w:val="en-GB"/>
        </w:rPr>
        <w:t xml:space="preserve">full </w:t>
      </w:r>
      <w:r>
        <w:rPr>
          <w:rFonts w:ascii="Calibri" w:eastAsia="Calibri" w:hAnsi="Calibri" w:cs="Calibri"/>
          <w:lang w:val="en-GB"/>
        </w:rPr>
        <w:t xml:space="preserve">list </w:t>
      </w:r>
      <w:r w:rsidR="00321CCC">
        <w:rPr>
          <w:rFonts w:ascii="Calibri" w:eastAsia="Calibri" w:hAnsi="Calibri" w:cs="Calibri"/>
          <w:lang w:val="en-GB"/>
        </w:rPr>
        <w:t xml:space="preserve">of services covered </w:t>
      </w:r>
      <w:r>
        <w:rPr>
          <w:rFonts w:ascii="Calibri" w:eastAsia="Calibri" w:hAnsi="Calibri" w:cs="Calibri"/>
          <w:lang w:val="en-GB"/>
        </w:rPr>
        <w:t xml:space="preserve">in </w:t>
      </w:r>
      <w:r w:rsidRPr="00C129CC">
        <w:rPr>
          <w:rFonts w:ascii="Calibri" w:eastAsia="Calibri" w:hAnsi="Calibri" w:cs="Calibri"/>
          <w:lang w:val="en-GB"/>
        </w:rPr>
        <w:t>Appendix A).</w:t>
      </w:r>
      <w:r>
        <w:rPr>
          <w:rFonts w:ascii="Calibri" w:eastAsia="Calibri" w:hAnsi="Calibri" w:cs="Calibri"/>
          <w:lang w:val="en-GB"/>
        </w:rPr>
        <w:t xml:space="preserve"> </w:t>
      </w:r>
      <w:r w:rsidRPr="00C129CC">
        <w:rPr>
          <w:rFonts w:ascii="Calibri" w:eastAsia="Calibri" w:hAnsi="Calibri" w:cs="Calibri"/>
          <w:lang w:val="en-GB"/>
        </w:rPr>
        <w:t>At an overall level</w:t>
      </w:r>
      <w:r w:rsidR="00321CCC">
        <w:rPr>
          <w:rFonts w:ascii="Calibri" w:eastAsia="Calibri" w:hAnsi="Calibri" w:cs="Calibri"/>
          <w:lang w:val="en-GB"/>
        </w:rPr>
        <w:t>,</w:t>
      </w:r>
      <w:r w:rsidRPr="00C129CC">
        <w:rPr>
          <w:rFonts w:ascii="Calibri" w:eastAsia="Calibri" w:hAnsi="Calibri" w:cs="Calibri"/>
          <w:lang w:val="en-GB"/>
        </w:rPr>
        <w:t xml:space="preserve"> servic</w:t>
      </w:r>
      <w:r w:rsidR="00321CCC">
        <w:rPr>
          <w:rFonts w:ascii="Calibri" w:eastAsia="Calibri" w:hAnsi="Calibri" w:cs="Calibri"/>
          <w:lang w:val="en-GB"/>
        </w:rPr>
        <w:t xml:space="preserve">e availability, reliability, and performance </w:t>
      </w:r>
      <w:r>
        <w:rPr>
          <w:rFonts w:ascii="Calibri" w:eastAsia="Calibri" w:hAnsi="Calibri" w:cs="Calibri"/>
          <w:lang w:val="en-GB"/>
        </w:rPr>
        <w:t>have</w:t>
      </w:r>
      <w:r w:rsidRPr="00C129CC">
        <w:rPr>
          <w:rFonts w:ascii="Calibri" w:eastAsia="Calibri" w:hAnsi="Calibri" w:cs="Calibri"/>
          <w:lang w:val="en-GB"/>
        </w:rPr>
        <w:t xml:space="preserve"> been </w:t>
      </w:r>
      <w:r>
        <w:rPr>
          <w:rFonts w:ascii="Calibri" w:eastAsia="Calibri" w:hAnsi="Calibri" w:cs="Calibri"/>
          <w:lang w:val="en-GB"/>
        </w:rPr>
        <w:t>very good, but inevitably with a large, complex service there were a couple of areas w</w:t>
      </w:r>
      <w:r w:rsidR="00321CCC">
        <w:rPr>
          <w:rFonts w:ascii="Calibri" w:eastAsia="Calibri" w:hAnsi="Calibri" w:cs="Calibri"/>
          <w:lang w:val="en-GB"/>
        </w:rPr>
        <w:t>ith issues arising (see areas with issues below)</w:t>
      </w:r>
      <w:r w:rsidRPr="00C129CC">
        <w:rPr>
          <w:rFonts w:ascii="Calibri" w:eastAsia="Calibri" w:hAnsi="Calibri" w:cs="Calibri"/>
          <w:lang w:val="en-GB"/>
        </w:rPr>
        <w:t>.</w:t>
      </w:r>
      <w:r w:rsidR="00321CCC">
        <w:rPr>
          <w:rFonts w:ascii="Calibri" w:eastAsia="Calibri" w:hAnsi="Calibri" w:cs="Calibri"/>
          <w:lang w:val="en-GB"/>
        </w:rPr>
        <w:t xml:space="preserve"> </w:t>
      </w:r>
      <w:r w:rsidR="00A5019A">
        <w:rPr>
          <w:rFonts w:ascii="Calibri" w:eastAsia="Calibri" w:hAnsi="Calibri" w:cs="Calibri"/>
          <w:lang w:val="en-GB"/>
        </w:rPr>
        <w:t>Despite</w:t>
      </w:r>
      <w:r w:rsidR="00321CCC">
        <w:rPr>
          <w:rFonts w:ascii="Calibri" w:eastAsia="Calibri" w:hAnsi="Calibri" w:cs="Calibri"/>
          <w:lang w:val="en-GB"/>
        </w:rPr>
        <w:t xml:space="preserve"> the fact that t</w:t>
      </w:r>
      <w:r w:rsidRPr="00C129CC">
        <w:rPr>
          <w:rFonts w:ascii="Calibri" w:eastAsia="Calibri" w:hAnsi="Calibri" w:cs="Calibri"/>
          <w:lang w:val="en-GB"/>
        </w:rPr>
        <w:t xml:space="preserve">he number of services supported is increasing slightly </w:t>
      </w:r>
      <w:r w:rsidR="00321CCC">
        <w:rPr>
          <w:rFonts w:ascii="Calibri" w:eastAsia="Calibri" w:hAnsi="Calibri" w:cs="Calibri"/>
          <w:lang w:val="en-GB"/>
        </w:rPr>
        <w:t>each year, time spent supporting services as decreased and user satisfaction has remained excellent. We expect this trend to continue in 16/17. In support of our strategy of continual improvement, p</w:t>
      </w:r>
      <w:r w:rsidRPr="00C129CC">
        <w:rPr>
          <w:rFonts w:ascii="Calibri" w:eastAsia="Calibri" w:hAnsi="Calibri" w:cs="Calibri"/>
          <w:lang w:val="en-GB"/>
        </w:rPr>
        <w:t xml:space="preserve">lanned application and infrastructure upgrades make up over 60% of the downtime, </w:t>
      </w:r>
      <w:r w:rsidR="00321CCC">
        <w:rPr>
          <w:rFonts w:ascii="Calibri" w:eastAsia="Calibri" w:hAnsi="Calibri" w:cs="Calibri"/>
          <w:lang w:val="en-GB"/>
        </w:rPr>
        <w:t xml:space="preserve">another 20% covers service maintenance such as security patching, </w:t>
      </w:r>
      <w:r w:rsidRPr="00C129CC">
        <w:rPr>
          <w:rFonts w:ascii="Calibri" w:eastAsia="Calibri" w:hAnsi="Calibri" w:cs="Calibri"/>
          <w:lang w:val="en-GB"/>
        </w:rPr>
        <w:t xml:space="preserve">while </w:t>
      </w:r>
      <w:r w:rsidR="00321CCC">
        <w:rPr>
          <w:rFonts w:ascii="Calibri" w:eastAsia="Calibri" w:hAnsi="Calibri" w:cs="Calibri"/>
          <w:lang w:val="en-GB"/>
        </w:rPr>
        <w:t xml:space="preserve">only </w:t>
      </w:r>
      <w:r w:rsidRPr="00C129CC">
        <w:rPr>
          <w:rFonts w:ascii="Calibri" w:eastAsia="Calibri" w:hAnsi="Calibri" w:cs="Calibri"/>
          <w:lang w:val="en-GB"/>
        </w:rPr>
        <w:t xml:space="preserve">20% </w:t>
      </w:r>
      <w:r w:rsidR="00321CCC">
        <w:rPr>
          <w:rFonts w:ascii="Calibri" w:eastAsia="Calibri" w:hAnsi="Calibri" w:cs="Calibri"/>
          <w:lang w:val="en-GB"/>
        </w:rPr>
        <w:t>are due to unplanned service incidents</w:t>
      </w:r>
      <w:r w:rsidRPr="00C129CC">
        <w:rPr>
          <w:rFonts w:ascii="Calibri" w:eastAsia="Calibri" w:hAnsi="Calibri" w:cs="Calibri"/>
          <w:lang w:val="en-GB"/>
        </w:rPr>
        <w:t>.</w:t>
      </w:r>
      <w:r w:rsidR="00321CCC">
        <w:rPr>
          <w:rFonts w:ascii="Calibri" w:eastAsia="Calibri" w:hAnsi="Calibri" w:cs="Calibri"/>
          <w:lang w:val="en-GB"/>
        </w:rPr>
        <w:t xml:space="preserve"> </w:t>
      </w:r>
    </w:p>
    <w:p w14:paraId="0B3C06E0" w14:textId="77777777" w:rsidR="00451E18" w:rsidRPr="00C129CC" w:rsidRDefault="00451E18" w:rsidP="00451E18">
      <w:pPr>
        <w:pStyle w:val="Heading2"/>
      </w:pPr>
      <w:r w:rsidRPr="00C129CC">
        <w:rPr>
          <w:lang w:val="en-GB"/>
        </w:rPr>
        <w:t>What went well over 2015/2016</w:t>
      </w:r>
    </w:p>
    <w:p w14:paraId="3F6B5C88" w14:textId="553BEA24" w:rsidR="00A5019A" w:rsidRPr="00A5019A" w:rsidRDefault="00A5019A" w:rsidP="00A5019A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lang w:val="en-GB"/>
        </w:rPr>
      </w:pPr>
      <w:r w:rsidRPr="00C129CC">
        <w:rPr>
          <w:rFonts w:ascii="Calibri" w:eastAsia="Calibri" w:hAnsi="Calibri" w:cs="Calibri"/>
          <w:lang w:val="en-GB"/>
        </w:rPr>
        <w:t>Excellent start of term 2015 and Christmas/New year break 15/16</w:t>
      </w:r>
    </w:p>
    <w:p w14:paraId="18E07B9F" w14:textId="4BC1169B" w:rsidR="00451E18" w:rsidRPr="00A5019A" w:rsidRDefault="00451E18" w:rsidP="00A5019A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lang w:val="en-GB"/>
        </w:rPr>
      </w:pPr>
      <w:r w:rsidRPr="00A5019A">
        <w:rPr>
          <w:rFonts w:ascii="Calibri" w:eastAsia="Calibri" w:hAnsi="Calibri" w:cs="Calibri"/>
          <w:lang w:val="en-GB"/>
        </w:rPr>
        <w:t>Availabilit</w:t>
      </w:r>
      <w:r w:rsidR="00321CCC" w:rsidRPr="00A5019A">
        <w:rPr>
          <w:rFonts w:ascii="Calibri" w:eastAsia="Calibri" w:hAnsi="Calibri" w:cs="Calibri"/>
          <w:lang w:val="en-GB"/>
        </w:rPr>
        <w:t>y improved in 2015/1</w:t>
      </w:r>
      <w:r w:rsidRPr="00A5019A">
        <w:rPr>
          <w:rFonts w:ascii="Calibri" w:eastAsia="Calibri" w:hAnsi="Calibri" w:cs="Calibri"/>
          <w:lang w:val="en-GB"/>
        </w:rPr>
        <w:t>6 compared to 2014/15</w:t>
      </w:r>
    </w:p>
    <w:p w14:paraId="76F337BC" w14:textId="675AC04E" w:rsidR="00451E18" w:rsidRPr="00C129CC" w:rsidRDefault="00451E18" w:rsidP="00451E18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lang w:val="en-GB"/>
        </w:rPr>
      </w:pPr>
      <w:r w:rsidRPr="00C129CC">
        <w:rPr>
          <w:rFonts w:ascii="Calibri" w:eastAsia="Calibri" w:hAnsi="Calibri" w:cs="Calibri"/>
          <w:lang w:val="en-GB"/>
        </w:rPr>
        <w:t xml:space="preserve">Overall spend on support days has been reduced </w:t>
      </w:r>
      <w:r w:rsidR="00A5019A">
        <w:rPr>
          <w:rFonts w:ascii="Calibri" w:eastAsia="Calibri" w:hAnsi="Calibri" w:cs="Calibri"/>
          <w:lang w:val="en-GB"/>
        </w:rPr>
        <w:t>while maintaining</w:t>
      </w:r>
      <w:r w:rsidRPr="00C129CC">
        <w:rPr>
          <w:rFonts w:ascii="Calibri" w:eastAsia="Calibri" w:hAnsi="Calibri" w:cs="Calibri"/>
          <w:lang w:val="en-GB"/>
        </w:rPr>
        <w:t xml:space="preserve"> service levels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5276"/>
        <w:gridCol w:w="4686"/>
      </w:tblGrid>
      <w:tr w:rsidR="71CFD633" w:rsidRPr="00C129CC" w14:paraId="5BA9F125" w14:textId="77777777" w:rsidTr="008354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</w:tcPr>
          <w:p w14:paraId="202BD618" w14:textId="48349458" w:rsidR="71CFD633" w:rsidRPr="00C129CC" w:rsidRDefault="71CFD633"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  <w:r w:rsidRPr="00C129CC">
              <w:rPr>
                <w:lang w:val="en-GB"/>
              </w:rPr>
              <w:t xml:space="preserve">Unplanned availability </w:t>
            </w:r>
          </w:p>
          <w:p w14:paraId="436BD611" w14:textId="5759EAA8" w:rsidR="71CFD633" w:rsidRPr="00C129CC" w:rsidRDefault="00104BAB" w:rsidP="71CFD633">
            <w:r w:rsidRPr="00C129CC">
              <w:rPr>
                <w:noProof/>
                <w:lang w:val="en-GB" w:eastAsia="en-GB"/>
              </w:rPr>
              <w:drawing>
                <wp:inline distT="0" distB="0" distL="0" distR="0" wp14:anchorId="2F8C0A4C" wp14:editId="101020E6">
                  <wp:extent cx="3124200" cy="2333625"/>
                  <wp:effectExtent l="0" t="0" r="0" b="9525"/>
                  <wp:docPr id="1" name="Chart 1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xmlns:mv="urn:schemas-microsoft-com:mac:vml" xmlns:mo="http://schemas.microsoft.com/office/mac/office/2008/main" id="{019D641F-8457-4E9A-85D8-3B54F5B77A8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3849" w:type="dxa"/>
          </w:tcPr>
          <w:p w14:paraId="7F782398" w14:textId="08227F49" w:rsidR="71CFD633" w:rsidRPr="00C129CC" w:rsidRDefault="71CFD6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C129CC">
              <w:rPr>
                <w:lang w:val="en-GB"/>
              </w:rPr>
              <w:t>Number of services not meeting unplanned availability</w:t>
            </w:r>
          </w:p>
          <w:p w14:paraId="0714C190" w14:textId="091880B2" w:rsidR="71CFD633" w:rsidRPr="00C129CC" w:rsidRDefault="00104BAB" w:rsidP="00104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noProof/>
                <w:lang w:val="en-GB" w:eastAsia="en-GB"/>
              </w:rPr>
              <w:drawing>
                <wp:inline distT="0" distB="0" distL="0" distR="0" wp14:anchorId="623E329D" wp14:editId="60DE8008">
                  <wp:extent cx="2477135" cy="1615440"/>
                  <wp:effectExtent l="0" t="0" r="12065" b="1016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71CFD633" w:rsidRPr="00C129CC" w14:paraId="2BC28189" w14:textId="77777777" w:rsidTr="00835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</w:tcPr>
          <w:p w14:paraId="1928871C" w14:textId="396EAA4E" w:rsidR="71CFD633" w:rsidRPr="00C129CC" w:rsidRDefault="71CFD633" w:rsidP="008354DE">
            <w:r w:rsidRPr="00C129CC">
              <w:rPr>
                <w:lang w:val="en-GB"/>
              </w:rPr>
              <w:t>Call numbers per month raised with Production Management</w:t>
            </w:r>
            <w:r w:rsidR="007C6C43" w:rsidRPr="00C129CC">
              <w:rPr>
                <w:lang w:val="en-GB"/>
              </w:rPr>
              <w:t xml:space="preserve"> (Monthly and quarterly reports)</w:t>
            </w:r>
          </w:p>
          <w:p w14:paraId="5817CC44" w14:textId="1C87BDDF" w:rsidR="71CFD633" w:rsidRPr="00C129CC" w:rsidRDefault="008354DE">
            <w:r w:rsidRPr="00C129CC">
              <w:rPr>
                <w:noProof/>
                <w:lang w:val="en-GB" w:eastAsia="en-GB"/>
              </w:rPr>
              <w:drawing>
                <wp:inline distT="0" distB="0" distL="0" distR="0" wp14:anchorId="1E8BDDD2" wp14:editId="0498DAE4">
                  <wp:extent cx="2962275" cy="2171700"/>
                  <wp:effectExtent l="0" t="0" r="9525" b="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3849" w:type="dxa"/>
          </w:tcPr>
          <w:p w14:paraId="780D005F" w14:textId="77777777" w:rsidR="00A5019A" w:rsidRPr="00A5019A" w:rsidRDefault="00A5019A" w:rsidP="00A5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A5019A">
              <w:rPr>
                <w:b/>
                <w:lang w:val="en-GB"/>
              </w:rPr>
              <w:t>Service position feedback</w:t>
            </w:r>
          </w:p>
          <w:p w14:paraId="25D43A65" w14:textId="77777777" w:rsidR="00A5019A" w:rsidRPr="00A5019A" w:rsidRDefault="00A5019A" w:rsidP="00A5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5019A">
              <w:rPr>
                <w:lang w:val="en-GB"/>
              </w:rPr>
              <w:t>Feedback received from service owners at monthly and quarterly service review meetings.</w:t>
            </w:r>
          </w:p>
          <w:p w14:paraId="6B945E6D" w14:textId="59D0EE29" w:rsidR="002F35A3" w:rsidRPr="00C129CC" w:rsidRDefault="00A5019A" w:rsidP="00A5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129CC">
              <w:rPr>
                <w:noProof/>
                <w:lang w:val="en-GB" w:eastAsia="en-GB"/>
              </w:rPr>
              <w:drawing>
                <wp:inline distT="0" distB="0" distL="0" distR="0" wp14:anchorId="3F4D80F2" wp14:editId="19458E6D">
                  <wp:extent cx="2832735" cy="1818640"/>
                  <wp:effectExtent l="0" t="0" r="5715" b="1016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14:paraId="312E4FB2" w14:textId="6434E3A3" w:rsidR="002F35A3" w:rsidRPr="00C129CC" w:rsidRDefault="002F3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3444F" w:rsidRPr="00C129CC" w14:paraId="19827CFB" w14:textId="77777777" w:rsidTr="00F3444F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</w:tcPr>
          <w:p w14:paraId="1DCF22EE" w14:textId="6ECF3665" w:rsidR="00172C50" w:rsidRPr="00C129CC" w:rsidRDefault="00172C50" w:rsidP="00172C50">
            <w:r w:rsidRPr="00172C50">
              <w:rPr>
                <w:lang w:val="en-GB"/>
              </w:rPr>
              <w:lastRenderedPageBreak/>
              <w:t>ITIL process implementation within Production Management</w:t>
            </w:r>
            <w:r w:rsidRPr="00172C50">
              <w:rPr>
                <w:lang w:val="en-GB"/>
              </w:rPr>
              <w:t>:</w:t>
            </w:r>
            <w:r>
              <w:br/>
            </w:r>
          </w:p>
          <w:tbl>
            <w:tblPr>
              <w:tblStyle w:val="GridTable3-Accent6"/>
              <w:tblW w:w="0" w:type="auto"/>
              <w:tblLook w:val="0400" w:firstRow="0" w:lastRow="0" w:firstColumn="0" w:lastColumn="0" w:noHBand="0" w:noVBand="1"/>
            </w:tblPr>
            <w:tblGrid>
              <w:gridCol w:w="2265"/>
              <w:gridCol w:w="2265"/>
            </w:tblGrid>
            <w:tr w:rsidR="00172C50" w:rsidRPr="00C129CC" w14:paraId="42A4AA92" w14:textId="77777777" w:rsidTr="00172C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2265" w:type="dxa"/>
                </w:tcPr>
                <w:p w14:paraId="2E7BCC52" w14:textId="77777777" w:rsidR="00172C50" w:rsidRPr="00C129CC" w:rsidRDefault="00172C50" w:rsidP="00172C50">
                  <w:r w:rsidRPr="00C129CC">
                    <w:rPr>
                      <w:lang w:val="en-GB"/>
                    </w:rPr>
                    <w:t>2010/11</w:t>
                  </w:r>
                </w:p>
              </w:tc>
              <w:tc>
                <w:tcPr>
                  <w:tcW w:w="2265" w:type="dxa"/>
                </w:tcPr>
                <w:p w14:paraId="5E5A20AE" w14:textId="77777777" w:rsidR="00172C50" w:rsidRPr="00C129CC" w:rsidRDefault="00172C50" w:rsidP="00172C50">
                  <w:r w:rsidRPr="00172C50">
                    <w:rPr>
                      <w:lang w:val="en-GB"/>
                    </w:rPr>
                    <w:t>Incident</w:t>
                  </w:r>
                </w:p>
              </w:tc>
            </w:tr>
            <w:tr w:rsidR="00172C50" w:rsidRPr="00C129CC" w14:paraId="22C094BF" w14:textId="77777777" w:rsidTr="00172C50">
              <w:tc>
                <w:tcPr>
                  <w:tcW w:w="2265" w:type="dxa"/>
                </w:tcPr>
                <w:p w14:paraId="42308A71" w14:textId="77777777" w:rsidR="00172C50" w:rsidRPr="00C129CC" w:rsidRDefault="00172C50" w:rsidP="00172C50">
                  <w:r w:rsidRPr="00C129CC">
                    <w:rPr>
                      <w:lang w:val="en-GB"/>
                    </w:rPr>
                    <w:t>2012/13</w:t>
                  </w:r>
                </w:p>
              </w:tc>
              <w:tc>
                <w:tcPr>
                  <w:tcW w:w="2265" w:type="dxa"/>
                </w:tcPr>
                <w:p w14:paraId="5B3BDE00" w14:textId="77777777" w:rsidR="00172C50" w:rsidRPr="00C129CC" w:rsidRDefault="00172C50" w:rsidP="00172C50">
                  <w:r w:rsidRPr="00C129CC">
                    <w:rPr>
                      <w:lang w:val="en-GB"/>
                    </w:rPr>
                    <w:t>Problem</w:t>
                  </w:r>
                </w:p>
              </w:tc>
            </w:tr>
            <w:tr w:rsidR="00172C50" w:rsidRPr="00C129CC" w14:paraId="72301B5E" w14:textId="77777777" w:rsidTr="00172C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2265" w:type="dxa"/>
                </w:tcPr>
                <w:p w14:paraId="511728B2" w14:textId="77777777" w:rsidR="00172C50" w:rsidRPr="00C129CC" w:rsidRDefault="00172C50" w:rsidP="00172C50">
                  <w:r w:rsidRPr="00C129CC">
                    <w:rPr>
                      <w:lang w:val="en-GB"/>
                    </w:rPr>
                    <w:t>2014/15</w:t>
                  </w:r>
                </w:p>
              </w:tc>
              <w:tc>
                <w:tcPr>
                  <w:tcW w:w="2265" w:type="dxa"/>
                </w:tcPr>
                <w:p w14:paraId="00810F2E" w14:textId="77777777" w:rsidR="00172C50" w:rsidRPr="00C129CC" w:rsidRDefault="00172C50" w:rsidP="00172C50">
                  <w:r w:rsidRPr="00C129CC">
                    <w:rPr>
                      <w:lang w:val="en-GB"/>
                    </w:rPr>
                    <w:t>Change &amp; Release</w:t>
                  </w:r>
                </w:p>
              </w:tc>
            </w:tr>
            <w:tr w:rsidR="00172C50" w:rsidRPr="00C129CC" w14:paraId="5C894B6B" w14:textId="77777777" w:rsidTr="00172C50">
              <w:tc>
                <w:tcPr>
                  <w:tcW w:w="2265" w:type="dxa"/>
                </w:tcPr>
                <w:p w14:paraId="3A96E62D" w14:textId="77777777" w:rsidR="00172C50" w:rsidRPr="00C129CC" w:rsidRDefault="00172C50" w:rsidP="00172C50">
                  <w:r w:rsidRPr="00C129CC">
                    <w:rPr>
                      <w:lang w:val="en-GB"/>
                    </w:rPr>
                    <w:t>2015/16</w:t>
                  </w:r>
                </w:p>
              </w:tc>
              <w:tc>
                <w:tcPr>
                  <w:tcW w:w="2265" w:type="dxa"/>
                </w:tcPr>
                <w:p w14:paraId="4A09297C" w14:textId="77777777" w:rsidR="00172C50" w:rsidRPr="00C129CC" w:rsidRDefault="00172C50" w:rsidP="00172C50">
                  <w:r w:rsidRPr="00C129CC">
                    <w:rPr>
                      <w:lang w:val="en-GB"/>
                    </w:rPr>
                    <w:t>CMDB</w:t>
                  </w:r>
                </w:p>
              </w:tc>
            </w:tr>
          </w:tbl>
          <w:p w14:paraId="35A2F5F7" w14:textId="22998EEE" w:rsidR="007C6C43" w:rsidRPr="00C129CC" w:rsidRDefault="007C6C43" w:rsidP="008354DE">
            <w:pPr>
              <w:rPr>
                <w:lang w:val="en-GB"/>
              </w:rPr>
            </w:pPr>
          </w:p>
        </w:tc>
        <w:tc>
          <w:tcPr>
            <w:tcW w:w="3849" w:type="dxa"/>
          </w:tcPr>
          <w:p w14:paraId="289541DF" w14:textId="1E66BB94" w:rsidR="00A5019A" w:rsidRPr="00C129CC" w:rsidRDefault="00A5019A" w:rsidP="00A5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129CC">
              <w:rPr>
                <w:b/>
              </w:rPr>
              <w:t>IS wide services provided</w:t>
            </w:r>
            <w:r w:rsidR="00172C50">
              <w:rPr>
                <w:b/>
              </w:rPr>
              <w:t xml:space="preserve"> by Production Management:</w:t>
            </w:r>
            <w:r w:rsidR="00172C50">
              <w:rPr>
                <w:b/>
              </w:rPr>
              <w:br/>
            </w:r>
          </w:p>
          <w:tbl>
            <w:tblPr>
              <w:tblStyle w:val="GridTable5Dark-Accent6"/>
              <w:tblW w:w="3641" w:type="dxa"/>
              <w:tblLook w:val="0600" w:firstRow="0" w:lastRow="0" w:firstColumn="0" w:lastColumn="0" w:noHBand="1" w:noVBand="1"/>
            </w:tblPr>
            <w:tblGrid>
              <w:gridCol w:w="3641"/>
            </w:tblGrid>
            <w:tr w:rsidR="00A5019A" w:rsidRPr="00172C50" w14:paraId="63E2B527" w14:textId="77777777" w:rsidTr="00172C50">
              <w:tc>
                <w:tcPr>
                  <w:tcW w:w="3641" w:type="dxa"/>
                </w:tcPr>
                <w:p w14:paraId="010CD20C" w14:textId="62A3ABD2" w:rsidR="00A5019A" w:rsidRPr="00172C50" w:rsidRDefault="00A5019A" w:rsidP="00172C50">
                  <w:r w:rsidRPr="00172C50">
                    <w:rPr>
                      <w:lang w:val="en-GB"/>
                    </w:rPr>
                    <w:t xml:space="preserve">Start </w:t>
                  </w:r>
                  <w:r w:rsidR="00172C50">
                    <w:rPr>
                      <w:lang w:val="en-GB"/>
                    </w:rPr>
                    <w:t xml:space="preserve">of </w:t>
                  </w:r>
                  <w:r w:rsidRPr="00172C50">
                    <w:rPr>
                      <w:lang w:val="en-GB"/>
                    </w:rPr>
                    <w:t>term readiness</w:t>
                  </w:r>
                </w:p>
              </w:tc>
            </w:tr>
            <w:tr w:rsidR="00A5019A" w:rsidRPr="00172C50" w14:paraId="12A7E58B" w14:textId="77777777" w:rsidTr="00172C50">
              <w:tc>
                <w:tcPr>
                  <w:tcW w:w="3641" w:type="dxa"/>
                </w:tcPr>
                <w:p w14:paraId="0B4C8C1D" w14:textId="77777777" w:rsidR="00A5019A" w:rsidRPr="00172C50" w:rsidRDefault="00A5019A" w:rsidP="00172C50">
                  <w:r w:rsidRPr="00172C50">
                    <w:rPr>
                      <w:lang w:val="en-GB"/>
                    </w:rPr>
                    <w:t>Service position</w:t>
                  </w:r>
                </w:p>
              </w:tc>
            </w:tr>
            <w:tr w:rsidR="00A5019A" w:rsidRPr="00172C50" w14:paraId="641D47D6" w14:textId="77777777" w:rsidTr="00172C50">
              <w:tc>
                <w:tcPr>
                  <w:tcW w:w="3641" w:type="dxa"/>
                </w:tcPr>
                <w:p w14:paraId="4E1DB107" w14:textId="77777777" w:rsidR="00A5019A" w:rsidRPr="00172C50" w:rsidRDefault="00A5019A" w:rsidP="00172C50">
                  <w:r w:rsidRPr="00172C50">
                    <w:rPr>
                      <w:lang w:val="en-GB"/>
                    </w:rPr>
                    <w:t>Chairing Top Priority group</w:t>
                  </w:r>
                </w:p>
              </w:tc>
            </w:tr>
            <w:tr w:rsidR="00A5019A" w:rsidRPr="00172C50" w14:paraId="58E62AF8" w14:textId="77777777" w:rsidTr="00172C50">
              <w:trPr>
                <w:trHeight w:val="199"/>
              </w:trPr>
              <w:tc>
                <w:tcPr>
                  <w:tcW w:w="3641" w:type="dxa"/>
                </w:tcPr>
                <w:p w14:paraId="5259C4F7" w14:textId="77777777" w:rsidR="00A5019A" w:rsidRPr="00172C50" w:rsidRDefault="00A5019A" w:rsidP="00172C50">
                  <w:r w:rsidRPr="00172C50">
                    <w:rPr>
                      <w:lang w:val="en-GB"/>
                    </w:rPr>
                    <w:t>License Management Wiki</w:t>
                  </w:r>
                </w:p>
              </w:tc>
            </w:tr>
            <w:tr w:rsidR="00A5019A" w:rsidRPr="00172C50" w14:paraId="7A9D5B70" w14:textId="77777777" w:rsidTr="00172C50">
              <w:trPr>
                <w:trHeight w:val="199"/>
              </w:trPr>
              <w:tc>
                <w:tcPr>
                  <w:tcW w:w="3641" w:type="dxa"/>
                </w:tcPr>
                <w:p w14:paraId="110B53DF" w14:textId="77777777" w:rsidR="00A5019A" w:rsidRPr="00172C50" w:rsidRDefault="00A5019A" w:rsidP="00172C50">
                  <w:pPr>
                    <w:rPr>
                      <w:lang w:val="en-GB"/>
                    </w:rPr>
                  </w:pPr>
                  <w:r w:rsidRPr="00172C50">
                    <w:rPr>
                      <w:lang w:val="en-GB"/>
                    </w:rPr>
                    <w:t>Availability figures for priority services</w:t>
                  </w:r>
                </w:p>
              </w:tc>
            </w:tr>
          </w:tbl>
          <w:p w14:paraId="47C2DC19" w14:textId="001A4F4B" w:rsidR="00F3444F" w:rsidRPr="00C129CC" w:rsidRDefault="00F3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</w:tr>
    </w:tbl>
    <w:p w14:paraId="70E55055" w14:textId="07140E69" w:rsidR="71CFD633" w:rsidRPr="00C129CC" w:rsidRDefault="71CFD633"/>
    <w:p w14:paraId="52BC6625" w14:textId="6BB6E8D3" w:rsidR="71CFD633" w:rsidRPr="00C129CC" w:rsidRDefault="71CFD633" w:rsidP="71CFD633">
      <w:pPr>
        <w:pStyle w:val="Heading2"/>
        <w:rPr>
          <w:lang w:val="en-GB"/>
        </w:rPr>
      </w:pPr>
      <w:r w:rsidRPr="00C129CC">
        <w:rPr>
          <w:lang w:val="en-GB"/>
        </w:rPr>
        <w:t>Areas where we had issues over 201</w:t>
      </w:r>
      <w:r w:rsidR="00964C57" w:rsidRPr="00C129CC">
        <w:rPr>
          <w:lang w:val="en-GB"/>
        </w:rPr>
        <w:t>5/16</w:t>
      </w:r>
    </w:p>
    <w:p w14:paraId="6477EE00" w14:textId="16F83B3D" w:rsidR="00964C57" w:rsidRPr="0078175F" w:rsidRDefault="00172C50" w:rsidP="007D3942">
      <w:pPr>
        <w:rPr>
          <w:rFonts w:eastAsia="Times New Roman" w:cs="Times New Roman"/>
          <w:lang w:val="en-GB"/>
        </w:rPr>
      </w:pPr>
      <w:r w:rsidRPr="0078175F">
        <w:rPr>
          <w:rFonts w:eastAsia="Times New Roman" w:cs="Times New Roman"/>
          <w:b/>
          <w:lang w:val="en-GB"/>
        </w:rPr>
        <w:t>EUCLID</w:t>
      </w:r>
      <w:r w:rsidRPr="0078175F">
        <w:rPr>
          <w:rFonts w:eastAsia="Times New Roman" w:cs="Times New Roman"/>
          <w:b/>
          <w:lang w:val="en-GB"/>
        </w:rPr>
        <w:t xml:space="preserve"> performance issues</w:t>
      </w:r>
      <w:r w:rsidR="007D3942" w:rsidRPr="0078175F">
        <w:rPr>
          <w:rFonts w:eastAsia="Times New Roman" w:cs="Times New Roman"/>
          <w:lang w:val="en-GB"/>
        </w:rPr>
        <w:br/>
        <w:t xml:space="preserve">Performance of EUCLID and especially Admissions started to degrade from January to March 2016. There was no single cause found, but EUCLID is </w:t>
      </w:r>
      <w:r w:rsidR="0078175F" w:rsidRPr="0078175F">
        <w:rPr>
          <w:rFonts w:eastAsia="Times New Roman" w:cs="Times New Roman"/>
          <w:lang w:val="en-GB"/>
        </w:rPr>
        <w:t>a busy system regularly updated</w:t>
      </w:r>
      <w:r w:rsidR="00FF26B1">
        <w:rPr>
          <w:rFonts w:eastAsia="Times New Roman" w:cs="Times New Roman"/>
          <w:lang w:val="en-GB"/>
        </w:rPr>
        <w:t xml:space="preserve"> with </w:t>
      </w:r>
      <w:r w:rsidR="0078175F" w:rsidRPr="0078175F">
        <w:rPr>
          <w:rFonts w:eastAsia="Times New Roman" w:cs="Times New Roman"/>
          <w:lang w:val="en-GB"/>
        </w:rPr>
        <w:t xml:space="preserve">new enhancements including new </w:t>
      </w:r>
      <w:r w:rsidR="007D3942" w:rsidRPr="0078175F">
        <w:rPr>
          <w:rFonts w:eastAsia="Times New Roman" w:cs="Times New Roman"/>
          <w:lang w:val="en-GB"/>
        </w:rPr>
        <w:t xml:space="preserve">software </w:t>
      </w:r>
      <w:r w:rsidR="0078175F" w:rsidRPr="0078175F">
        <w:rPr>
          <w:rFonts w:eastAsia="Times New Roman" w:cs="Times New Roman"/>
          <w:lang w:val="en-GB"/>
        </w:rPr>
        <w:t>functionality, regular</w:t>
      </w:r>
      <w:r w:rsidR="007D3942" w:rsidRPr="0078175F">
        <w:rPr>
          <w:rFonts w:eastAsia="Times New Roman" w:cs="Times New Roman"/>
          <w:lang w:val="en-GB"/>
        </w:rPr>
        <w:t xml:space="preserve"> database changes</w:t>
      </w:r>
      <w:r w:rsidR="0078175F" w:rsidRPr="0078175F">
        <w:rPr>
          <w:rFonts w:eastAsia="Times New Roman" w:cs="Times New Roman"/>
          <w:lang w:val="en-GB"/>
        </w:rPr>
        <w:t>, as well as ongoing infrastructure review and upgrades</w:t>
      </w:r>
      <w:r w:rsidR="00777C96">
        <w:rPr>
          <w:rFonts w:eastAsia="Times New Roman" w:cs="Times New Roman"/>
          <w:lang w:val="en-GB"/>
        </w:rPr>
        <w:t>. T</w:t>
      </w:r>
      <w:r w:rsidR="0078175F" w:rsidRPr="0078175F">
        <w:rPr>
          <w:rFonts w:eastAsia="Times New Roman" w:cs="Times New Roman"/>
          <w:lang w:val="en-GB"/>
        </w:rPr>
        <w:t xml:space="preserve">he system did not have adequate </w:t>
      </w:r>
      <w:r w:rsidR="007D3942" w:rsidRPr="0078175F">
        <w:rPr>
          <w:rFonts w:eastAsia="Times New Roman" w:cs="Times New Roman"/>
          <w:lang w:val="en-GB"/>
        </w:rPr>
        <w:t xml:space="preserve">measurements and baselines in place to review </w:t>
      </w:r>
      <w:r w:rsidR="0078175F" w:rsidRPr="0078175F">
        <w:rPr>
          <w:rFonts w:eastAsia="Times New Roman" w:cs="Times New Roman"/>
          <w:lang w:val="en-GB"/>
        </w:rPr>
        <w:t xml:space="preserve">the </w:t>
      </w:r>
      <w:r w:rsidR="007D3942" w:rsidRPr="0078175F">
        <w:rPr>
          <w:rFonts w:eastAsia="Times New Roman" w:cs="Times New Roman"/>
          <w:lang w:val="en-GB"/>
        </w:rPr>
        <w:t xml:space="preserve">performance impact of </w:t>
      </w:r>
      <w:r w:rsidR="0078175F" w:rsidRPr="0078175F">
        <w:rPr>
          <w:rFonts w:eastAsia="Times New Roman" w:cs="Times New Roman"/>
          <w:lang w:val="en-GB"/>
        </w:rPr>
        <w:t xml:space="preserve">a number of </w:t>
      </w:r>
      <w:r w:rsidR="007D3942" w:rsidRPr="0078175F">
        <w:rPr>
          <w:rFonts w:eastAsia="Times New Roman" w:cs="Times New Roman"/>
          <w:lang w:val="en-GB"/>
        </w:rPr>
        <w:t xml:space="preserve">changes. </w:t>
      </w:r>
      <w:r w:rsidR="0078175F" w:rsidRPr="0078175F">
        <w:rPr>
          <w:rFonts w:eastAsia="Times New Roman" w:cs="Times New Roman"/>
          <w:lang w:val="en-GB"/>
        </w:rPr>
        <w:t xml:space="preserve">New monitoring </w:t>
      </w:r>
      <w:r w:rsidR="00777C96">
        <w:rPr>
          <w:rFonts w:eastAsia="Times New Roman" w:cs="Times New Roman"/>
          <w:lang w:val="en-GB"/>
        </w:rPr>
        <w:t>was</w:t>
      </w:r>
      <w:r w:rsidR="00FF26B1">
        <w:rPr>
          <w:rFonts w:eastAsia="Times New Roman" w:cs="Times New Roman"/>
          <w:lang w:val="en-GB"/>
        </w:rPr>
        <w:t xml:space="preserve"> implemented and </w:t>
      </w:r>
      <w:r w:rsidR="0078175F" w:rsidRPr="0078175F">
        <w:rPr>
          <w:rFonts w:eastAsia="Times New Roman" w:cs="Times New Roman"/>
          <w:lang w:val="en-GB"/>
        </w:rPr>
        <w:t>the immediate performance</w:t>
      </w:r>
      <w:r w:rsidR="007D3942" w:rsidRPr="0078175F">
        <w:rPr>
          <w:rFonts w:eastAsia="Times New Roman" w:cs="Times New Roman"/>
          <w:lang w:val="en-GB"/>
        </w:rPr>
        <w:t xml:space="preserve"> </w:t>
      </w:r>
      <w:r w:rsidR="00777C96">
        <w:rPr>
          <w:rFonts w:eastAsia="Times New Roman" w:cs="Times New Roman"/>
          <w:lang w:val="en-GB"/>
        </w:rPr>
        <w:t xml:space="preserve">issue </w:t>
      </w:r>
      <w:r w:rsidR="00FF26B1">
        <w:rPr>
          <w:rFonts w:eastAsia="Times New Roman" w:cs="Times New Roman"/>
          <w:lang w:val="en-GB"/>
        </w:rPr>
        <w:t xml:space="preserve">was resolved </w:t>
      </w:r>
      <w:r w:rsidR="00777C96">
        <w:rPr>
          <w:rFonts w:eastAsia="Times New Roman" w:cs="Times New Roman"/>
          <w:lang w:val="en-GB"/>
        </w:rPr>
        <w:t xml:space="preserve">by </w:t>
      </w:r>
      <w:r w:rsidR="007D3942" w:rsidRPr="0078175F">
        <w:rPr>
          <w:rFonts w:eastAsia="Times New Roman" w:cs="Times New Roman"/>
          <w:lang w:val="en-GB"/>
        </w:rPr>
        <w:t xml:space="preserve">increasing the application tier capacity in both </w:t>
      </w:r>
      <w:r w:rsidR="00777C96">
        <w:rPr>
          <w:rFonts w:eastAsia="Times New Roman" w:cs="Times New Roman"/>
          <w:lang w:val="en-GB"/>
        </w:rPr>
        <w:t xml:space="preserve">the </w:t>
      </w:r>
      <w:r w:rsidR="007D3942" w:rsidRPr="0078175F">
        <w:rPr>
          <w:rFonts w:eastAsia="Times New Roman" w:cs="Times New Roman"/>
          <w:lang w:val="en-GB"/>
        </w:rPr>
        <w:t>number of servers as we</w:t>
      </w:r>
      <w:r w:rsidR="00777C96">
        <w:rPr>
          <w:rFonts w:eastAsia="Times New Roman" w:cs="Times New Roman"/>
          <w:lang w:val="en-GB"/>
        </w:rPr>
        <w:t xml:space="preserve">ll as the server capacity </w:t>
      </w:r>
      <w:r w:rsidR="0078175F" w:rsidRPr="0078175F">
        <w:rPr>
          <w:rFonts w:eastAsia="Times New Roman" w:cs="Times New Roman"/>
          <w:lang w:val="en-GB"/>
        </w:rPr>
        <w:t>in line with these new additional measurements. In order to ensure good ongoing performance, a project has been initiated</w:t>
      </w:r>
      <w:r w:rsidR="007D3942" w:rsidRPr="0078175F">
        <w:rPr>
          <w:rFonts w:eastAsia="Times New Roman" w:cs="Times New Roman"/>
          <w:lang w:val="en-GB"/>
        </w:rPr>
        <w:t xml:space="preserve"> to add additional </w:t>
      </w:r>
      <w:r w:rsidR="00E12636">
        <w:rPr>
          <w:rFonts w:eastAsia="Times New Roman" w:cs="Times New Roman"/>
          <w:lang w:val="en-GB"/>
        </w:rPr>
        <w:t>monitoring</w:t>
      </w:r>
      <w:r w:rsidR="007D3942" w:rsidRPr="0078175F">
        <w:rPr>
          <w:rFonts w:eastAsia="Times New Roman" w:cs="Times New Roman"/>
          <w:lang w:val="en-GB"/>
        </w:rPr>
        <w:t>.</w:t>
      </w:r>
    </w:p>
    <w:p w14:paraId="60F1F42A" w14:textId="11D2193B" w:rsidR="00964C57" w:rsidRPr="0078175F" w:rsidRDefault="00172C50" w:rsidP="006B6C48">
      <w:pPr>
        <w:rPr>
          <w:rFonts w:eastAsia="Times New Roman" w:cs="Times New Roman"/>
          <w:lang w:val="en-GB"/>
        </w:rPr>
      </w:pPr>
      <w:r w:rsidRPr="0078175F">
        <w:rPr>
          <w:rFonts w:eastAsia="Times New Roman" w:cs="Times New Roman"/>
          <w:b/>
          <w:lang w:val="en-GB"/>
        </w:rPr>
        <w:t>Wiki</w:t>
      </w:r>
      <w:r w:rsidRPr="0078175F">
        <w:rPr>
          <w:rFonts w:eastAsia="Times New Roman" w:cs="Times New Roman"/>
          <w:b/>
          <w:lang w:val="en-GB"/>
        </w:rPr>
        <w:t xml:space="preserve"> service stability</w:t>
      </w:r>
      <w:r w:rsidR="006B6C48" w:rsidRPr="0078175F">
        <w:rPr>
          <w:rFonts w:eastAsia="Times New Roman" w:cs="Times New Roman"/>
          <w:lang w:val="en-GB"/>
        </w:rPr>
        <w:br/>
        <w:t>The W</w:t>
      </w:r>
      <w:r w:rsidR="0078175F">
        <w:rPr>
          <w:rFonts w:eastAsia="Times New Roman" w:cs="Times New Roman"/>
          <w:lang w:val="en-GB"/>
        </w:rPr>
        <w:t xml:space="preserve">iki service had regular </w:t>
      </w:r>
      <w:r w:rsidR="006B6C48" w:rsidRPr="0078175F">
        <w:rPr>
          <w:rFonts w:eastAsia="Times New Roman" w:cs="Times New Roman"/>
          <w:lang w:val="en-GB"/>
        </w:rPr>
        <w:t xml:space="preserve">failures. </w:t>
      </w:r>
      <w:r w:rsidR="0078175F">
        <w:rPr>
          <w:rFonts w:eastAsia="Times New Roman" w:cs="Times New Roman"/>
          <w:lang w:val="en-GB"/>
        </w:rPr>
        <w:t>Investigation determined that the crashes were being</w:t>
      </w:r>
      <w:r w:rsidR="006B6C48" w:rsidRPr="0078175F">
        <w:rPr>
          <w:rFonts w:eastAsia="Times New Roman" w:cs="Times New Roman"/>
          <w:lang w:val="en-GB"/>
        </w:rPr>
        <w:t xml:space="preserve"> caused by</w:t>
      </w:r>
      <w:r w:rsidR="0078175F">
        <w:rPr>
          <w:rFonts w:eastAsia="Times New Roman" w:cs="Times New Roman"/>
          <w:lang w:val="en-GB"/>
        </w:rPr>
        <w:t xml:space="preserve"> one user group using the Wiki to host</w:t>
      </w:r>
      <w:r w:rsidR="006B6C48" w:rsidRPr="0078175F">
        <w:rPr>
          <w:rFonts w:eastAsia="Times New Roman" w:cs="Times New Roman"/>
          <w:lang w:val="en-GB"/>
        </w:rPr>
        <w:t xml:space="preserve"> an application </w:t>
      </w:r>
      <w:r w:rsidR="00E12636">
        <w:rPr>
          <w:rFonts w:eastAsia="Times New Roman" w:cs="Times New Roman"/>
          <w:lang w:val="en-GB"/>
        </w:rPr>
        <w:t>that was</w:t>
      </w:r>
      <w:r w:rsidR="0078175F">
        <w:rPr>
          <w:rFonts w:eastAsia="Times New Roman" w:cs="Times New Roman"/>
          <w:lang w:val="en-GB"/>
        </w:rPr>
        <w:t xml:space="preserve"> using</w:t>
      </w:r>
      <w:r w:rsidR="006B6C48" w:rsidRPr="0078175F">
        <w:rPr>
          <w:rFonts w:eastAsia="Times New Roman" w:cs="Times New Roman"/>
          <w:lang w:val="en-GB"/>
        </w:rPr>
        <w:t xml:space="preserve"> deprecated AP</w:t>
      </w:r>
      <w:r w:rsidR="0078175F">
        <w:rPr>
          <w:rFonts w:eastAsia="Times New Roman" w:cs="Times New Roman"/>
          <w:lang w:val="en-GB"/>
        </w:rPr>
        <w:t>Is</w:t>
      </w:r>
      <w:r w:rsidR="006B6C48" w:rsidRPr="0078175F">
        <w:rPr>
          <w:rFonts w:eastAsia="Times New Roman" w:cs="Times New Roman"/>
          <w:lang w:val="en-GB"/>
        </w:rPr>
        <w:t xml:space="preserve"> </w:t>
      </w:r>
      <w:r w:rsidR="00E12636">
        <w:rPr>
          <w:rFonts w:eastAsia="Times New Roman" w:cs="Times New Roman"/>
          <w:lang w:val="en-GB"/>
        </w:rPr>
        <w:t>causing</w:t>
      </w:r>
      <w:r w:rsidR="0078175F">
        <w:rPr>
          <w:rFonts w:eastAsia="Times New Roman" w:cs="Times New Roman"/>
          <w:lang w:val="en-GB"/>
        </w:rPr>
        <w:t xml:space="preserve"> a</w:t>
      </w:r>
      <w:r w:rsidR="006B6C48" w:rsidRPr="0078175F">
        <w:rPr>
          <w:rFonts w:eastAsia="Times New Roman" w:cs="Times New Roman"/>
          <w:lang w:val="en-GB"/>
        </w:rPr>
        <w:t xml:space="preserve"> very high load. The solution was to create a separate Wiki for this specific use and </w:t>
      </w:r>
      <w:r w:rsidR="0078175F">
        <w:rPr>
          <w:rFonts w:eastAsia="Times New Roman" w:cs="Times New Roman"/>
          <w:lang w:val="en-GB"/>
        </w:rPr>
        <w:t>since this was implemented the W</w:t>
      </w:r>
      <w:r w:rsidR="006B6C48" w:rsidRPr="0078175F">
        <w:rPr>
          <w:rFonts w:eastAsia="Times New Roman" w:cs="Times New Roman"/>
          <w:lang w:val="en-GB"/>
        </w:rPr>
        <w:t xml:space="preserve">iki crashes </w:t>
      </w:r>
      <w:r w:rsidR="0078175F">
        <w:rPr>
          <w:rFonts w:eastAsia="Times New Roman" w:cs="Times New Roman"/>
          <w:lang w:val="en-GB"/>
        </w:rPr>
        <w:t xml:space="preserve">have </w:t>
      </w:r>
      <w:r w:rsidR="006B6C48" w:rsidRPr="0078175F">
        <w:rPr>
          <w:rFonts w:eastAsia="Times New Roman" w:cs="Times New Roman"/>
          <w:lang w:val="en-GB"/>
        </w:rPr>
        <w:t>stopped.</w:t>
      </w:r>
    </w:p>
    <w:p w14:paraId="0CA5F2E5" w14:textId="7014A570" w:rsidR="71CFD633" w:rsidRPr="00C129CC" w:rsidRDefault="71CFD633" w:rsidP="00172C50">
      <w:pPr>
        <w:pStyle w:val="Heading2"/>
      </w:pPr>
      <w:r w:rsidRPr="00C129CC">
        <w:rPr>
          <w:lang w:val="en-GB"/>
        </w:rPr>
        <w:t>Challenges going forward</w:t>
      </w:r>
    </w:p>
    <w:p w14:paraId="7894D205" w14:textId="52068E03" w:rsidR="000A2BF7" w:rsidRPr="00C129CC" w:rsidRDefault="006B6C48" w:rsidP="006B6C48">
      <w:pPr>
        <w:ind w:left="360" w:hanging="360"/>
        <w:rPr>
          <w:rFonts w:ascii="Calibri" w:eastAsia="Calibri" w:hAnsi="Calibri" w:cs="Calibri"/>
          <w:lang w:val="en-GB"/>
        </w:rPr>
      </w:pPr>
      <w:r w:rsidRPr="00C129CC">
        <w:rPr>
          <w:rFonts w:ascii="Calibri" w:eastAsia="Calibri" w:hAnsi="Calibri" w:cs="Calibri"/>
          <w:b/>
          <w:lang w:val="en-GB"/>
        </w:rPr>
        <w:t>End of life</w:t>
      </w:r>
      <w:r w:rsidR="000A2BF7" w:rsidRPr="00C129CC">
        <w:rPr>
          <w:rFonts w:ascii="Calibri" w:eastAsia="Calibri" w:hAnsi="Calibri" w:cs="Calibri"/>
          <w:b/>
          <w:lang w:val="en-GB"/>
        </w:rPr>
        <w:t xml:space="preserve"> (EOL)</w:t>
      </w:r>
      <w:r w:rsidRPr="00C129CC">
        <w:rPr>
          <w:rFonts w:ascii="Calibri" w:eastAsia="Calibri" w:hAnsi="Calibri" w:cs="Calibri"/>
          <w:b/>
          <w:lang w:val="en-GB"/>
        </w:rPr>
        <w:t xml:space="preserve"> and configuration management (CMDB)</w:t>
      </w:r>
      <w:r w:rsidR="005F3646">
        <w:rPr>
          <w:rFonts w:ascii="Calibri" w:eastAsia="Calibri" w:hAnsi="Calibri" w:cs="Calibri"/>
          <w:lang w:val="en-GB"/>
        </w:rPr>
        <w:br/>
        <w:t>While over 15/16 an</w:t>
      </w:r>
      <w:r w:rsidRPr="00C129CC">
        <w:rPr>
          <w:rFonts w:ascii="Calibri" w:eastAsia="Calibri" w:hAnsi="Calibri" w:cs="Calibri"/>
          <w:lang w:val="en-GB"/>
        </w:rPr>
        <w:t xml:space="preserve"> end of life register for IT components has been established and a CMDB has been created and populated, </w:t>
      </w:r>
      <w:r w:rsidR="005F3646">
        <w:rPr>
          <w:rFonts w:ascii="Calibri" w:eastAsia="Calibri" w:hAnsi="Calibri" w:cs="Calibri"/>
          <w:lang w:val="en-GB"/>
        </w:rPr>
        <w:t xml:space="preserve">we have more work to do to develop and implement processes to ensure the data is maintained </w:t>
      </w:r>
      <w:r w:rsidRPr="00C129CC">
        <w:rPr>
          <w:rFonts w:ascii="Calibri" w:eastAsia="Calibri" w:hAnsi="Calibri" w:cs="Calibri"/>
          <w:lang w:val="en-GB"/>
        </w:rPr>
        <w:t xml:space="preserve">. The main issue is that there is substantial manual input required to </w:t>
      </w:r>
      <w:r w:rsidR="005F3646">
        <w:rPr>
          <w:rFonts w:ascii="Calibri" w:eastAsia="Calibri" w:hAnsi="Calibri" w:cs="Calibri"/>
          <w:lang w:val="en-GB"/>
        </w:rPr>
        <w:t xml:space="preserve">populate </w:t>
      </w:r>
      <w:r w:rsidR="00777C96">
        <w:rPr>
          <w:rFonts w:ascii="Calibri" w:eastAsia="Calibri" w:hAnsi="Calibri" w:cs="Calibri"/>
          <w:lang w:val="en-GB"/>
        </w:rPr>
        <w:t>and maintain the data</w:t>
      </w:r>
      <w:r w:rsidR="005F3646">
        <w:rPr>
          <w:rFonts w:ascii="Calibri" w:eastAsia="Calibri" w:hAnsi="Calibri" w:cs="Calibri"/>
          <w:lang w:val="en-GB"/>
        </w:rPr>
        <w:t>.</w:t>
      </w:r>
      <w:r w:rsidRPr="00C129CC">
        <w:rPr>
          <w:rFonts w:ascii="Calibri" w:eastAsia="Calibri" w:hAnsi="Calibri" w:cs="Calibri"/>
          <w:lang w:val="en-GB"/>
        </w:rPr>
        <w:t xml:space="preserve"> </w:t>
      </w:r>
      <w:r w:rsidR="00FF26B1">
        <w:rPr>
          <w:rFonts w:ascii="Calibri" w:eastAsia="Calibri" w:hAnsi="Calibri" w:cs="Calibri"/>
          <w:lang w:val="en-GB"/>
        </w:rPr>
        <w:t>A review is underway to try and simplify this process</w:t>
      </w:r>
      <w:r w:rsidR="005F3646">
        <w:rPr>
          <w:rFonts w:ascii="Calibri" w:eastAsia="Calibri" w:hAnsi="Calibri" w:cs="Calibri"/>
          <w:lang w:val="en-GB"/>
        </w:rPr>
        <w:t xml:space="preserve"> so that we are able to leverage this information for better planning across our service portfolios</w:t>
      </w:r>
      <w:r w:rsidR="000A2BF7" w:rsidRPr="00C129CC">
        <w:rPr>
          <w:rFonts w:ascii="Calibri" w:eastAsia="Calibri" w:hAnsi="Calibri" w:cs="Calibri"/>
          <w:lang w:val="en-GB"/>
        </w:rPr>
        <w:t>. I</w:t>
      </w:r>
      <w:r w:rsidR="005F3646">
        <w:rPr>
          <w:rFonts w:ascii="Calibri" w:eastAsia="Calibri" w:hAnsi="Calibri" w:cs="Calibri"/>
          <w:lang w:val="en-GB"/>
        </w:rPr>
        <w:t xml:space="preserve">n October 2016, we will for the first time </w:t>
      </w:r>
      <w:r w:rsidR="000A2BF7" w:rsidRPr="00C129CC">
        <w:rPr>
          <w:rFonts w:ascii="Calibri" w:eastAsia="Calibri" w:hAnsi="Calibri" w:cs="Calibri"/>
          <w:lang w:val="en-GB"/>
        </w:rPr>
        <w:t xml:space="preserve">have an </w:t>
      </w:r>
      <w:r w:rsidR="005F3646">
        <w:rPr>
          <w:rFonts w:ascii="Calibri" w:eastAsia="Calibri" w:hAnsi="Calibri" w:cs="Calibri"/>
          <w:lang w:val="en-GB"/>
        </w:rPr>
        <w:t xml:space="preserve">up-to-date </w:t>
      </w:r>
      <w:r w:rsidR="000A2BF7" w:rsidRPr="00C129CC">
        <w:rPr>
          <w:rFonts w:ascii="Calibri" w:eastAsia="Calibri" w:hAnsi="Calibri" w:cs="Calibri"/>
          <w:lang w:val="en-GB"/>
        </w:rPr>
        <w:t>EOL document for each service portfolio.</w:t>
      </w:r>
    </w:p>
    <w:p w14:paraId="4397CA4A" w14:textId="024A06B5" w:rsidR="000A2BF7" w:rsidRDefault="000A2BF7" w:rsidP="006B6C48">
      <w:pPr>
        <w:ind w:left="360" w:hanging="360"/>
        <w:rPr>
          <w:rFonts w:ascii="Calibri" w:eastAsia="Calibri" w:hAnsi="Calibri" w:cs="Calibri"/>
          <w:lang w:val="en-GB"/>
        </w:rPr>
      </w:pPr>
      <w:r w:rsidRPr="00C129CC">
        <w:rPr>
          <w:rFonts w:ascii="Calibri" w:eastAsia="Calibri" w:hAnsi="Calibri" w:cs="Calibri"/>
          <w:b/>
          <w:lang w:val="en-GB"/>
        </w:rPr>
        <w:t>Disaster Recovery</w:t>
      </w:r>
      <w:r w:rsidR="00777C96">
        <w:rPr>
          <w:rFonts w:ascii="Calibri" w:eastAsia="Calibri" w:hAnsi="Calibri" w:cs="Calibri"/>
          <w:b/>
          <w:lang w:val="en-GB"/>
        </w:rPr>
        <w:t xml:space="preserve"> (DR</w:t>
      </w:r>
      <w:proofErr w:type="gramStart"/>
      <w:r w:rsidR="00777C96">
        <w:rPr>
          <w:rFonts w:ascii="Calibri" w:eastAsia="Calibri" w:hAnsi="Calibri" w:cs="Calibri"/>
          <w:b/>
          <w:lang w:val="en-GB"/>
        </w:rPr>
        <w:t>)</w:t>
      </w:r>
      <w:proofErr w:type="gramEnd"/>
      <w:r w:rsidRPr="00C129CC">
        <w:rPr>
          <w:rFonts w:ascii="Calibri" w:eastAsia="Calibri" w:hAnsi="Calibri" w:cs="Calibri"/>
          <w:lang w:val="en-GB"/>
        </w:rPr>
        <w:br/>
      </w:r>
      <w:r w:rsidR="005F3646">
        <w:rPr>
          <w:rFonts w:ascii="Calibri" w:eastAsia="Calibri" w:hAnsi="Calibri" w:cs="Calibri"/>
          <w:lang w:val="en-GB"/>
        </w:rPr>
        <w:t xml:space="preserve">Our strategy of creating resilient systems has meant that we have focused less on </w:t>
      </w:r>
      <w:r w:rsidR="00777C96">
        <w:rPr>
          <w:rFonts w:ascii="Calibri" w:eastAsia="Calibri" w:hAnsi="Calibri" w:cs="Calibri"/>
          <w:lang w:val="en-GB"/>
        </w:rPr>
        <w:t>DR</w:t>
      </w:r>
      <w:r w:rsidR="005F3646">
        <w:rPr>
          <w:rFonts w:ascii="Calibri" w:eastAsia="Calibri" w:hAnsi="Calibri" w:cs="Calibri"/>
          <w:lang w:val="en-GB"/>
        </w:rPr>
        <w:t xml:space="preserve"> across services</w:t>
      </w:r>
      <w:r w:rsidR="008402FB">
        <w:rPr>
          <w:rFonts w:ascii="Calibri" w:eastAsia="Calibri" w:hAnsi="Calibri" w:cs="Calibri"/>
          <w:lang w:val="en-GB"/>
        </w:rPr>
        <w:t xml:space="preserve"> in recent years. T</w:t>
      </w:r>
      <w:r w:rsidR="005F3646">
        <w:rPr>
          <w:rFonts w:ascii="Calibri" w:eastAsia="Calibri" w:hAnsi="Calibri" w:cs="Calibri"/>
          <w:lang w:val="en-GB"/>
        </w:rPr>
        <w:t>esting has focused more on recovery for individual systems</w:t>
      </w:r>
      <w:r w:rsidR="008402FB">
        <w:rPr>
          <w:rFonts w:ascii="Calibri" w:eastAsia="Calibri" w:hAnsi="Calibri" w:cs="Calibri"/>
          <w:lang w:val="en-GB"/>
        </w:rPr>
        <w:t>. I</w:t>
      </w:r>
      <w:r w:rsidR="005F3646">
        <w:rPr>
          <w:rFonts w:ascii="Calibri" w:eastAsia="Calibri" w:hAnsi="Calibri" w:cs="Calibri"/>
          <w:lang w:val="en-GB"/>
        </w:rPr>
        <w:t>n the event of a major disaster</w:t>
      </w:r>
      <w:r w:rsidR="008402FB">
        <w:rPr>
          <w:rFonts w:ascii="Calibri" w:eastAsia="Calibri" w:hAnsi="Calibri" w:cs="Calibri"/>
          <w:lang w:val="en-GB"/>
        </w:rPr>
        <w:t xml:space="preserve">, however, we want to be confident </w:t>
      </w:r>
      <w:r w:rsidR="005F3646">
        <w:rPr>
          <w:rFonts w:ascii="Calibri" w:eastAsia="Calibri" w:hAnsi="Calibri" w:cs="Calibri"/>
          <w:lang w:val="en-GB"/>
        </w:rPr>
        <w:t xml:space="preserve">that we are able to respond appropriately. </w:t>
      </w:r>
      <w:r w:rsidRPr="00C129CC">
        <w:rPr>
          <w:rFonts w:ascii="Calibri" w:eastAsia="Calibri" w:hAnsi="Calibri" w:cs="Calibri"/>
          <w:lang w:val="en-GB"/>
        </w:rPr>
        <w:t xml:space="preserve">In June 2016 we therefore started a project to review all </w:t>
      </w:r>
      <w:r w:rsidR="00777C96">
        <w:rPr>
          <w:rFonts w:ascii="Calibri" w:eastAsia="Calibri" w:hAnsi="Calibri" w:cs="Calibri"/>
          <w:lang w:val="en-GB"/>
        </w:rPr>
        <w:t>DR</w:t>
      </w:r>
      <w:r w:rsidRPr="00C129CC">
        <w:rPr>
          <w:rFonts w:ascii="Calibri" w:eastAsia="Calibri" w:hAnsi="Calibri" w:cs="Calibri"/>
          <w:lang w:val="en-GB"/>
        </w:rPr>
        <w:t xml:space="preserve"> documentation and depe</w:t>
      </w:r>
      <w:r w:rsidR="005F3646">
        <w:rPr>
          <w:rFonts w:ascii="Calibri" w:eastAsia="Calibri" w:hAnsi="Calibri" w:cs="Calibri"/>
          <w:lang w:val="en-GB"/>
        </w:rPr>
        <w:t xml:space="preserve">ndencies. This project is under way and future projects are planned to re-introduce some </w:t>
      </w:r>
      <w:r w:rsidR="00986BCC">
        <w:rPr>
          <w:rFonts w:ascii="Calibri" w:eastAsia="Calibri" w:hAnsi="Calibri" w:cs="Calibri"/>
          <w:lang w:val="en-GB"/>
        </w:rPr>
        <w:t>cross-</w:t>
      </w:r>
      <w:r w:rsidR="005F3646">
        <w:rPr>
          <w:rFonts w:ascii="Calibri" w:eastAsia="Calibri" w:hAnsi="Calibri" w:cs="Calibri"/>
          <w:lang w:val="en-GB"/>
        </w:rPr>
        <w:t>application testing</w:t>
      </w:r>
      <w:r w:rsidRPr="00C129CC">
        <w:rPr>
          <w:rFonts w:ascii="Calibri" w:eastAsia="Calibri" w:hAnsi="Calibri" w:cs="Calibri"/>
          <w:lang w:val="en-GB"/>
        </w:rPr>
        <w:t xml:space="preserve"> as well </w:t>
      </w:r>
      <w:r w:rsidR="005F3646">
        <w:rPr>
          <w:rFonts w:ascii="Calibri" w:eastAsia="Calibri" w:hAnsi="Calibri" w:cs="Calibri"/>
          <w:lang w:val="en-GB"/>
        </w:rPr>
        <w:t>as projects focusing on the</w:t>
      </w:r>
      <w:r w:rsidRPr="00C129CC">
        <w:rPr>
          <w:rFonts w:ascii="Calibri" w:eastAsia="Calibri" w:hAnsi="Calibri" w:cs="Calibri"/>
          <w:lang w:val="en-GB"/>
        </w:rPr>
        <w:t xml:space="preserve"> underlying infrastructure </w:t>
      </w:r>
      <w:r w:rsidR="00986BCC">
        <w:rPr>
          <w:rFonts w:ascii="Calibri" w:eastAsia="Calibri" w:hAnsi="Calibri" w:cs="Calibri"/>
          <w:lang w:val="en-GB"/>
        </w:rPr>
        <w:t xml:space="preserve">to give us </w:t>
      </w:r>
      <w:r w:rsidR="00777C96">
        <w:rPr>
          <w:rFonts w:ascii="Calibri" w:eastAsia="Calibri" w:hAnsi="Calibri" w:cs="Calibri"/>
          <w:lang w:val="en-GB"/>
        </w:rPr>
        <w:t xml:space="preserve">more </w:t>
      </w:r>
      <w:r w:rsidR="00986BCC">
        <w:rPr>
          <w:rFonts w:ascii="Calibri" w:eastAsia="Calibri" w:hAnsi="Calibri" w:cs="Calibri"/>
          <w:lang w:val="en-GB"/>
        </w:rPr>
        <w:t>confidence in our position with regard to</w:t>
      </w:r>
      <w:r w:rsidRPr="00C129CC">
        <w:rPr>
          <w:rFonts w:ascii="Calibri" w:eastAsia="Calibri" w:hAnsi="Calibri" w:cs="Calibri"/>
          <w:lang w:val="en-GB"/>
        </w:rPr>
        <w:t xml:space="preserve"> </w:t>
      </w:r>
      <w:r w:rsidR="00777C96">
        <w:rPr>
          <w:rFonts w:ascii="Calibri" w:eastAsia="Calibri" w:hAnsi="Calibri" w:cs="Calibri"/>
          <w:lang w:val="en-GB"/>
        </w:rPr>
        <w:t>DR</w:t>
      </w:r>
      <w:r w:rsidRPr="00C129CC">
        <w:rPr>
          <w:rFonts w:ascii="Calibri" w:eastAsia="Calibri" w:hAnsi="Calibri" w:cs="Calibri"/>
          <w:lang w:val="en-GB"/>
        </w:rPr>
        <w:t>.</w:t>
      </w:r>
    </w:p>
    <w:p w14:paraId="3E077C5E" w14:textId="4A70F00F" w:rsidR="006B6C48" w:rsidRPr="00C129CC" w:rsidRDefault="008402FB" w:rsidP="00777C96">
      <w:pPr>
        <w:ind w:left="360" w:hanging="360"/>
        <w:rPr>
          <w:rFonts w:ascii="Calibri" w:eastAsia="Calibri" w:hAnsi="Calibri" w:cs="Calibri"/>
          <w:lang w:val="en-GB"/>
        </w:rPr>
      </w:pPr>
      <w:r w:rsidRPr="00C129CC">
        <w:rPr>
          <w:rFonts w:ascii="Calibri" w:eastAsia="Calibri" w:hAnsi="Calibri" w:cs="Calibri"/>
          <w:b/>
          <w:lang w:val="en-GB"/>
        </w:rPr>
        <w:t>Resource levels</w:t>
      </w:r>
      <w:r w:rsidRPr="00C129CC">
        <w:rPr>
          <w:rFonts w:ascii="Calibri" w:eastAsia="Calibri" w:hAnsi="Calibri" w:cs="Calibri"/>
          <w:lang w:val="en-GB"/>
        </w:rPr>
        <w:br/>
      </w:r>
      <w:r>
        <w:rPr>
          <w:rFonts w:ascii="Calibri" w:eastAsia="Calibri" w:hAnsi="Calibri" w:cs="Calibri"/>
          <w:lang w:val="en-GB"/>
        </w:rPr>
        <w:t xml:space="preserve">Flat cash budgeting has meant that </w:t>
      </w:r>
      <w:r w:rsidRPr="00C129CC">
        <w:rPr>
          <w:rFonts w:ascii="Calibri" w:eastAsia="Calibri" w:hAnsi="Calibri" w:cs="Calibri"/>
          <w:lang w:val="en-GB"/>
        </w:rPr>
        <w:t xml:space="preserve">staff levels have been reduced over the last 2 years from 23 staff to 21 staff. </w:t>
      </w:r>
      <w:r>
        <w:rPr>
          <w:rFonts w:ascii="Calibri" w:eastAsia="Calibri" w:hAnsi="Calibri" w:cs="Calibri"/>
          <w:lang w:val="en-GB"/>
        </w:rPr>
        <w:t xml:space="preserve">We have been able to achieve this efficiency without </w:t>
      </w:r>
      <w:r w:rsidR="00777C96">
        <w:rPr>
          <w:rFonts w:ascii="Calibri" w:eastAsia="Calibri" w:hAnsi="Calibri" w:cs="Calibri"/>
          <w:lang w:val="en-GB"/>
        </w:rPr>
        <w:t>service impact</w:t>
      </w:r>
      <w:r>
        <w:rPr>
          <w:rFonts w:ascii="Calibri" w:eastAsia="Calibri" w:hAnsi="Calibri" w:cs="Calibri"/>
          <w:lang w:val="en-GB"/>
        </w:rPr>
        <w:t xml:space="preserve"> despite </w:t>
      </w:r>
      <w:r w:rsidR="00777C96">
        <w:rPr>
          <w:rFonts w:ascii="Calibri" w:eastAsia="Calibri" w:hAnsi="Calibri" w:cs="Calibri"/>
          <w:lang w:val="en-GB"/>
        </w:rPr>
        <w:t>an increase in the</w:t>
      </w:r>
      <w:r w:rsidRPr="00C129CC">
        <w:rPr>
          <w:rFonts w:ascii="Calibri" w:eastAsia="Calibri" w:hAnsi="Calibri" w:cs="Calibri"/>
          <w:lang w:val="en-GB"/>
        </w:rPr>
        <w:t xml:space="preserve"> number </w:t>
      </w:r>
      <w:r>
        <w:rPr>
          <w:rFonts w:ascii="Calibri" w:eastAsia="Calibri" w:hAnsi="Calibri" w:cs="Calibri"/>
          <w:lang w:val="en-GB"/>
        </w:rPr>
        <w:t xml:space="preserve">and complexity </w:t>
      </w:r>
      <w:r w:rsidR="00777C96">
        <w:rPr>
          <w:rFonts w:ascii="Calibri" w:eastAsia="Calibri" w:hAnsi="Calibri" w:cs="Calibri"/>
          <w:lang w:val="en-GB"/>
        </w:rPr>
        <w:t xml:space="preserve">of services </w:t>
      </w:r>
      <w:r w:rsidRPr="00C129CC">
        <w:rPr>
          <w:rFonts w:ascii="Calibri" w:eastAsia="Calibri" w:hAnsi="Calibri" w:cs="Calibri"/>
          <w:lang w:val="en-GB"/>
        </w:rPr>
        <w:t>over the same period.</w:t>
      </w:r>
      <w:r w:rsidR="00777C96">
        <w:rPr>
          <w:rFonts w:ascii="Calibri" w:eastAsia="Calibri" w:hAnsi="Calibri" w:cs="Calibri"/>
          <w:lang w:val="en-GB"/>
        </w:rPr>
        <w:t xml:space="preserve"> Overhead reduction</w:t>
      </w:r>
      <w:r w:rsidRPr="00C129CC">
        <w:rPr>
          <w:rFonts w:ascii="Calibri" w:eastAsia="Calibri" w:hAnsi="Calibri" w:cs="Calibri"/>
          <w:lang w:val="en-GB"/>
        </w:rPr>
        <w:t xml:space="preserve"> and shift left ha</w:t>
      </w:r>
      <w:r w:rsidR="00777C96">
        <w:rPr>
          <w:rFonts w:ascii="Calibri" w:eastAsia="Calibri" w:hAnsi="Calibri" w:cs="Calibri"/>
          <w:lang w:val="en-GB"/>
        </w:rPr>
        <w:t xml:space="preserve">ve </w:t>
      </w:r>
      <w:r w:rsidRPr="00C129CC">
        <w:rPr>
          <w:rFonts w:ascii="Calibri" w:eastAsia="Calibri" w:hAnsi="Calibri" w:cs="Calibri"/>
          <w:lang w:val="en-GB"/>
        </w:rPr>
        <w:t xml:space="preserve">helped </w:t>
      </w:r>
      <w:r w:rsidR="00777C96">
        <w:rPr>
          <w:rFonts w:ascii="Calibri" w:eastAsia="Calibri" w:hAnsi="Calibri" w:cs="Calibri"/>
          <w:lang w:val="en-GB"/>
        </w:rPr>
        <w:t>lower</w:t>
      </w:r>
      <w:r w:rsidRPr="00C129CC">
        <w:rPr>
          <w:rFonts w:ascii="Calibri" w:eastAsia="Calibri" w:hAnsi="Calibri" w:cs="Calibri"/>
          <w:lang w:val="en-GB"/>
        </w:rPr>
        <w:t xml:space="preserve"> costs per serv</w:t>
      </w:r>
      <w:r w:rsidR="00E12636">
        <w:rPr>
          <w:rFonts w:ascii="Calibri" w:eastAsia="Calibri" w:hAnsi="Calibri" w:cs="Calibri"/>
          <w:lang w:val="en-GB"/>
        </w:rPr>
        <w:t xml:space="preserve">ice, but </w:t>
      </w:r>
      <w:r w:rsidRPr="00C129CC">
        <w:rPr>
          <w:rFonts w:ascii="Calibri" w:eastAsia="Calibri" w:hAnsi="Calibri" w:cs="Calibri"/>
          <w:lang w:val="en-GB"/>
        </w:rPr>
        <w:t>further reduction will impact servi</w:t>
      </w:r>
      <w:r w:rsidR="00777C96">
        <w:rPr>
          <w:rFonts w:ascii="Calibri" w:eastAsia="Calibri" w:hAnsi="Calibri" w:cs="Calibri"/>
          <w:lang w:val="en-GB"/>
        </w:rPr>
        <w:t>ces. F</w:t>
      </w:r>
      <w:r w:rsidRPr="00C129CC">
        <w:rPr>
          <w:rFonts w:ascii="Calibri" w:eastAsia="Calibri" w:hAnsi="Calibri" w:cs="Calibri"/>
          <w:lang w:val="en-GB"/>
        </w:rPr>
        <w:t xml:space="preserve">urther reduction would mean that we would have single points of failure in resources </w:t>
      </w:r>
      <w:r w:rsidR="00115799">
        <w:rPr>
          <w:rFonts w:ascii="Calibri" w:eastAsia="Calibri" w:hAnsi="Calibri" w:cs="Calibri"/>
          <w:lang w:val="en-GB"/>
        </w:rPr>
        <w:t xml:space="preserve">and skillsets </w:t>
      </w:r>
      <w:bookmarkStart w:id="0" w:name="_GoBack"/>
      <w:bookmarkEnd w:id="0"/>
      <w:r w:rsidRPr="00C129CC">
        <w:rPr>
          <w:rFonts w:ascii="Calibri" w:eastAsia="Calibri" w:hAnsi="Calibri" w:cs="Calibri"/>
          <w:lang w:val="en-GB"/>
        </w:rPr>
        <w:t>meaning that we may not be able to react out of hours or support work may be delayed due to staff being unavailable (e</w:t>
      </w:r>
      <w:r w:rsidR="00777C96">
        <w:rPr>
          <w:rFonts w:ascii="Calibri" w:eastAsia="Calibri" w:hAnsi="Calibri" w:cs="Calibri"/>
          <w:lang w:val="en-GB"/>
        </w:rPr>
        <w:t>.</w:t>
      </w:r>
      <w:r w:rsidRPr="00C129CC">
        <w:rPr>
          <w:rFonts w:ascii="Calibri" w:eastAsia="Calibri" w:hAnsi="Calibri" w:cs="Calibri"/>
          <w:lang w:val="en-GB"/>
        </w:rPr>
        <w:t>g</w:t>
      </w:r>
      <w:r w:rsidR="00777C96">
        <w:rPr>
          <w:rFonts w:ascii="Calibri" w:eastAsia="Calibri" w:hAnsi="Calibri" w:cs="Calibri"/>
          <w:lang w:val="en-GB"/>
        </w:rPr>
        <w:t>.</w:t>
      </w:r>
      <w:r w:rsidRPr="00C129CC">
        <w:rPr>
          <w:rFonts w:ascii="Calibri" w:eastAsia="Calibri" w:hAnsi="Calibri" w:cs="Calibri"/>
          <w:lang w:val="en-GB"/>
        </w:rPr>
        <w:t xml:space="preserve"> annual leave).</w:t>
      </w:r>
    </w:p>
    <w:p w14:paraId="30E71CC1" w14:textId="631BAE93" w:rsidR="71CFD633" w:rsidRPr="00C129CC" w:rsidRDefault="71CFD633" w:rsidP="71CFD633">
      <w:pPr>
        <w:pStyle w:val="Heading2"/>
      </w:pPr>
      <w:r w:rsidRPr="00C129CC">
        <w:rPr>
          <w:lang w:val="en-GB"/>
        </w:rPr>
        <w:lastRenderedPageBreak/>
        <w:t xml:space="preserve">Appendix </w:t>
      </w:r>
      <w:proofErr w:type="gramStart"/>
      <w:r w:rsidRPr="00C129CC">
        <w:rPr>
          <w:lang w:val="en-GB"/>
        </w:rPr>
        <w:t>A</w:t>
      </w:r>
      <w:proofErr w:type="gramEnd"/>
      <w:r w:rsidRPr="00C129CC">
        <w:rPr>
          <w:lang w:val="en-GB"/>
        </w:rPr>
        <w:t xml:space="preserve"> List of services managed by Production Management</w:t>
      </w:r>
    </w:p>
    <w:p w14:paraId="34C111F6" w14:textId="58733D2D" w:rsidR="71CFD633" w:rsidRPr="00C129CC" w:rsidRDefault="71CFD633">
      <w:r w:rsidRPr="00C129CC">
        <w:rPr>
          <w:rFonts w:ascii="Calibri" w:eastAsia="Calibri" w:hAnsi="Calibri" w:cs="Calibri"/>
          <w:lang w:val="en-GB"/>
        </w:rPr>
        <w:t xml:space="preserve"> </w:t>
      </w:r>
    </w:p>
    <w:p w14:paraId="46AEE749" w14:textId="21F8DBA6" w:rsidR="71CFD633" w:rsidRPr="00C129CC" w:rsidRDefault="71CFD633">
      <w:r w:rsidRPr="00C129CC">
        <w:rPr>
          <w:rFonts w:ascii="Calibri" w:eastAsia="Calibri" w:hAnsi="Calibri" w:cs="Calibri"/>
          <w:lang w:val="en-GB"/>
        </w:rPr>
        <w:t>High priority services</w:t>
      </w:r>
    </w:p>
    <w:p w14:paraId="51635865" w14:textId="626A80D1" w:rsidR="71CFD633" w:rsidRPr="00C129CC" w:rsidRDefault="71CFD633">
      <w:r w:rsidRPr="00C129CC">
        <w:rPr>
          <w:rFonts w:ascii="Times" w:eastAsia="Times" w:hAnsi="Times" w:cs="Times"/>
          <w:lang w:val="en-GB"/>
        </w:rPr>
        <w:t xml:space="preserve">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71CFD633" w:rsidRPr="00C129CC" w14:paraId="36ADC720" w14:textId="77777777" w:rsidTr="71CFD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591FD41" w14:textId="7FD0EB84" w:rsidR="71CFD633" w:rsidRPr="00C129CC" w:rsidRDefault="71CFD633" w:rsidP="71CFD633">
            <w:pPr>
              <w:ind w:left="93"/>
              <w:jc w:val="center"/>
            </w:pP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service_name</w:t>
            </w:r>
            <w:proofErr w:type="spellEnd"/>
          </w:p>
        </w:tc>
        <w:tc>
          <w:tcPr>
            <w:tcW w:w="4680" w:type="dxa"/>
          </w:tcPr>
          <w:p w14:paraId="1F006466" w14:textId="628B8A22" w:rsidR="71CFD633" w:rsidRPr="00C129CC" w:rsidRDefault="71CFD633" w:rsidP="71CFD633">
            <w:pPr>
              <w:ind w:left="9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Date_Launch</w:t>
            </w:r>
            <w:proofErr w:type="spellEnd"/>
          </w:p>
        </w:tc>
      </w:tr>
      <w:tr w:rsidR="71CFD633" w:rsidRPr="00C129CC" w14:paraId="01E09AF3" w14:textId="77777777" w:rsidTr="71CFD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7638579" w14:textId="2F9BD90B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EUCLID web</w:t>
            </w:r>
          </w:p>
        </w:tc>
        <w:tc>
          <w:tcPr>
            <w:tcW w:w="4680" w:type="dxa"/>
          </w:tcPr>
          <w:p w14:paraId="35F44325" w14:textId="17B49223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&lt;2010</w:t>
            </w:r>
          </w:p>
        </w:tc>
      </w:tr>
      <w:tr w:rsidR="71CFD633" w:rsidRPr="00C129CC" w14:paraId="57940118" w14:textId="77777777" w:rsidTr="71CFD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0839C678" w14:textId="3B1DEAB3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University Website</w:t>
            </w:r>
          </w:p>
        </w:tc>
        <w:tc>
          <w:tcPr>
            <w:tcW w:w="4680" w:type="dxa"/>
          </w:tcPr>
          <w:p w14:paraId="2977CFF5" w14:textId="7A64CD06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&lt;2010</w:t>
            </w:r>
          </w:p>
        </w:tc>
      </w:tr>
      <w:tr w:rsidR="71CFD633" w:rsidRPr="00C129CC" w14:paraId="154DD7E4" w14:textId="77777777" w:rsidTr="71CFD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168D65BE" w14:textId="31FBC4CF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Central Wiki Service</w:t>
            </w:r>
          </w:p>
        </w:tc>
        <w:tc>
          <w:tcPr>
            <w:tcW w:w="4680" w:type="dxa"/>
          </w:tcPr>
          <w:p w14:paraId="2A3B2E10" w14:textId="2B57DC7D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2010</w:t>
            </w:r>
          </w:p>
        </w:tc>
      </w:tr>
      <w:tr w:rsidR="71CFD633" w:rsidRPr="00C129CC" w14:paraId="0166ED81" w14:textId="77777777" w:rsidTr="71CFD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76F1C293" w14:textId="1A0D5F3D" w:rsidR="71CFD633" w:rsidRPr="00C129CC" w:rsidRDefault="71CFD633" w:rsidP="71CFD633">
            <w:pPr>
              <w:ind w:left="93"/>
            </w:pP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Kinetix</w:t>
            </w:r>
            <w:proofErr w:type="spellEnd"/>
            <w:r w:rsidRPr="00C129CC">
              <w:rPr>
                <w:rFonts w:ascii="Calibri" w:eastAsia="Calibri" w:hAnsi="Calibri" w:cs="Calibri"/>
                <w:lang w:val="en-GB"/>
              </w:rPr>
              <w:t xml:space="preserve"> (KX)</w:t>
            </w:r>
          </w:p>
        </w:tc>
        <w:tc>
          <w:tcPr>
            <w:tcW w:w="4680" w:type="dxa"/>
          </w:tcPr>
          <w:p w14:paraId="14CCA265" w14:textId="04CAB7F1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&lt;2010</w:t>
            </w:r>
          </w:p>
        </w:tc>
      </w:tr>
      <w:tr w:rsidR="71CFD633" w:rsidRPr="00C129CC" w14:paraId="186AC71A" w14:textId="77777777" w:rsidTr="71CFD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A7FFE05" w14:textId="461AE6F4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Moodle</w:t>
            </w:r>
          </w:p>
        </w:tc>
        <w:tc>
          <w:tcPr>
            <w:tcW w:w="4680" w:type="dxa"/>
          </w:tcPr>
          <w:p w14:paraId="7F177A20" w14:textId="6B279DF5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2012</w:t>
            </w:r>
          </w:p>
        </w:tc>
      </w:tr>
      <w:tr w:rsidR="71CFD633" w:rsidRPr="00C129CC" w14:paraId="0A6F2538" w14:textId="77777777" w:rsidTr="71CFD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0785D140" w14:textId="5E41A10C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Learn 2011</w:t>
            </w:r>
          </w:p>
        </w:tc>
        <w:tc>
          <w:tcPr>
            <w:tcW w:w="4680" w:type="dxa"/>
          </w:tcPr>
          <w:p w14:paraId="25032E10" w14:textId="1AB43B70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2011</w:t>
            </w:r>
          </w:p>
        </w:tc>
      </w:tr>
      <w:tr w:rsidR="71CFD633" w:rsidRPr="00C129CC" w14:paraId="72FC3C74" w14:textId="77777777" w:rsidTr="71CFD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790DEEAD" w14:textId="177739CC" w:rsidR="71CFD633" w:rsidRPr="00C129CC" w:rsidRDefault="71CFD633" w:rsidP="71CFD633">
            <w:pPr>
              <w:ind w:left="93"/>
            </w:pP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MyEd</w:t>
            </w:r>
            <w:proofErr w:type="spellEnd"/>
          </w:p>
        </w:tc>
        <w:tc>
          <w:tcPr>
            <w:tcW w:w="4680" w:type="dxa"/>
          </w:tcPr>
          <w:p w14:paraId="4504F354" w14:textId="62CE3264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&lt;2010</w:t>
            </w:r>
          </w:p>
        </w:tc>
      </w:tr>
      <w:tr w:rsidR="71CFD633" w:rsidRPr="00C129CC" w14:paraId="7D356176" w14:textId="77777777" w:rsidTr="71CFD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1089F91" w14:textId="44234EEB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Office 365</w:t>
            </w:r>
          </w:p>
        </w:tc>
        <w:tc>
          <w:tcPr>
            <w:tcW w:w="4680" w:type="dxa"/>
          </w:tcPr>
          <w:p w14:paraId="3E4135B1" w14:textId="7746F325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2013</w:t>
            </w:r>
          </w:p>
        </w:tc>
      </w:tr>
    </w:tbl>
    <w:p w14:paraId="71AC6732" w14:textId="6A00C215" w:rsidR="71CFD633" w:rsidRPr="00C129CC" w:rsidRDefault="71CFD633">
      <w:r w:rsidRPr="00C129CC">
        <w:rPr>
          <w:rFonts w:ascii="Calibri" w:eastAsia="Calibri" w:hAnsi="Calibri" w:cs="Calibri"/>
          <w:lang w:val="en-GB"/>
        </w:rPr>
        <w:t xml:space="preserve"> </w:t>
      </w:r>
    </w:p>
    <w:p w14:paraId="4ED50E0D" w14:textId="15450BC0" w:rsidR="71CFD633" w:rsidRPr="00C129CC" w:rsidRDefault="71CFD633">
      <w:r w:rsidRPr="00C129CC">
        <w:rPr>
          <w:rFonts w:ascii="Calibri" w:eastAsia="Calibri" w:hAnsi="Calibri" w:cs="Calibri"/>
          <w:lang w:val="en-GB"/>
        </w:rPr>
        <w:t>Medium priority services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120"/>
        <w:gridCol w:w="3120"/>
      </w:tblGrid>
      <w:tr w:rsidR="00C129CC" w:rsidRPr="00C129CC" w14:paraId="77DB3CE0" w14:textId="77777777" w:rsidTr="00C129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790265AE" w14:textId="28CEDE84" w:rsidR="00C129CC" w:rsidRPr="00C129CC" w:rsidRDefault="00C129CC" w:rsidP="71CFD633">
            <w:pPr>
              <w:ind w:left="93"/>
              <w:jc w:val="center"/>
            </w:pP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service_name</w:t>
            </w:r>
            <w:proofErr w:type="spellEnd"/>
          </w:p>
        </w:tc>
        <w:tc>
          <w:tcPr>
            <w:tcW w:w="3120" w:type="dxa"/>
          </w:tcPr>
          <w:p w14:paraId="251B5CD6" w14:textId="2DCC4064" w:rsidR="00C129CC" w:rsidRPr="00C129CC" w:rsidRDefault="00C129CC" w:rsidP="71CFD633">
            <w:pPr>
              <w:ind w:left="9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Date_Launch</w:t>
            </w:r>
            <w:proofErr w:type="spellEnd"/>
          </w:p>
        </w:tc>
      </w:tr>
      <w:tr w:rsidR="00C129CC" w:rsidRPr="00C129CC" w14:paraId="4193F4DF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0C9FC461" w14:textId="33887FFA" w:rsidR="00C129CC" w:rsidRPr="00C129CC" w:rsidRDefault="00C129CC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HR/Payroll</w:t>
            </w:r>
          </w:p>
        </w:tc>
        <w:tc>
          <w:tcPr>
            <w:tcW w:w="3120" w:type="dxa"/>
          </w:tcPr>
          <w:p w14:paraId="0745D5D1" w14:textId="411F45A2" w:rsidR="00C129CC" w:rsidRPr="00C129CC" w:rsidRDefault="00C129CC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lang w:val="en-GB"/>
              </w:rPr>
              <w:t xml:space="preserve"> &lt;2010</w:t>
            </w:r>
          </w:p>
        </w:tc>
      </w:tr>
      <w:tr w:rsidR="00C129CC" w:rsidRPr="00C129CC" w14:paraId="3B26B378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6C07DA12" w14:textId="1B766E9B" w:rsidR="00C129CC" w:rsidRPr="00C129CC" w:rsidRDefault="00C129CC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E-Financials</w:t>
            </w:r>
          </w:p>
        </w:tc>
        <w:tc>
          <w:tcPr>
            <w:tcW w:w="3120" w:type="dxa"/>
          </w:tcPr>
          <w:p w14:paraId="66F71AB3" w14:textId="487889F5" w:rsidR="00C129CC" w:rsidRPr="00C129CC" w:rsidRDefault="00C129CC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&lt;2010</w:t>
            </w:r>
          </w:p>
        </w:tc>
      </w:tr>
      <w:tr w:rsidR="00C129CC" w:rsidRPr="00C129CC" w14:paraId="34E56082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06090223" w14:textId="506C47B3" w:rsidR="00C129CC" w:rsidRPr="00C129CC" w:rsidRDefault="00C129CC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Identity Management System</w:t>
            </w:r>
          </w:p>
        </w:tc>
        <w:tc>
          <w:tcPr>
            <w:tcW w:w="3120" w:type="dxa"/>
          </w:tcPr>
          <w:p w14:paraId="66AB17A1" w14:textId="4CEF4E60" w:rsidR="00C129CC" w:rsidRPr="00C129CC" w:rsidRDefault="00C129CC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Earlier 2010</w:t>
            </w:r>
          </w:p>
        </w:tc>
      </w:tr>
      <w:tr w:rsidR="00C129CC" w:rsidRPr="00C129CC" w14:paraId="16D53AC3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26A10146" w14:textId="6C4F7F1F" w:rsidR="00C129CC" w:rsidRPr="00C129CC" w:rsidRDefault="00C129CC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Reporting + Analytics (BI Suite)</w:t>
            </w:r>
          </w:p>
        </w:tc>
        <w:tc>
          <w:tcPr>
            <w:tcW w:w="3120" w:type="dxa"/>
          </w:tcPr>
          <w:p w14:paraId="45BE0F47" w14:textId="0DDE1019" w:rsidR="00C129CC" w:rsidRPr="00C129CC" w:rsidRDefault="00C129CC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00C129CC" w:rsidRPr="00C129CC" w14:paraId="07EAD775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65F58E12" w14:textId="4C1348DF" w:rsidR="00C129CC" w:rsidRPr="00C129CC" w:rsidRDefault="00C129CC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PURE</w:t>
            </w:r>
          </w:p>
        </w:tc>
        <w:tc>
          <w:tcPr>
            <w:tcW w:w="3120" w:type="dxa"/>
          </w:tcPr>
          <w:p w14:paraId="149D63DE" w14:textId="299490ED" w:rsidR="00C129CC" w:rsidRPr="00C129CC" w:rsidRDefault="00C129CC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2010</w:t>
            </w:r>
          </w:p>
        </w:tc>
      </w:tr>
      <w:tr w:rsidR="00C129CC" w:rsidRPr="00C129CC" w14:paraId="2C882000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3EF9694" w14:textId="6912BFAF" w:rsidR="00C129CC" w:rsidRPr="00C129CC" w:rsidRDefault="00C129CC" w:rsidP="71CFD633">
            <w:pPr>
              <w:ind w:left="93"/>
            </w:pP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eRecruitment</w:t>
            </w:r>
            <w:proofErr w:type="spellEnd"/>
          </w:p>
        </w:tc>
        <w:tc>
          <w:tcPr>
            <w:tcW w:w="3120" w:type="dxa"/>
          </w:tcPr>
          <w:p w14:paraId="49380C75" w14:textId="651BDC0E" w:rsidR="00C129CC" w:rsidRPr="00C129CC" w:rsidRDefault="00C129CC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2011</w:t>
            </w:r>
          </w:p>
        </w:tc>
      </w:tr>
      <w:tr w:rsidR="00C129CC" w:rsidRPr="00C129CC" w14:paraId="219AE49D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0D8D9E1" w14:textId="51094026" w:rsidR="00C129CC" w:rsidRPr="00C129CC" w:rsidRDefault="00C129CC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Jobs</w:t>
            </w:r>
          </w:p>
        </w:tc>
        <w:tc>
          <w:tcPr>
            <w:tcW w:w="3120" w:type="dxa"/>
          </w:tcPr>
          <w:p w14:paraId="6E4A597A" w14:textId="1CF13CBB" w:rsidR="00C129CC" w:rsidRPr="00C129CC" w:rsidRDefault="00C129CC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Decommissioned 2011</w:t>
            </w:r>
          </w:p>
        </w:tc>
      </w:tr>
      <w:tr w:rsidR="00C129CC" w:rsidRPr="00C129CC" w14:paraId="07D2BE4C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4E9233D9" w14:textId="7B016A69" w:rsidR="00C129CC" w:rsidRPr="00C129CC" w:rsidRDefault="00C129CC" w:rsidP="71CFD633">
            <w:pPr>
              <w:ind w:left="93"/>
            </w:pP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Polopoly</w:t>
            </w:r>
            <w:proofErr w:type="spellEnd"/>
            <w:r w:rsidRPr="00C129CC">
              <w:rPr>
                <w:rFonts w:ascii="Calibri" w:eastAsia="Calibri" w:hAnsi="Calibri" w:cs="Calibri"/>
                <w:lang w:val="en-GB"/>
              </w:rPr>
              <w:t xml:space="preserve"> (publishing)</w:t>
            </w:r>
          </w:p>
        </w:tc>
        <w:tc>
          <w:tcPr>
            <w:tcW w:w="3120" w:type="dxa"/>
          </w:tcPr>
          <w:p w14:paraId="6815C1D4" w14:textId="746997BF" w:rsidR="00C129CC" w:rsidRPr="00C129CC" w:rsidRDefault="00C129CC" w:rsidP="00850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De-commissioned 2015</w:t>
            </w:r>
          </w:p>
        </w:tc>
      </w:tr>
      <w:tr w:rsidR="00C129CC" w:rsidRPr="00C129CC" w14:paraId="695462CF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053DF45" w14:textId="1DC3A2B0" w:rsidR="00C129CC" w:rsidRPr="00C129CC" w:rsidRDefault="00C129CC" w:rsidP="71CFD633">
            <w:pPr>
              <w:ind w:left="93"/>
            </w:pP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EdWeb</w:t>
            </w:r>
            <w:proofErr w:type="spellEnd"/>
            <w:r w:rsidRPr="00C129CC">
              <w:rPr>
                <w:rFonts w:ascii="Calibri" w:eastAsia="Calibri" w:hAnsi="Calibri" w:cs="Calibri"/>
                <w:lang w:val="en-GB"/>
              </w:rPr>
              <w:t xml:space="preserve"> (publishing)</w:t>
            </w:r>
          </w:p>
        </w:tc>
        <w:tc>
          <w:tcPr>
            <w:tcW w:w="3120" w:type="dxa"/>
          </w:tcPr>
          <w:p w14:paraId="0230110B" w14:textId="2CEBE354" w:rsidR="00C129CC" w:rsidRPr="00C129CC" w:rsidRDefault="00C129CC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2015</w:t>
            </w:r>
          </w:p>
        </w:tc>
      </w:tr>
      <w:tr w:rsidR="00C129CC" w:rsidRPr="00C129CC" w14:paraId="772CA71F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2011807C" w14:textId="2027B143" w:rsidR="00C129CC" w:rsidRPr="00C129CC" w:rsidRDefault="00C129CC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EBIS</w:t>
            </w:r>
          </w:p>
        </w:tc>
        <w:tc>
          <w:tcPr>
            <w:tcW w:w="3120" w:type="dxa"/>
          </w:tcPr>
          <w:p w14:paraId="2BE475C2" w14:textId="5BC0DB8F" w:rsidR="00C129CC" w:rsidRPr="00C129CC" w:rsidRDefault="00C129CC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&lt;2010</w:t>
            </w:r>
          </w:p>
        </w:tc>
      </w:tr>
      <w:tr w:rsidR="00C129CC" w:rsidRPr="00C129CC" w14:paraId="32A9DC18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4534FBD9" w14:textId="5226D129" w:rsidR="00C129CC" w:rsidRPr="00C129CC" w:rsidRDefault="00C129CC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Event Booking</w:t>
            </w:r>
          </w:p>
        </w:tc>
        <w:tc>
          <w:tcPr>
            <w:tcW w:w="3120" w:type="dxa"/>
          </w:tcPr>
          <w:p w14:paraId="455D1F32" w14:textId="4CE2D867" w:rsidR="00C129CC" w:rsidRPr="00C129CC" w:rsidRDefault="00C129CC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2010</w:t>
            </w:r>
          </w:p>
        </w:tc>
      </w:tr>
      <w:tr w:rsidR="00C129CC" w:rsidRPr="00C129CC" w14:paraId="1A4B73AC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7B8FB9C1" w14:textId="31DD037C" w:rsidR="00C129CC" w:rsidRPr="00C129CC" w:rsidRDefault="00C129CC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Hosted Websites</w:t>
            </w:r>
          </w:p>
        </w:tc>
        <w:tc>
          <w:tcPr>
            <w:tcW w:w="3120" w:type="dxa"/>
          </w:tcPr>
          <w:p w14:paraId="45EC1F73" w14:textId="3B1D6AF2" w:rsidR="00C129CC" w:rsidRPr="00C129CC" w:rsidRDefault="00C129CC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&lt;2010, but doubled service over last 5 years</w:t>
            </w:r>
          </w:p>
        </w:tc>
      </w:tr>
      <w:tr w:rsidR="00C129CC" w:rsidRPr="00C129CC" w14:paraId="4C2B4EF9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3C3ED240" w14:textId="1C76D8D1" w:rsidR="00C129CC" w:rsidRPr="00C129CC" w:rsidRDefault="00C129CC" w:rsidP="71CFD633">
            <w:pPr>
              <w:ind w:left="93"/>
            </w:pP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UniDesk</w:t>
            </w:r>
            <w:proofErr w:type="spellEnd"/>
          </w:p>
        </w:tc>
        <w:tc>
          <w:tcPr>
            <w:tcW w:w="3120" w:type="dxa"/>
          </w:tcPr>
          <w:p w14:paraId="6E4253CA" w14:textId="0BBDB509" w:rsidR="00C129CC" w:rsidRPr="00C129CC" w:rsidRDefault="00C129CC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2011</w:t>
            </w:r>
          </w:p>
        </w:tc>
      </w:tr>
      <w:tr w:rsidR="00C129CC" w:rsidRPr="00C129CC" w14:paraId="73A44FD3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0906786C" w14:textId="06F39E89" w:rsidR="00C129CC" w:rsidRPr="00C129CC" w:rsidRDefault="00C129CC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Timetabling</w:t>
            </w:r>
          </w:p>
        </w:tc>
        <w:tc>
          <w:tcPr>
            <w:tcW w:w="3120" w:type="dxa"/>
          </w:tcPr>
          <w:p w14:paraId="6B9246A5" w14:textId="59241985" w:rsidR="00C129CC" w:rsidRPr="00C129CC" w:rsidRDefault="00C129CC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2012</w:t>
            </w:r>
          </w:p>
        </w:tc>
      </w:tr>
      <w:tr w:rsidR="00C129CC" w:rsidRPr="00C129CC" w14:paraId="40E35B5B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7B70DDF9" w14:textId="6D349A22" w:rsidR="00C129CC" w:rsidRPr="00C129CC" w:rsidRDefault="00C129CC" w:rsidP="71CFD633">
            <w:pPr>
              <w:ind w:left="93"/>
              <w:rPr>
                <w:rFonts w:ascii="Calibri" w:eastAsia="Calibri" w:hAnsi="Calibri" w:cs="Calibri"/>
                <w:lang w:val="en-GB"/>
              </w:rPr>
            </w:pP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Worktribe</w:t>
            </w:r>
            <w:proofErr w:type="spellEnd"/>
          </w:p>
        </w:tc>
        <w:tc>
          <w:tcPr>
            <w:tcW w:w="3120" w:type="dxa"/>
          </w:tcPr>
          <w:p w14:paraId="3400A07B" w14:textId="1609EFA8" w:rsidR="00C129CC" w:rsidRPr="00C129CC" w:rsidRDefault="00C129CC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GB"/>
              </w:rPr>
            </w:pPr>
            <w:r w:rsidRPr="00C129CC">
              <w:rPr>
                <w:rFonts w:ascii="Calibri" w:eastAsia="Calibri" w:hAnsi="Calibri" w:cs="Calibri"/>
                <w:lang w:val="en-GB"/>
              </w:rPr>
              <w:t>2015</w:t>
            </w:r>
          </w:p>
        </w:tc>
      </w:tr>
    </w:tbl>
    <w:p w14:paraId="28B6B05E" w14:textId="7434C2C4" w:rsidR="71CFD633" w:rsidRPr="00C129CC" w:rsidRDefault="71CFD633">
      <w:r w:rsidRPr="00C129CC">
        <w:rPr>
          <w:rFonts w:ascii="Calibri" w:eastAsia="Calibri" w:hAnsi="Calibri" w:cs="Calibri"/>
          <w:lang w:val="en-GB"/>
        </w:rPr>
        <w:t xml:space="preserve"> </w:t>
      </w:r>
    </w:p>
    <w:p w14:paraId="3E4D65C6" w14:textId="1F6E6479" w:rsidR="71CFD633" w:rsidRPr="00C129CC" w:rsidRDefault="71CFD633">
      <w:r w:rsidRPr="00C129CC">
        <w:rPr>
          <w:rFonts w:ascii="Calibri" w:eastAsia="Calibri" w:hAnsi="Calibri" w:cs="Calibri"/>
          <w:lang w:val="en-GB"/>
        </w:rPr>
        <w:t>Other services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71CFD633" w:rsidRPr="00C129CC" w14:paraId="5CE7E98D" w14:textId="77777777" w:rsidTr="00C129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6669348E" w14:textId="2F3741EC" w:rsidR="71CFD633" w:rsidRPr="00C129CC" w:rsidRDefault="71CFD633" w:rsidP="71CFD633">
            <w:pPr>
              <w:ind w:left="93"/>
              <w:jc w:val="center"/>
            </w:pP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service_name</w:t>
            </w:r>
            <w:proofErr w:type="spellEnd"/>
          </w:p>
        </w:tc>
        <w:tc>
          <w:tcPr>
            <w:tcW w:w="3120" w:type="dxa"/>
          </w:tcPr>
          <w:p w14:paraId="74FF103D" w14:textId="36DBADFE" w:rsidR="71CFD633" w:rsidRPr="00C129CC" w:rsidRDefault="71CFD633" w:rsidP="71CFD633">
            <w:pPr>
              <w:ind w:left="9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Priority</w:t>
            </w:r>
          </w:p>
        </w:tc>
        <w:tc>
          <w:tcPr>
            <w:tcW w:w="3120" w:type="dxa"/>
          </w:tcPr>
          <w:p w14:paraId="0BE0CC33" w14:textId="31CA6106" w:rsidR="71CFD633" w:rsidRPr="00C129CC" w:rsidRDefault="71CFD633" w:rsidP="71CFD633">
            <w:pPr>
              <w:ind w:left="9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Date_Launch</w:t>
            </w:r>
            <w:proofErr w:type="spellEnd"/>
          </w:p>
        </w:tc>
      </w:tr>
      <w:tr w:rsidR="71CFD633" w:rsidRPr="00C129CC" w14:paraId="0835E577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3FAF66B1" w14:textId="1DF4F171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Class </w:t>
            </w: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Infospeed</w:t>
            </w:r>
            <w:proofErr w:type="spellEnd"/>
          </w:p>
        </w:tc>
        <w:tc>
          <w:tcPr>
            <w:tcW w:w="3120" w:type="dxa"/>
          </w:tcPr>
          <w:p w14:paraId="3171822D" w14:textId="53D36CFB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22C8B0E3" w14:textId="3CFA9999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2012</w:t>
            </w:r>
          </w:p>
        </w:tc>
      </w:tr>
      <w:tr w:rsidR="71CFD633" w:rsidRPr="00C129CC" w14:paraId="0C54763B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4B69DD64" w14:textId="1A9189BE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Collaborative Planning</w:t>
            </w:r>
          </w:p>
        </w:tc>
        <w:tc>
          <w:tcPr>
            <w:tcW w:w="3120" w:type="dxa"/>
          </w:tcPr>
          <w:p w14:paraId="1D3B8CFC" w14:textId="533780D0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4D8449C9" w14:textId="3C8D0C8C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2010</w:t>
            </w:r>
          </w:p>
        </w:tc>
      </w:tr>
      <w:tr w:rsidR="71CFD633" w:rsidRPr="00C129CC" w14:paraId="296D7095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36BC98C" w14:textId="0A9A8CFA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Corporate Planner </w:t>
            </w:r>
          </w:p>
        </w:tc>
        <w:tc>
          <w:tcPr>
            <w:tcW w:w="3120" w:type="dxa"/>
          </w:tcPr>
          <w:p w14:paraId="3DD37C74" w14:textId="6547A5E6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6AE92B26" w14:textId="19EEDBE2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&lt;2010</w:t>
            </w:r>
          </w:p>
        </w:tc>
      </w:tr>
      <w:tr w:rsidR="71CFD633" w:rsidRPr="00C129CC" w14:paraId="4D347E42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67BB6AC6" w14:textId="048E9196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Counselling system</w:t>
            </w:r>
          </w:p>
        </w:tc>
        <w:tc>
          <w:tcPr>
            <w:tcW w:w="3120" w:type="dxa"/>
          </w:tcPr>
          <w:p w14:paraId="5D5EB26F" w14:textId="40C5DA05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61F9B261" w14:textId="58B37C68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?</w:t>
            </w:r>
          </w:p>
        </w:tc>
      </w:tr>
      <w:tr w:rsidR="71CFD633" w:rsidRPr="00C129CC" w14:paraId="2816A04B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678D454F" w14:textId="5248B2F9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Destination of Leavers of Higher Education (DLHE or previously FDS)</w:t>
            </w:r>
          </w:p>
        </w:tc>
        <w:tc>
          <w:tcPr>
            <w:tcW w:w="3120" w:type="dxa"/>
          </w:tcPr>
          <w:p w14:paraId="7423B40D" w14:textId="506F518D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6947CAE9" w14:textId="08822FA4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71CFD633" w:rsidRPr="00C129CC" w14:paraId="72361B78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00AC6C30" w14:textId="4E0CDED9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Document Management</w:t>
            </w:r>
          </w:p>
        </w:tc>
        <w:tc>
          <w:tcPr>
            <w:tcW w:w="3120" w:type="dxa"/>
          </w:tcPr>
          <w:p w14:paraId="1CA62B9B" w14:textId="1BD66A4F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6CF56A24" w14:textId="6FBD043B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2011</w:t>
            </w:r>
          </w:p>
        </w:tc>
      </w:tr>
      <w:tr w:rsidR="71CFD633" w:rsidRPr="00C129CC" w14:paraId="5F9A0110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2C19896F" w14:textId="01B542B1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DRPS - Degree Regulations and Programmes of Study</w:t>
            </w:r>
          </w:p>
        </w:tc>
        <w:tc>
          <w:tcPr>
            <w:tcW w:w="3120" w:type="dxa"/>
          </w:tcPr>
          <w:p w14:paraId="765B867E" w14:textId="742D268C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51756515" w14:textId="41FD619B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&lt;2010</w:t>
            </w:r>
          </w:p>
        </w:tc>
      </w:tr>
      <w:tr w:rsidR="71CFD633" w:rsidRPr="00C129CC" w14:paraId="24CBEF85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06B17FEF" w14:textId="21B1CCA6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lastRenderedPageBreak/>
              <w:t xml:space="preserve">Admissions </w:t>
            </w: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Datamart</w:t>
            </w:r>
            <w:proofErr w:type="spellEnd"/>
          </w:p>
        </w:tc>
        <w:tc>
          <w:tcPr>
            <w:tcW w:w="3120" w:type="dxa"/>
          </w:tcPr>
          <w:p w14:paraId="61E29EEE" w14:textId="48B1D5BD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36D968F0" w14:textId="3BD56C2E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&lt;2010</w:t>
            </w:r>
          </w:p>
        </w:tc>
      </w:tr>
      <w:tr w:rsidR="71CFD633" w:rsidRPr="00C129CC" w14:paraId="380C243C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9BFBB50" w14:textId="7A663FC9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Alert log</w:t>
            </w:r>
          </w:p>
        </w:tc>
        <w:tc>
          <w:tcPr>
            <w:tcW w:w="3120" w:type="dxa"/>
          </w:tcPr>
          <w:p w14:paraId="229F5B7B" w14:textId="28A9DE03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32A71F1A" w14:textId="27B657C1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&lt;2010</w:t>
            </w:r>
          </w:p>
        </w:tc>
      </w:tr>
      <w:tr w:rsidR="71CFD633" w:rsidRPr="00C129CC" w14:paraId="24CEDBB8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230B6154" w14:textId="62977D85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Application and Web Hosting</w:t>
            </w:r>
          </w:p>
        </w:tc>
        <w:tc>
          <w:tcPr>
            <w:tcW w:w="3120" w:type="dxa"/>
          </w:tcPr>
          <w:p w14:paraId="1A1B61A5" w14:textId="0CAE1926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3EADF527" w14:textId="6ABEA718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Earlier 2010</w:t>
            </w:r>
          </w:p>
        </w:tc>
      </w:tr>
      <w:tr w:rsidR="71CFD633" w:rsidRPr="00C129CC" w14:paraId="0119A432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294B5F0F" w14:textId="4356DD55" w:rsidR="71CFD633" w:rsidRPr="00C129CC" w:rsidRDefault="71CFD633" w:rsidP="71CFD633">
            <w:pPr>
              <w:ind w:left="93"/>
            </w:pP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Archibus</w:t>
            </w:r>
            <w:proofErr w:type="spellEnd"/>
          </w:p>
        </w:tc>
        <w:tc>
          <w:tcPr>
            <w:tcW w:w="3120" w:type="dxa"/>
          </w:tcPr>
          <w:p w14:paraId="096CCB4D" w14:textId="7A18F3B6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3726CE82" w14:textId="278560D1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&lt;2010</w:t>
            </w:r>
          </w:p>
        </w:tc>
      </w:tr>
      <w:tr w:rsidR="71CFD633" w:rsidRPr="00C129CC" w14:paraId="4AAD24AE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69C74B65" w14:textId="4142D8B2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ASTA</w:t>
            </w:r>
          </w:p>
        </w:tc>
        <w:tc>
          <w:tcPr>
            <w:tcW w:w="3120" w:type="dxa"/>
          </w:tcPr>
          <w:p w14:paraId="54C468BA" w14:textId="287A133A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3576DF92" w14:textId="0423D7F5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2009</w:t>
            </w:r>
          </w:p>
        </w:tc>
      </w:tr>
      <w:tr w:rsidR="71CFD633" w:rsidRPr="00C129CC" w14:paraId="15D712F0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462BD8F2" w14:textId="26638659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BACS Payment Software For Finance and Payroll(also called ALBACS)</w:t>
            </w:r>
          </w:p>
        </w:tc>
        <w:tc>
          <w:tcPr>
            <w:tcW w:w="3120" w:type="dxa"/>
          </w:tcPr>
          <w:p w14:paraId="241B7D6F" w14:textId="07465329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555A33D7" w14:textId="288AB318" w:rsidR="71CFD633" w:rsidRPr="00C129CC" w:rsidRDefault="0085072F" w:rsidP="00850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Decommissioned 2015</w:t>
            </w:r>
          </w:p>
        </w:tc>
      </w:tr>
      <w:tr w:rsidR="71CFD633" w:rsidRPr="00C129CC" w14:paraId="19EF7109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6935A54C" w14:textId="54A16F59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Bank wizard</w:t>
            </w:r>
          </w:p>
        </w:tc>
        <w:tc>
          <w:tcPr>
            <w:tcW w:w="3120" w:type="dxa"/>
          </w:tcPr>
          <w:p w14:paraId="2D417361" w14:textId="02D60AA6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60448F0B" w14:textId="4CE1E8D4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&lt;2010</w:t>
            </w:r>
          </w:p>
        </w:tc>
      </w:tr>
      <w:tr w:rsidR="71CFD633" w:rsidRPr="00C129CC" w14:paraId="11F8662A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26E2A832" w14:textId="49958569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BI Suite also called Reporting + Analytics</w:t>
            </w:r>
          </w:p>
        </w:tc>
        <w:tc>
          <w:tcPr>
            <w:tcW w:w="3120" w:type="dxa"/>
          </w:tcPr>
          <w:p w14:paraId="5D8AB7F0" w14:textId="6224E8FE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158A0D02" w14:textId="4425B840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Earlier 2010</w:t>
            </w:r>
          </w:p>
        </w:tc>
      </w:tr>
      <w:tr w:rsidR="71CFD633" w:rsidRPr="00C129CC" w14:paraId="1911C45D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6C2B560F" w14:textId="32E058C2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Building Energy Management Systems BEMS</w:t>
            </w:r>
          </w:p>
        </w:tc>
        <w:tc>
          <w:tcPr>
            <w:tcW w:w="3120" w:type="dxa"/>
          </w:tcPr>
          <w:p w14:paraId="0C3EFA04" w14:textId="08A79DB9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66BBFD38" w14:textId="0936F6CC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2011</w:t>
            </w:r>
          </w:p>
        </w:tc>
      </w:tr>
      <w:tr w:rsidR="71CFD633" w:rsidRPr="00C129CC" w14:paraId="10568FD4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1F54193" w14:textId="3808A20A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Trend963 and Sigma</w:t>
            </w:r>
          </w:p>
        </w:tc>
        <w:tc>
          <w:tcPr>
            <w:tcW w:w="3120" w:type="dxa"/>
          </w:tcPr>
          <w:p w14:paraId="1D975468" w14:textId="087180E4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2515F52A" w14:textId="3DB69ED5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71CFD633" w:rsidRPr="00C129CC" w14:paraId="6C2396EC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72F76CAE" w14:textId="626C91CB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Business Objects for Admissions Analysis (EUCLID)</w:t>
            </w:r>
          </w:p>
        </w:tc>
        <w:tc>
          <w:tcPr>
            <w:tcW w:w="3120" w:type="dxa"/>
          </w:tcPr>
          <w:p w14:paraId="789A7C84" w14:textId="07A67222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7FADA15C" w14:textId="56C510C7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71CFD633" w:rsidRPr="00C129CC" w14:paraId="5F6009A5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9EA01C5" w14:textId="6EAD1A41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Business Objects for EUCLID Schools Student Management Universe (ESSMU)</w:t>
            </w:r>
          </w:p>
        </w:tc>
        <w:tc>
          <w:tcPr>
            <w:tcW w:w="3120" w:type="dxa"/>
          </w:tcPr>
          <w:p w14:paraId="5F5894A3" w14:textId="6295599C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11299E5A" w14:textId="77498CE8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71CFD633" w:rsidRPr="00C129CC" w14:paraId="31790687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4F06F60C" w14:textId="345AD4A9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Buyated</w:t>
            </w:r>
            <w:proofErr w:type="spellEnd"/>
          </w:p>
        </w:tc>
        <w:tc>
          <w:tcPr>
            <w:tcW w:w="3120" w:type="dxa"/>
          </w:tcPr>
          <w:p w14:paraId="7D878180" w14:textId="2B7DF804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0C47810D" w14:textId="423D3999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2014</w:t>
            </w:r>
          </w:p>
        </w:tc>
      </w:tr>
      <w:tr w:rsidR="71CFD633" w:rsidRPr="00C129CC" w14:paraId="5FD35F26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62FE106A" w14:textId="50EEC7EA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Calum McLean</w:t>
            </w:r>
          </w:p>
        </w:tc>
        <w:tc>
          <w:tcPr>
            <w:tcW w:w="3120" w:type="dxa"/>
          </w:tcPr>
          <w:p w14:paraId="2CCE75FE" w14:textId="6537AEBB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0E936171" w14:textId="028D0E2C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&lt;2010</w:t>
            </w:r>
          </w:p>
        </w:tc>
      </w:tr>
      <w:tr w:rsidR="71CFD633" w:rsidRPr="00C129CC" w14:paraId="18466CA6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7983F460" w14:textId="7B0F82DF" w:rsidR="71CFD633" w:rsidRPr="00C129CC" w:rsidRDefault="71CFD633" w:rsidP="71CFD633">
            <w:pPr>
              <w:ind w:left="93"/>
            </w:pP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CapturED</w:t>
            </w:r>
            <w:proofErr w:type="spellEnd"/>
          </w:p>
        </w:tc>
        <w:tc>
          <w:tcPr>
            <w:tcW w:w="3120" w:type="dxa"/>
          </w:tcPr>
          <w:p w14:paraId="59D8E2FE" w14:textId="318F5CA0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3C3A8167" w14:textId="7B8BA131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2012</w:t>
            </w:r>
          </w:p>
        </w:tc>
      </w:tr>
      <w:tr w:rsidR="71CFD633" w:rsidRPr="00C129CC" w14:paraId="3E0C91BF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C567765" w14:textId="6E004A77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Card system</w:t>
            </w:r>
          </w:p>
        </w:tc>
        <w:tc>
          <w:tcPr>
            <w:tcW w:w="3120" w:type="dxa"/>
          </w:tcPr>
          <w:p w14:paraId="14C44CFE" w14:textId="6FC7D161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1828C6AC" w14:textId="37B0866D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Earlier 2010</w:t>
            </w:r>
          </w:p>
        </w:tc>
      </w:tr>
      <w:tr w:rsidR="71CFD633" w:rsidRPr="00C129CC" w14:paraId="21324945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7CEB0A47" w14:textId="705435DF" w:rsidR="71CFD633" w:rsidRPr="00C129CC" w:rsidRDefault="71CFD633" w:rsidP="71CFD633">
            <w:pPr>
              <w:ind w:left="93"/>
            </w:pP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CardioVascular</w:t>
            </w:r>
            <w:proofErr w:type="spellEnd"/>
          </w:p>
        </w:tc>
        <w:tc>
          <w:tcPr>
            <w:tcW w:w="3120" w:type="dxa"/>
          </w:tcPr>
          <w:p w14:paraId="62319130" w14:textId="56A86EBA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360E71A9" w14:textId="5A003CF4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2013</w:t>
            </w:r>
          </w:p>
        </w:tc>
      </w:tr>
      <w:tr w:rsidR="71CFD633" w:rsidRPr="00C129CC" w14:paraId="79E9F5AE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328824C4" w14:textId="6A798714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Careers and Graduate tracking system </w:t>
            </w:r>
          </w:p>
        </w:tc>
        <w:tc>
          <w:tcPr>
            <w:tcW w:w="3120" w:type="dxa"/>
          </w:tcPr>
          <w:p w14:paraId="7D92E199" w14:textId="6E6F53B7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2BE8F5D8" w14:textId="459A6DF7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71CFD633" w:rsidRPr="00C129CC" w14:paraId="203E4415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8D1FA53" w14:textId="00253563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Centre for Sport and </w:t>
            </w: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Excercise</w:t>
            </w:r>
            <w:proofErr w:type="spellEnd"/>
            <w:r w:rsidRPr="00C129CC">
              <w:rPr>
                <w:rFonts w:ascii="Calibri" w:eastAsia="Calibri" w:hAnsi="Calibri" w:cs="Calibri"/>
                <w:lang w:val="en-GB"/>
              </w:rPr>
              <w:t xml:space="preserve"> XN</w:t>
            </w:r>
          </w:p>
        </w:tc>
        <w:tc>
          <w:tcPr>
            <w:tcW w:w="3120" w:type="dxa"/>
          </w:tcPr>
          <w:p w14:paraId="40C1615F" w14:textId="6A0EB663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170C59DC" w14:textId="6F2C5043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&lt;2010</w:t>
            </w:r>
          </w:p>
        </w:tc>
      </w:tr>
      <w:tr w:rsidR="71CFD633" w:rsidRPr="00C129CC" w14:paraId="0EE22E7E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32AF65BA" w14:textId="14E6F034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CESAR</w:t>
            </w:r>
          </w:p>
        </w:tc>
        <w:tc>
          <w:tcPr>
            <w:tcW w:w="3120" w:type="dxa"/>
          </w:tcPr>
          <w:p w14:paraId="33F05669" w14:textId="093D2742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07DF4622" w14:textId="75AA6C7B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2014</w:t>
            </w:r>
          </w:p>
        </w:tc>
      </w:tr>
      <w:tr w:rsidR="71CFD633" w:rsidRPr="00C129CC" w14:paraId="082D4B9F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B442C9E" w14:textId="5958FB08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Chart of Accounts</w:t>
            </w:r>
          </w:p>
        </w:tc>
        <w:tc>
          <w:tcPr>
            <w:tcW w:w="3120" w:type="dxa"/>
          </w:tcPr>
          <w:p w14:paraId="54A80FDB" w14:textId="1363885E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0F9D1CAF" w14:textId="597F6AA8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&lt;2010</w:t>
            </w:r>
          </w:p>
        </w:tc>
      </w:tr>
      <w:tr w:rsidR="71CFD633" w:rsidRPr="00C129CC" w14:paraId="2D7C1089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0E8C2ED2" w14:textId="3229354B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Chemical Manager</w:t>
            </w:r>
          </w:p>
        </w:tc>
        <w:tc>
          <w:tcPr>
            <w:tcW w:w="3120" w:type="dxa"/>
          </w:tcPr>
          <w:p w14:paraId="2187F65E" w14:textId="1AB59F7A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3A16EBA8" w14:textId="147A32B5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2012</w:t>
            </w:r>
          </w:p>
        </w:tc>
      </w:tr>
      <w:tr w:rsidR="71CFD633" w:rsidRPr="00C129CC" w14:paraId="1FE24661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68016E21" w14:textId="044A531F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eAnalyser</w:t>
            </w:r>
            <w:proofErr w:type="spellEnd"/>
          </w:p>
        </w:tc>
        <w:tc>
          <w:tcPr>
            <w:tcW w:w="3120" w:type="dxa"/>
          </w:tcPr>
          <w:p w14:paraId="58AFD1FE" w14:textId="5DB9E74E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5A6D2572" w14:textId="706C64A4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2011</w:t>
            </w:r>
          </w:p>
        </w:tc>
      </w:tr>
      <w:tr w:rsidR="71CFD633" w:rsidRPr="00C129CC" w14:paraId="759C7F28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DBD3192" w14:textId="5A867E75" w:rsidR="71CFD633" w:rsidRPr="00C129CC" w:rsidRDefault="71CFD633" w:rsidP="71CFD633">
            <w:pPr>
              <w:ind w:left="93"/>
            </w:pP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eAuthorisations</w:t>
            </w:r>
            <w:proofErr w:type="spellEnd"/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  <w:tc>
          <w:tcPr>
            <w:tcW w:w="3120" w:type="dxa"/>
          </w:tcPr>
          <w:p w14:paraId="27ECE7BD" w14:textId="7CE30431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33015DDF" w14:textId="25423476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2013</w:t>
            </w:r>
          </w:p>
        </w:tc>
      </w:tr>
      <w:tr w:rsidR="71CFD633" w:rsidRPr="00C129CC" w14:paraId="2400540A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0E957AD1" w14:textId="0A47ED61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ECA Mini Portfolio</w:t>
            </w:r>
          </w:p>
        </w:tc>
        <w:tc>
          <w:tcPr>
            <w:tcW w:w="3120" w:type="dxa"/>
          </w:tcPr>
          <w:p w14:paraId="6F15B9D8" w14:textId="7BE6A260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2DA24CBB" w14:textId="3695E0D4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2012</w:t>
            </w:r>
          </w:p>
        </w:tc>
      </w:tr>
      <w:tr w:rsidR="71CFD633" w:rsidRPr="00C129CC" w14:paraId="1CE25678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FA06E8A" w14:textId="567A57B3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ECA Portal</w:t>
            </w:r>
          </w:p>
        </w:tc>
        <w:tc>
          <w:tcPr>
            <w:tcW w:w="3120" w:type="dxa"/>
          </w:tcPr>
          <w:p w14:paraId="0B13D45E" w14:textId="424CA09D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62CCD4EA" w14:textId="33E1C6DB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2012</w:t>
            </w:r>
          </w:p>
        </w:tc>
      </w:tr>
      <w:tr w:rsidR="71CFD633" w:rsidRPr="00C129CC" w14:paraId="3C32A5D2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02D9D85F" w14:textId="3F9B661C" w:rsidR="71CFD633" w:rsidRPr="00C129CC" w:rsidRDefault="71CFD633" w:rsidP="71CFD633">
            <w:pPr>
              <w:ind w:left="93"/>
            </w:pP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Edutxt</w:t>
            </w:r>
            <w:proofErr w:type="spellEnd"/>
            <w:r w:rsidRPr="00C129CC">
              <w:rPr>
                <w:rFonts w:ascii="Calibri" w:eastAsia="Calibri" w:hAnsi="Calibri" w:cs="Calibri"/>
                <w:lang w:val="en-GB"/>
              </w:rPr>
              <w:t xml:space="preserve"> (</w:t>
            </w: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sms</w:t>
            </w:r>
            <w:proofErr w:type="spellEnd"/>
            <w:r w:rsidRPr="00C129CC">
              <w:rPr>
                <w:rFonts w:ascii="Calibri" w:eastAsia="Calibri" w:hAnsi="Calibri" w:cs="Calibri"/>
                <w:lang w:val="en-GB"/>
              </w:rPr>
              <w:t xml:space="preserve"> messaging)</w:t>
            </w:r>
          </w:p>
        </w:tc>
        <w:tc>
          <w:tcPr>
            <w:tcW w:w="3120" w:type="dxa"/>
          </w:tcPr>
          <w:p w14:paraId="518BB60E" w14:textId="7BB1763B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5005BA15" w14:textId="08C3BC07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71CFD633" w:rsidRPr="00C129CC" w14:paraId="47BF6AF4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28B1AA9E" w14:textId="1B4CAE08" w:rsidR="71CFD633" w:rsidRPr="00C129CC" w:rsidRDefault="0085072F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Old </w:t>
            </w:r>
            <w:proofErr w:type="spellStart"/>
            <w:r w:rsidR="71CFD633" w:rsidRPr="00C129CC">
              <w:rPr>
                <w:rFonts w:ascii="Calibri" w:eastAsia="Calibri" w:hAnsi="Calibri" w:cs="Calibri"/>
                <w:lang w:val="en-GB"/>
              </w:rPr>
              <w:t>eExpenses</w:t>
            </w:r>
            <w:proofErr w:type="spellEnd"/>
          </w:p>
        </w:tc>
        <w:tc>
          <w:tcPr>
            <w:tcW w:w="3120" w:type="dxa"/>
          </w:tcPr>
          <w:p w14:paraId="4F05F269" w14:textId="10F6D3B1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1D2092EA" w14:textId="3268993A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&lt;2010</w:t>
            </w:r>
          </w:p>
        </w:tc>
      </w:tr>
      <w:tr w:rsidR="0085072F" w:rsidRPr="00C129CC" w14:paraId="7DC1FC54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7BD7F6BF" w14:textId="15FA281E" w:rsidR="0085072F" w:rsidRPr="00C129CC" w:rsidRDefault="0085072F" w:rsidP="71CFD633">
            <w:pPr>
              <w:ind w:left="93"/>
              <w:rPr>
                <w:rFonts w:ascii="Calibri" w:eastAsia="Calibri" w:hAnsi="Calibri" w:cs="Calibri"/>
                <w:lang w:val="en-GB"/>
              </w:rPr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New </w:t>
            </w: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eExpenses</w:t>
            </w:r>
            <w:proofErr w:type="spellEnd"/>
          </w:p>
        </w:tc>
        <w:tc>
          <w:tcPr>
            <w:tcW w:w="3120" w:type="dxa"/>
          </w:tcPr>
          <w:p w14:paraId="2721FA25" w14:textId="38E1B548" w:rsidR="0085072F" w:rsidRPr="00C129CC" w:rsidRDefault="0085072F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GB"/>
              </w:rPr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5D86218D" w14:textId="45F44F57" w:rsidR="0085072F" w:rsidRPr="00C129CC" w:rsidRDefault="0085072F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GB"/>
              </w:rPr>
            </w:pPr>
            <w:r w:rsidRPr="00C129CC">
              <w:rPr>
                <w:rFonts w:ascii="Calibri" w:eastAsia="Calibri" w:hAnsi="Calibri" w:cs="Calibri"/>
                <w:lang w:val="en-GB"/>
              </w:rPr>
              <w:t>2015</w:t>
            </w:r>
          </w:p>
        </w:tc>
      </w:tr>
      <w:tr w:rsidR="71CFD633" w:rsidRPr="00C129CC" w14:paraId="54A16175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3DB552D3" w14:textId="3891458C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Electronic Internal Transfers (EIT)</w:t>
            </w:r>
          </w:p>
        </w:tc>
        <w:tc>
          <w:tcPr>
            <w:tcW w:w="3120" w:type="dxa"/>
          </w:tcPr>
          <w:p w14:paraId="5D79FB80" w14:textId="33CF27D7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44330142" w14:textId="5B167A53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&lt;2010</w:t>
            </w:r>
          </w:p>
        </w:tc>
      </w:tr>
      <w:tr w:rsidR="71CFD633" w:rsidRPr="00C129CC" w14:paraId="1FC3CFCD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6D11FA74" w14:textId="7609DCA9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Electronic Voting (EVES)</w:t>
            </w:r>
          </w:p>
        </w:tc>
        <w:tc>
          <w:tcPr>
            <w:tcW w:w="3120" w:type="dxa"/>
          </w:tcPr>
          <w:p w14:paraId="4DC26E62" w14:textId="55280447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66203D1F" w14:textId="5ABE3DF8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Earlier 2010</w:t>
            </w:r>
          </w:p>
        </w:tc>
      </w:tr>
      <w:tr w:rsidR="71CFD633" w:rsidRPr="00C129CC" w14:paraId="2DDEEABD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3E0FFE67" w14:textId="14469BBE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Email for Life</w:t>
            </w:r>
          </w:p>
        </w:tc>
        <w:tc>
          <w:tcPr>
            <w:tcW w:w="3120" w:type="dxa"/>
          </w:tcPr>
          <w:p w14:paraId="058EF0ED" w14:textId="73804488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2A8659C0" w14:textId="74E2249F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&lt;2010</w:t>
            </w:r>
          </w:p>
        </w:tc>
      </w:tr>
      <w:tr w:rsidR="71CFD633" w:rsidRPr="00C129CC" w14:paraId="76AD6394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799958D1" w14:textId="3CC6B9E8" w:rsidR="71CFD633" w:rsidRPr="00C129CC" w:rsidRDefault="71CFD633" w:rsidP="71CFD633">
            <w:pPr>
              <w:ind w:left="93"/>
            </w:pP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ePay</w:t>
            </w:r>
            <w:proofErr w:type="spellEnd"/>
          </w:p>
        </w:tc>
        <w:tc>
          <w:tcPr>
            <w:tcW w:w="3120" w:type="dxa"/>
          </w:tcPr>
          <w:p w14:paraId="18F78445" w14:textId="7A293652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7DDC8DBF" w14:textId="63FC8BF7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2013</w:t>
            </w:r>
          </w:p>
        </w:tc>
      </w:tr>
      <w:tr w:rsidR="71CFD633" w:rsidRPr="00C129CC" w14:paraId="66328FF6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4041C42B" w14:textId="00CFDC83" w:rsidR="71CFD633" w:rsidRPr="00C129CC" w:rsidRDefault="71CFD633" w:rsidP="71CFD633">
            <w:pPr>
              <w:ind w:left="93"/>
            </w:pP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eStores</w:t>
            </w:r>
            <w:proofErr w:type="spellEnd"/>
          </w:p>
        </w:tc>
        <w:tc>
          <w:tcPr>
            <w:tcW w:w="3120" w:type="dxa"/>
          </w:tcPr>
          <w:p w14:paraId="1C7527F7" w14:textId="6C2AC615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5F5D2BFD" w14:textId="61597B0D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71CFD633" w:rsidRPr="00C129CC" w14:paraId="78C78F72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62226F00" w14:textId="7551CF54" w:rsidR="71CFD633" w:rsidRPr="00C129CC" w:rsidRDefault="71CFD633" w:rsidP="71CFD633">
            <w:pPr>
              <w:ind w:left="93"/>
            </w:pP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eTime</w:t>
            </w:r>
            <w:proofErr w:type="spellEnd"/>
          </w:p>
        </w:tc>
        <w:tc>
          <w:tcPr>
            <w:tcW w:w="3120" w:type="dxa"/>
          </w:tcPr>
          <w:p w14:paraId="264EB3C2" w14:textId="30E10D40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3346048E" w14:textId="3B6167F5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2013</w:t>
            </w:r>
          </w:p>
        </w:tc>
      </w:tr>
      <w:tr w:rsidR="71CFD633" w:rsidRPr="00C129CC" w14:paraId="710B317A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D2348A4" w14:textId="317C0D23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EU Press</w:t>
            </w:r>
          </w:p>
        </w:tc>
        <w:tc>
          <w:tcPr>
            <w:tcW w:w="3120" w:type="dxa"/>
          </w:tcPr>
          <w:p w14:paraId="0C36EB72" w14:textId="0370D870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118E00AA" w14:textId="141F0B6F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2014</w:t>
            </w:r>
          </w:p>
        </w:tc>
      </w:tr>
      <w:tr w:rsidR="71CFD633" w:rsidRPr="00C129CC" w14:paraId="041DDB38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B04058A" w14:textId="0082EEB4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eXcellUploader</w:t>
            </w:r>
            <w:proofErr w:type="spellEnd"/>
          </w:p>
        </w:tc>
        <w:tc>
          <w:tcPr>
            <w:tcW w:w="3120" w:type="dxa"/>
          </w:tcPr>
          <w:p w14:paraId="76A8B135" w14:textId="1FBF2BC8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00F9704D" w14:textId="443E2A47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2011</w:t>
            </w:r>
          </w:p>
        </w:tc>
      </w:tr>
      <w:tr w:rsidR="71CFD633" w:rsidRPr="00C129CC" w14:paraId="31F8C982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699F3A57" w14:textId="60661EA0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Finance Channels</w:t>
            </w:r>
          </w:p>
        </w:tc>
        <w:tc>
          <w:tcPr>
            <w:tcW w:w="3120" w:type="dxa"/>
          </w:tcPr>
          <w:p w14:paraId="319F7752" w14:textId="4B079893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2496BBC1" w14:textId="74E35578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&lt;2010</w:t>
            </w:r>
          </w:p>
        </w:tc>
      </w:tr>
      <w:tr w:rsidR="71CFD633" w:rsidRPr="00C129CC" w14:paraId="523BC0DE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558B1CD" w14:textId="365C8CE6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Finance Process Manager (FPM)</w:t>
            </w:r>
          </w:p>
        </w:tc>
        <w:tc>
          <w:tcPr>
            <w:tcW w:w="3120" w:type="dxa"/>
          </w:tcPr>
          <w:p w14:paraId="3FD0AFDA" w14:textId="48D9C606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22A7D670" w14:textId="711B86CC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71CFD633" w:rsidRPr="00C129CC" w14:paraId="1BD421FF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28982305" w14:textId="2CFE47A6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lastRenderedPageBreak/>
              <w:t>FOI - Freedom of Information Publication Scheme</w:t>
            </w:r>
          </w:p>
        </w:tc>
        <w:tc>
          <w:tcPr>
            <w:tcW w:w="3120" w:type="dxa"/>
          </w:tcPr>
          <w:p w14:paraId="61C506F6" w14:textId="66AF0B93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3273BC63" w14:textId="0EF5768A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&lt;2010</w:t>
            </w:r>
          </w:p>
        </w:tc>
      </w:tr>
      <w:tr w:rsidR="71CFD633" w:rsidRPr="00C129CC" w14:paraId="18C90D97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281E4874" w14:textId="6FF0A01A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Front Office</w:t>
            </w:r>
          </w:p>
        </w:tc>
        <w:tc>
          <w:tcPr>
            <w:tcW w:w="3120" w:type="dxa"/>
          </w:tcPr>
          <w:p w14:paraId="31D08A3A" w14:textId="41772B05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655DAFE7" w14:textId="540586BC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&lt;2010</w:t>
            </w:r>
          </w:p>
        </w:tc>
      </w:tr>
      <w:tr w:rsidR="71CFD633" w:rsidRPr="00C129CC" w14:paraId="1D299822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3D1E6E77" w14:textId="21D71B4D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Global Maps</w:t>
            </w:r>
          </w:p>
        </w:tc>
        <w:tc>
          <w:tcPr>
            <w:tcW w:w="3120" w:type="dxa"/>
          </w:tcPr>
          <w:p w14:paraId="2E17BCF5" w14:textId="5FAF7F31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627D992E" w14:textId="657EC893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2013</w:t>
            </w:r>
          </w:p>
        </w:tc>
      </w:tr>
      <w:tr w:rsidR="71CFD633" w:rsidRPr="00C129CC" w14:paraId="44DEB4A4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2CC19CB9" w14:textId="00361647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Global Showcase</w:t>
            </w:r>
          </w:p>
        </w:tc>
        <w:tc>
          <w:tcPr>
            <w:tcW w:w="3120" w:type="dxa"/>
          </w:tcPr>
          <w:p w14:paraId="14616D76" w14:textId="5DB41512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06BB8652" w14:textId="0734F4B5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&lt;2010</w:t>
            </w:r>
          </w:p>
        </w:tc>
      </w:tr>
      <w:tr w:rsidR="71CFD633" w:rsidRPr="00C129CC" w14:paraId="264010FE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FCC43D7" w14:textId="02F9CA18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HR Manager Workflow Channel</w:t>
            </w:r>
          </w:p>
        </w:tc>
        <w:tc>
          <w:tcPr>
            <w:tcW w:w="3120" w:type="dxa"/>
          </w:tcPr>
          <w:p w14:paraId="20931D46" w14:textId="12F51748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19275DFD" w14:textId="4E742597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71CFD633" w:rsidRPr="00C129CC" w14:paraId="28D9835E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E4D436D" w14:textId="232200C8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HR Recruitment Admin System</w:t>
            </w:r>
          </w:p>
        </w:tc>
        <w:tc>
          <w:tcPr>
            <w:tcW w:w="3120" w:type="dxa"/>
          </w:tcPr>
          <w:p w14:paraId="1D831C8C" w14:textId="75C32E29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79770D94" w14:textId="63B410D9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2012 (had jobs website)</w:t>
            </w:r>
          </w:p>
        </w:tc>
      </w:tr>
      <w:tr w:rsidR="71CFD633" w:rsidRPr="00C129CC" w14:paraId="44128954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41A5CF6C" w14:textId="5F38E2D7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HR Reward System</w:t>
            </w:r>
          </w:p>
        </w:tc>
        <w:tc>
          <w:tcPr>
            <w:tcW w:w="3120" w:type="dxa"/>
          </w:tcPr>
          <w:p w14:paraId="277BF3CD" w14:textId="6023CC54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74707CE2" w14:textId="3B25ACDC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de-commissioned</w:t>
            </w:r>
          </w:p>
        </w:tc>
      </w:tr>
      <w:tr w:rsidR="71CFD633" w:rsidRPr="00C129CC" w14:paraId="0E1C2DE2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620750D1" w14:textId="5DFB0DC5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Infinite</w:t>
            </w:r>
          </w:p>
        </w:tc>
        <w:tc>
          <w:tcPr>
            <w:tcW w:w="3120" w:type="dxa"/>
          </w:tcPr>
          <w:p w14:paraId="32B4B1C9" w14:textId="41B91E88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5AADE56F" w14:textId="638FF418" w:rsidR="71CFD633" w:rsidRPr="00C129CC" w:rsidRDefault="0085072F" w:rsidP="00850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De-commissioned 2015</w:t>
            </w:r>
          </w:p>
        </w:tc>
      </w:tr>
      <w:tr w:rsidR="71CFD633" w:rsidRPr="00C129CC" w14:paraId="40C5A5CD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4A4F1681" w14:textId="6B1E0378" w:rsidR="71CFD633" w:rsidRPr="00C129CC" w:rsidRDefault="71CFD633" w:rsidP="71CFD633">
            <w:pPr>
              <w:ind w:left="93"/>
            </w:pP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Infoed</w:t>
            </w:r>
            <w:proofErr w:type="spellEnd"/>
            <w:r w:rsidRPr="00C129CC">
              <w:rPr>
                <w:rFonts w:ascii="Calibri" w:eastAsia="Calibri" w:hAnsi="Calibri" w:cs="Calibri"/>
                <w:lang w:val="en-GB"/>
              </w:rPr>
              <w:t xml:space="preserve"> for ERI</w:t>
            </w:r>
          </w:p>
        </w:tc>
        <w:tc>
          <w:tcPr>
            <w:tcW w:w="3120" w:type="dxa"/>
          </w:tcPr>
          <w:p w14:paraId="3DC84869" w14:textId="1E5DEEF5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62006033" w14:textId="3B68C2F7" w:rsidR="71CFD633" w:rsidRPr="00C129CC" w:rsidRDefault="0085072F" w:rsidP="00850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De-commissioned 2015</w:t>
            </w:r>
          </w:p>
        </w:tc>
      </w:tr>
      <w:tr w:rsidR="71CFD633" w:rsidRPr="00C129CC" w14:paraId="7976FE44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C408503" w14:textId="55D147A5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Inventory OCS</w:t>
            </w:r>
          </w:p>
        </w:tc>
        <w:tc>
          <w:tcPr>
            <w:tcW w:w="3120" w:type="dxa"/>
          </w:tcPr>
          <w:p w14:paraId="7D07DC26" w14:textId="320BB30F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4695F7AA" w14:textId="6E9803DC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71CFD633" w:rsidRPr="00C129CC" w14:paraId="4B65353A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4E1C468C" w14:textId="452E5906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IS Managed Mobile Service</w:t>
            </w:r>
          </w:p>
        </w:tc>
        <w:tc>
          <w:tcPr>
            <w:tcW w:w="3120" w:type="dxa"/>
          </w:tcPr>
          <w:p w14:paraId="795C9359" w14:textId="51CD4773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019DBF15" w14:textId="70761426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&lt;2010</w:t>
            </w:r>
          </w:p>
        </w:tc>
      </w:tr>
      <w:tr w:rsidR="71CFD633" w:rsidRPr="00C129CC" w14:paraId="4DBFBC62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FE03424" w14:textId="1DA021CA" w:rsidR="71CFD633" w:rsidRPr="00C129CC" w:rsidRDefault="71CFD633" w:rsidP="71CFD633">
            <w:pPr>
              <w:ind w:left="93"/>
            </w:pP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isSkills</w:t>
            </w:r>
            <w:proofErr w:type="spellEnd"/>
          </w:p>
        </w:tc>
        <w:tc>
          <w:tcPr>
            <w:tcW w:w="3120" w:type="dxa"/>
          </w:tcPr>
          <w:p w14:paraId="6DCABE2B" w14:textId="53374CAC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4FEB6E4B" w14:textId="26ABF4B7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2012</w:t>
            </w:r>
          </w:p>
        </w:tc>
      </w:tr>
      <w:tr w:rsidR="71CFD633" w:rsidRPr="00C129CC" w14:paraId="22A7FB20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DEDA22E" w14:textId="5F2A07FF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Jams</w:t>
            </w:r>
          </w:p>
        </w:tc>
        <w:tc>
          <w:tcPr>
            <w:tcW w:w="3120" w:type="dxa"/>
          </w:tcPr>
          <w:p w14:paraId="03B48314" w14:textId="02AF5278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03A87B06" w14:textId="5AB16059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2013</w:t>
            </w:r>
          </w:p>
        </w:tc>
      </w:tr>
      <w:tr w:rsidR="71CFD633" w:rsidRPr="00C129CC" w14:paraId="040CCB27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7B7E3FA8" w14:textId="15046CD4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JIRA</w:t>
            </w:r>
          </w:p>
        </w:tc>
        <w:tc>
          <w:tcPr>
            <w:tcW w:w="3120" w:type="dxa"/>
          </w:tcPr>
          <w:p w14:paraId="7BD3619F" w14:textId="5D54BE58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344638B1" w14:textId="21CCF114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2011</w:t>
            </w:r>
          </w:p>
        </w:tc>
      </w:tr>
      <w:tr w:rsidR="71CFD633" w:rsidRPr="00C129CC" w14:paraId="5820F7B3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7567AE87" w14:textId="08D6D2C5" w:rsidR="71CFD633" w:rsidRPr="00C129CC" w:rsidRDefault="71CFD633" w:rsidP="71CFD633">
            <w:pPr>
              <w:ind w:left="93"/>
            </w:pP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JourneyX</w:t>
            </w:r>
            <w:proofErr w:type="spellEnd"/>
          </w:p>
        </w:tc>
        <w:tc>
          <w:tcPr>
            <w:tcW w:w="3120" w:type="dxa"/>
          </w:tcPr>
          <w:p w14:paraId="50425BB7" w14:textId="44317A6A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2BE4C2F4" w14:textId="38A6EA46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&lt;2010</w:t>
            </w:r>
          </w:p>
        </w:tc>
      </w:tr>
      <w:tr w:rsidR="71CFD633" w:rsidRPr="00C129CC" w14:paraId="5CCE437A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0BEE21E5" w14:textId="02DFA802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Kinetics - this covers the following applications: </w:t>
            </w: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Webhotel</w:t>
            </w:r>
            <w:proofErr w:type="spellEnd"/>
          </w:p>
        </w:tc>
        <w:tc>
          <w:tcPr>
            <w:tcW w:w="3120" w:type="dxa"/>
          </w:tcPr>
          <w:p w14:paraId="3C133EC2" w14:textId="350E875D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31392E06" w14:textId="28E4C3E6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&lt;2010</w:t>
            </w:r>
          </w:p>
        </w:tc>
      </w:tr>
      <w:tr w:rsidR="71CFD633" w:rsidRPr="00C129CC" w14:paraId="05638BA2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0D61F449" w14:textId="68FE53B4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Edinburgh First</w:t>
            </w:r>
          </w:p>
        </w:tc>
        <w:tc>
          <w:tcPr>
            <w:tcW w:w="3120" w:type="dxa"/>
          </w:tcPr>
          <w:p w14:paraId="4DCDA152" w14:textId="7408C404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41C1237C" w14:textId="243F6969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71CFD633" w:rsidRPr="00C129CC" w14:paraId="52EE3FD8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674ABFE6" w14:textId="1ACFAEF4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Salisbury Green Hotel</w:t>
            </w:r>
          </w:p>
        </w:tc>
        <w:tc>
          <w:tcPr>
            <w:tcW w:w="3120" w:type="dxa"/>
          </w:tcPr>
          <w:p w14:paraId="211B2B9F" w14:textId="5AACA27F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7EFF6FFD" w14:textId="275F09FF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71CFD633" w:rsidRPr="00C129CC" w14:paraId="5A13CD3B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03A39013" w14:textId="143A7EC7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Edinburgh Flats</w:t>
            </w:r>
          </w:p>
        </w:tc>
        <w:tc>
          <w:tcPr>
            <w:tcW w:w="3120" w:type="dxa"/>
          </w:tcPr>
          <w:p w14:paraId="24B18ABA" w14:textId="624E6980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31A0EF70" w14:textId="080ACFDB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71CFD633" w:rsidRPr="00C129CC" w14:paraId="418AA19C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4BFC969B" w14:textId="33E6A361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Students forms</w:t>
            </w:r>
          </w:p>
        </w:tc>
        <w:tc>
          <w:tcPr>
            <w:tcW w:w="3120" w:type="dxa"/>
          </w:tcPr>
          <w:p w14:paraId="162162A8" w14:textId="34DEF968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3EA80BB8" w14:textId="5BB2CBF3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71CFD633" w:rsidRPr="00C129CC" w14:paraId="57762AB0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6FEFBED7" w14:textId="65F9B331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Student homes</w:t>
            </w:r>
          </w:p>
        </w:tc>
        <w:tc>
          <w:tcPr>
            <w:tcW w:w="3120" w:type="dxa"/>
          </w:tcPr>
          <w:p w14:paraId="787853C0" w14:textId="657E91C5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4FBEFFCD" w14:textId="31CF9A88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71CFD633" w:rsidRPr="00C129CC" w14:paraId="37FFEB4C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6CAC61C7" w14:textId="6DFF1EBE" w:rsidR="71CFD633" w:rsidRPr="00C129CC" w:rsidRDefault="71CFD633" w:rsidP="71CFD633">
            <w:pPr>
              <w:ind w:left="93"/>
            </w:pP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Labmonitor</w:t>
            </w:r>
            <w:proofErr w:type="spellEnd"/>
          </w:p>
        </w:tc>
        <w:tc>
          <w:tcPr>
            <w:tcW w:w="3120" w:type="dxa"/>
          </w:tcPr>
          <w:p w14:paraId="49FB4DA7" w14:textId="4EF1BB72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71DE1675" w14:textId="0A74D13B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Earlier 2010</w:t>
            </w:r>
          </w:p>
        </w:tc>
      </w:tr>
      <w:tr w:rsidR="71CFD633" w:rsidRPr="00C129CC" w14:paraId="309B3721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7996F60C" w14:textId="23FB26E6" w:rsidR="71CFD633" w:rsidRPr="00C129CC" w:rsidRDefault="71CFD633" w:rsidP="71CFD633">
            <w:pPr>
              <w:ind w:left="93"/>
            </w:pP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LaunchPad</w:t>
            </w:r>
            <w:proofErr w:type="spellEnd"/>
            <w:r w:rsidRPr="00C129CC">
              <w:rPr>
                <w:rFonts w:ascii="Calibri" w:eastAsia="Calibri" w:hAnsi="Calibri" w:cs="Calibri"/>
                <w:lang w:val="en-GB"/>
              </w:rPr>
              <w:t xml:space="preserve"> / </w:t>
            </w: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OpenAM</w:t>
            </w:r>
            <w:proofErr w:type="spellEnd"/>
          </w:p>
        </w:tc>
        <w:tc>
          <w:tcPr>
            <w:tcW w:w="3120" w:type="dxa"/>
          </w:tcPr>
          <w:p w14:paraId="19FFDC9B" w14:textId="4B0198A8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316BC747" w14:textId="307C2B57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2014</w:t>
            </w:r>
          </w:p>
        </w:tc>
      </w:tr>
      <w:tr w:rsidR="71CFD633" w:rsidRPr="00C129CC" w14:paraId="2D0B66DD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475E8A94" w14:textId="4D7E8CD3" w:rsidR="71CFD633" w:rsidRPr="00C129CC" w:rsidRDefault="71CFD633" w:rsidP="71CFD633">
            <w:pPr>
              <w:ind w:left="93"/>
            </w:pP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Meterology</w:t>
            </w:r>
            <w:proofErr w:type="spellEnd"/>
          </w:p>
        </w:tc>
        <w:tc>
          <w:tcPr>
            <w:tcW w:w="3120" w:type="dxa"/>
          </w:tcPr>
          <w:p w14:paraId="291EE9B9" w14:textId="7C57BCCE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51555254" w14:textId="0FE713D3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2014</w:t>
            </w:r>
          </w:p>
        </w:tc>
      </w:tr>
      <w:tr w:rsidR="71CFD633" w:rsidRPr="00C129CC" w14:paraId="09D2CA29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9789FD9" w14:textId="3D7C9875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Mobile Devices</w:t>
            </w:r>
          </w:p>
        </w:tc>
        <w:tc>
          <w:tcPr>
            <w:tcW w:w="3120" w:type="dxa"/>
          </w:tcPr>
          <w:p w14:paraId="1B65070B" w14:textId="555FCE42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170AC232" w14:textId="60D1D40C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71CFD633" w:rsidRPr="00C129CC" w14:paraId="76F1F119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7E9A4104" w14:textId="71B29F66" w:rsidR="71CFD633" w:rsidRPr="00C129CC" w:rsidRDefault="71CFD633" w:rsidP="71CFD633">
            <w:pPr>
              <w:ind w:left="93"/>
            </w:pP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Multi Functional</w:t>
            </w:r>
            <w:proofErr w:type="spellEnd"/>
            <w:r w:rsidRPr="00C129CC">
              <w:rPr>
                <w:rFonts w:ascii="Calibri" w:eastAsia="Calibri" w:hAnsi="Calibri" w:cs="Calibri"/>
                <w:lang w:val="en-GB"/>
              </w:rPr>
              <w:t xml:space="preserve"> Devices</w:t>
            </w:r>
          </w:p>
        </w:tc>
        <w:tc>
          <w:tcPr>
            <w:tcW w:w="3120" w:type="dxa"/>
          </w:tcPr>
          <w:p w14:paraId="57957D57" w14:textId="10FDDDAA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08FB4EE0" w14:textId="2A58155D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&lt;2010</w:t>
            </w:r>
          </w:p>
        </w:tc>
      </w:tr>
      <w:tr w:rsidR="71CFD633" w:rsidRPr="00C129CC" w14:paraId="14D4CF52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446307DD" w14:textId="1190B209" w:rsidR="71CFD633" w:rsidRPr="00C129CC" w:rsidRDefault="71CFD633" w:rsidP="71CFD633">
            <w:pPr>
              <w:ind w:left="93"/>
            </w:pP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MyEd</w:t>
            </w:r>
            <w:proofErr w:type="spellEnd"/>
            <w:r w:rsidRPr="00C129CC">
              <w:rPr>
                <w:rFonts w:ascii="Calibri" w:eastAsia="Calibri" w:hAnsi="Calibri" w:cs="Calibri"/>
                <w:lang w:val="en-GB"/>
              </w:rPr>
              <w:t xml:space="preserve"> Staff Details Channel</w:t>
            </w:r>
          </w:p>
        </w:tc>
        <w:tc>
          <w:tcPr>
            <w:tcW w:w="3120" w:type="dxa"/>
          </w:tcPr>
          <w:p w14:paraId="4ABCDD2D" w14:textId="189310D3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650B22A2" w14:textId="56677FAC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71CFD633" w:rsidRPr="00C129CC" w14:paraId="07E1BC87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225AED8" w14:textId="7DC52664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Office 365</w:t>
            </w:r>
          </w:p>
        </w:tc>
        <w:tc>
          <w:tcPr>
            <w:tcW w:w="3120" w:type="dxa"/>
          </w:tcPr>
          <w:p w14:paraId="2DC3390B" w14:textId="6D426059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364C6892" w14:textId="0F2D8C2B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2013</w:t>
            </w:r>
          </w:p>
        </w:tc>
      </w:tr>
      <w:tr w:rsidR="71CFD633" w:rsidRPr="00C129CC" w14:paraId="7CF86C1B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37A68C45" w14:textId="1FDF17B4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SharePoint Online</w:t>
            </w:r>
          </w:p>
        </w:tc>
        <w:tc>
          <w:tcPr>
            <w:tcW w:w="3120" w:type="dxa"/>
          </w:tcPr>
          <w:p w14:paraId="1DAB3BBA" w14:textId="276AF13F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13E611AB" w14:textId="6150EE48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71CFD633" w:rsidRPr="00C129CC" w14:paraId="29854D4D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CF5AF4B" w14:textId="39CA4ABA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OneDrive for Business</w:t>
            </w:r>
          </w:p>
        </w:tc>
        <w:tc>
          <w:tcPr>
            <w:tcW w:w="3120" w:type="dxa"/>
          </w:tcPr>
          <w:p w14:paraId="6BE0AE72" w14:textId="0D8EF724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24B0A459" w14:textId="030BD52F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71CFD633" w:rsidRPr="00C129CC" w14:paraId="343BC726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49B804BF" w14:textId="6C51C1AD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Online Print Credit(</w:t>
            </w: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PCounter</w:t>
            </w:r>
            <w:proofErr w:type="spellEnd"/>
            <w:r w:rsidRPr="00C129CC">
              <w:rPr>
                <w:rFonts w:ascii="Calibri" w:eastAsia="Calibri" w:hAnsi="Calibri" w:cs="Calibri"/>
                <w:lang w:val="en-GB"/>
              </w:rPr>
              <w:t>)</w:t>
            </w:r>
          </w:p>
        </w:tc>
        <w:tc>
          <w:tcPr>
            <w:tcW w:w="3120" w:type="dxa"/>
          </w:tcPr>
          <w:p w14:paraId="00B11E3E" w14:textId="0B218E80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25CAB9A0" w14:textId="62382472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2011</w:t>
            </w:r>
          </w:p>
        </w:tc>
      </w:tr>
      <w:tr w:rsidR="71CFD633" w:rsidRPr="00C129CC" w14:paraId="62511902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7C28696A" w14:textId="29BDF5F9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OPAS</w:t>
            </w:r>
          </w:p>
        </w:tc>
        <w:tc>
          <w:tcPr>
            <w:tcW w:w="3120" w:type="dxa"/>
          </w:tcPr>
          <w:p w14:paraId="2EC997C3" w14:textId="3C368F97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4E4EBFDB" w14:textId="67D1E338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&lt;2010</w:t>
            </w:r>
          </w:p>
        </w:tc>
      </w:tr>
      <w:tr w:rsidR="71CFD633" w:rsidRPr="00C129CC" w14:paraId="167EE01B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0AAC28B" w14:textId="775303C1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Optima and Metering</w:t>
            </w:r>
          </w:p>
        </w:tc>
        <w:tc>
          <w:tcPr>
            <w:tcW w:w="3120" w:type="dxa"/>
          </w:tcPr>
          <w:p w14:paraId="268C9223" w14:textId="790FD4B0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6AE32A1E" w14:textId="6B18E00B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2007</w:t>
            </w:r>
          </w:p>
        </w:tc>
      </w:tr>
      <w:tr w:rsidR="71CFD633" w:rsidRPr="00C129CC" w14:paraId="74157462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69CAB8D4" w14:textId="5374AA78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ORACLE CORE HR/PAYROLL (HRMS)</w:t>
            </w:r>
          </w:p>
        </w:tc>
        <w:tc>
          <w:tcPr>
            <w:tcW w:w="3120" w:type="dxa"/>
          </w:tcPr>
          <w:p w14:paraId="2E181822" w14:textId="33981FBC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555D6C97" w14:textId="183E3631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&lt;2010</w:t>
            </w:r>
          </w:p>
        </w:tc>
      </w:tr>
      <w:tr w:rsidR="71CFD633" w:rsidRPr="00C129CC" w14:paraId="7C73465B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4E8E0717" w14:textId="16C8FC4A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ORACLE SSHR (SELF SERVICE)</w:t>
            </w:r>
          </w:p>
        </w:tc>
        <w:tc>
          <w:tcPr>
            <w:tcW w:w="3120" w:type="dxa"/>
          </w:tcPr>
          <w:p w14:paraId="016B75F0" w14:textId="04AFAD3F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0E86859F" w14:textId="709F2706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&lt;2010</w:t>
            </w:r>
          </w:p>
        </w:tc>
      </w:tr>
      <w:tr w:rsidR="71CFD633" w:rsidRPr="00C129CC" w14:paraId="4ADF9515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77334459" w14:textId="6890BCD1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Organisational Hierarchy System</w:t>
            </w:r>
          </w:p>
        </w:tc>
        <w:tc>
          <w:tcPr>
            <w:tcW w:w="3120" w:type="dxa"/>
          </w:tcPr>
          <w:p w14:paraId="5ADD7FD1" w14:textId="56F76E54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1A85D00A" w14:textId="6214B15B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&lt;2010</w:t>
            </w:r>
          </w:p>
        </w:tc>
      </w:tr>
      <w:tr w:rsidR="71CFD633" w:rsidRPr="00C129CC" w14:paraId="64787896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320403B0" w14:textId="5C55EFE5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Paperclip</w:t>
            </w:r>
          </w:p>
        </w:tc>
        <w:tc>
          <w:tcPr>
            <w:tcW w:w="3120" w:type="dxa"/>
          </w:tcPr>
          <w:p w14:paraId="759C7BC9" w14:textId="18E9D28F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61313ABF" w14:textId="377EB772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2011</w:t>
            </w:r>
          </w:p>
        </w:tc>
      </w:tr>
      <w:tr w:rsidR="71CFD633" w:rsidRPr="00C129CC" w14:paraId="2C728AC6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6182CE37" w14:textId="165ADC5E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Parking Permits </w:t>
            </w:r>
          </w:p>
        </w:tc>
        <w:tc>
          <w:tcPr>
            <w:tcW w:w="3120" w:type="dxa"/>
          </w:tcPr>
          <w:p w14:paraId="03E7A346" w14:textId="5B6BC58D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4963B845" w14:textId="7D121DF9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&lt;2010</w:t>
            </w:r>
          </w:p>
        </w:tc>
      </w:tr>
      <w:tr w:rsidR="71CFD633" w:rsidRPr="00C129CC" w14:paraId="6B13DD85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EFF07CB" w14:textId="2D002933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Path</w:t>
            </w:r>
          </w:p>
        </w:tc>
        <w:tc>
          <w:tcPr>
            <w:tcW w:w="3120" w:type="dxa"/>
          </w:tcPr>
          <w:p w14:paraId="175D0610" w14:textId="79EC3E6B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51106F27" w14:textId="0F4BF28F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2014</w:t>
            </w:r>
          </w:p>
        </w:tc>
      </w:tr>
      <w:tr w:rsidR="71CFD633" w:rsidRPr="00C129CC" w14:paraId="28E7F9AC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24730863" w14:textId="1635088B" w:rsidR="71CFD633" w:rsidRPr="00C129CC" w:rsidRDefault="71CFD633" w:rsidP="71CFD633">
            <w:pPr>
              <w:ind w:left="93"/>
            </w:pP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Pebblepad</w:t>
            </w:r>
            <w:proofErr w:type="spellEnd"/>
          </w:p>
        </w:tc>
        <w:tc>
          <w:tcPr>
            <w:tcW w:w="3120" w:type="dxa"/>
          </w:tcPr>
          <w:p w14:paraId="2ED1CC4A" w14:textId="731BB02E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4173ABCC" w14:textId="515C0A8B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71CFD633" w:rsidRPr="00C129CC" w14:paraId="6DF6312C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2451EF45" w14:textId="7472C7A8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Personal Tutor</w:t>
            </w:r>
          </w:p>
        </w:tc>
        <w:tc>
          <w:tcPr>
            <w:tcW w:w="3120" w:type="dxa"/>
          </w:tcPr>
          <w:p w14:paraId="448566CE" w14:textId="0FE19D28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1DE042EF" w14:textId="7F790930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2012</w:t>
            </w:r>
          </w:p>
        </w:tc>
      </w:tr>
      <w:tr w:rsidR="71CFD633" w:rsidRPr="00C129CC" w14:paraId="136CA767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CC47DDE" w14:textId="19A65061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PG Booking Form</w:t>
            </w:r>
          </w:p>
        </w:tc>
        <w:tc>
          <w:tcPr>
            <w:tcW w:w="3120" w:type="dxa"/>
          </w:tcPr>
          <w:p w14:paraId="402C42D1" w14:textId="7C97F1FA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603D91A3" w14:textId="71F1F0E8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71CFD633" w:rsidRPr="00C129CC" w14:paraId="1D137444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470E9E32" w14:textId="5A15DD6F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Placement</w:t>
            </w:r>
          </w:p>
        </w:tc>
        <w:tc>
          <w:tcPr>
            <w:tcW w:w="3120" w:type="dxa"/>
          </w:tcPr>
          <w:p w14:paraId="7A3EAAD7" w14:textId="5B10738D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7659F360" w14:textId="47AA6FB7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71CFD633" w:rsidRPr="00C129CC" w14:paraId="0703F22E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04C8BF60" w14:textId="6E31EE10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lastRenderedPageBreak/>
              <w:t>Podcasting</w:t>
            </w:r>
          </w:p>
        </w:tc>
        <w:tc>
          <w:tcPr>
            <w:tcW w:w="3120" w:type="dxa"/>
          </w:tcPr>
          <w:p w14:paraId="7E481B60" w14:textId="70DC47E0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70540166" w14:textId="169377D4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71CFD633" w:rsidRPr="00C129CC" w14:paraId="0BF1CE4C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7696D101" w14:textId="4D3E9EFE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Postgraduate Booking Form</w:t>
            </w:r>
          </w:p>
        </w:tc>
        <w:tc>
          <w:tcPr>
            <w:tcW w:w="3120" w:type="dxa"/>
          </w:tcPr>
          <w:p w14:paraId="65ABCD80" w14:textId="7AE055DC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5092CCF7" w14:textId="5DA488CB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&lt;2010</w:t>
            </w:r>
          </w:p>
        </w:tc>
      </w:tr>
      <w:tr w:rsidR="71CFD633" w:rsidRPr="00C129CC" w14:paraId="7401A185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D241C11" w14:textId="1561E877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Postgraduate Degree Finder</w:t>
            </w:r>
          </w:p>
        </w:tc>
        <w:tc>
          <w:tcPr>
            <w:tcW w:w="3120" w:type="dxa"/>
          </w:tcPr>
          <w:p w14:paraId="738DEFA3" w14:textId="0CEDA756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4B91B138" w14:textId="5A5D4021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2013</w:t>
            </w:r>
          </w:p>
        </w:tc>
      </w:tr>
      <w:tr w:rsidR="71CFD633" w:rsidRPr="00C129CC" w14:paraId="3B3D2B1A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D3CA8B5" w14:textId="7D7CAB6E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PPIPMI</w:t>
            </w:r>
          </w:p>
        </w:tc>
        <w:tc>
          <w:tcPr>
            <w:tcW w:w="3120" w:type="dxa"/>
          </w:tcPr>
          <w:p w14:paraId="3801E2AA" w14:textId="466BA246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40309F4C" w14:textId="1D56F260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&lt;2010</w:t>
            </w:r>
          </w:p>
        </w:tc>
      </w:tr>
      <w:tr w:rsidR="71CFD633" w:rsidRPr="00C129CC" w14:paraId="000F1D70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7F1A6E34" w14:textId="41353894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PPMD (Postgraduate DB)</w:t>
            </w:r>
          </w:p>
        </w:tc>
        <w:tc>
          <w:tcPr>
            <w:tcW w:w="3120" w:type="dxa"/>
          </w:tcPr>
          <w:p w14:paraId="43B56E51" w14:textId="2ED61D66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435B7E81" w14:textId="7B5709E8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71CFD633" w:rsidRPr="00C129CC" w14:paraId="72737FB1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390EAC7C" w14:textId="197890E2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PRISM</w:t>
            </w:r>
          </w:p>
        </w:tc>
        <w:tc>
          <w:tcPr>
            <w:tcW w:w="3120" w:type="dxa"/>
          </w:tcPr>
          <w:p w14:paraId="3AD3A7A8" w14:textId="05FE3B4B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14599AB7" w14:textId="2A3127E3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&lt;2010</w:t>
            </w:r>
          </w:p>
        </w:tc>
      </w:tr>
      <w:tr w:rsidR="71CFD633" w:rsidRPr="00C129CC" w14:paraId="4728F1C6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00EC40A6" w14:textId="0AE3C572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Projects Website</w:t>
            </w:r>
          </w:p>
        </w:tc>
        <w:tc>
          <w:tcPr>
            <w:tcW w:w="3120" w:type="dxa"/>
          </w:tcPr>
          <w:p w14:paraId="117E4931" w14:textId="68BB04EE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0F305556" w14:textId="6370EE48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Earlier 2010</w:t>
            </w:r>
          </w:p>
        </w:tc>
      </w:tr>
      <w:tr w:rsidR="71CFD633" w:rsidRPr="00C129CC" w14:paraId="0066B842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334FE6A5" w14:textId="31CC6179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PSO[printing services online]</w:t>
            </w:r>
          </w:p>
        </w:tc>
        <w:tc>
          <w:tcPr>
            <w:tcW w:w="3120" w:type="dxa"/>
          </w:tcPr>
          <w:p w14:paraId="5F148041" w14:textId="7A85BD65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58FC0DE1" w14:textId="06332AA3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&lt;2010</w:t>
            </w:r>
          </w:p>
        </w:tc>
      </w:tr>
      <w:tr w:rsidR="71CFD633" w:rsidRPr="00C129CC" w14:paraId="4748A9C1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91D6A38" w14:textId="018EBDBB" w:rsidR="71CFD633" w:rsidRPr="00C129CC" w:rsidRDefault="71CFD633" w:rsidP="71CFD633">
            <w:pPr>
              <w:ind w:left="93"/>
            </w:pP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Qlickview</w:t>
            </w:r>
            <w:proofErr w:type="spellEnd"/>
          </w:p>
        </w:tc>
        <w:tc>
          <w:tcPr>
            <w:tcW w:w="3120" w:type="dxa"/>
          </w:tcPr>
          <w:p w14:paraId="19739C43" w14:textId="7673F73A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4B510DE2" w14:textId="4D3E167F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71CFD633" w:rsidRPr="00C129CC" w14:paraId="00111A64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6DC03CEA" w14:textId="71077106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QMP -Question Mark Perception</w:t>
            </w:r>
          </w:p>
        </w:tc>
        <w:tc>
          <w:tcPr>
            <w:tcW w:w="3120" w:type="dxa"/>
          </w:tcPr>
          <w:p w14:paraId="0A3D71D1" w14:textId="72FFA9B7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0B0110DD" w14:textId="723E7141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71CFD633" w:rsidRPr="00C129CC" w14:paraId="70C4ED90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70213193" w14:textId="72B6B512" w:rsidR="71CFD633" w:rsidRPr="00C129CC" w:rsidRDefault="71CFD633" w:rsidP="71CFD633">
            <w:pPr>
              <w:ind w:left="93"/>
            </w:pP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Quantrix</w:t>
            </w:r>
            <w:proofErr w:type="spellEnd"/>
          </w:p>
        </w:tc>
        <w:tc>
          <w:tcPr>
            <w:tcW w:w="3120" w:type="dxa"/>
          </w:tcPr>
          <w:p w14:paraId="27FB6C3F" w14:textId="4C791DFA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3C41D8A6" w14:textId="75996DC6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2011</w:t>
            </w:r>
          </w:p>
        </w:tc>
      </w:tr>
      <w:tr w:rsidR="71CFD633" w:rsidRPr="00C129CC" w14:paraId="34B6CBD5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FE4A259" w14:textId="2E2DA5E5" w:rsidR="71CFD633" w:rsidRPr="00C129CC" w:rsidRDefault="71CFD633" w:rsidP="71CFD633">
            <w:pPr>
              <w:ind w:left="93"/>
            </w:pP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Roslin</w:t>
            </w:r>
            <w:proofErr w:type="spellEnd"/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db</w:t>
            </w:r>
            <w:proofErr w:type="spellEnd"/>
            <w:r w:rsidRPr="00C129CC">
              <w:rPr>
                <w:rFonts w:ascii="Calibri" w:eastAsia="Calibri" w:hAnsi="Calibri" w:cs="Calibri"/>
                <w:lang w:val="en-GB"/>
              </w:rPr>
              <w:t xml:space="preserve"> consultancy</w:t>
            </w:r>
          </w:p>
        </w:tc>
        <w:tc>
          <w:tcPr>
            <w:tcW w:w="3120" w:type="dxa"/>
          </w:tcPr>
          <w:p w14:paraId="4FCE449B" w14:textId="5F1CACF1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26F8D61E" w14:textId="5CAB85C4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2013</w:t>
            </w:r>
          </w:p>
        </w:tc>
      </w:tr>
      <w:tr w:rsidR="71CFD633" w:rsidRPr="00C129CC" w14:paraId="47B15B9B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06C5DBFD" w14:textId="5A4E2C23" w:rsidR="71CFD633" w:rsidRPr="00C129CC" w:rsidRDefault="71CFD633" w:rsidP="71CFD633">
            <w:pPr>
              <w:ind w:left="93"/>
            </w:pP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SciQuest</w:t>
            </w:r>
            <w:proofErr w:type="spellEnd"/>
            <w:r w:rsidRPr="00C129CC">
              <w:rPr>
                <w:rFonts w:ascii="Calibri" w:eastAsia="Calibri" w:hAnsi="Calibri" w:cs="Calibri"/>
                <w:lang w:val="en-GB"/>
              </w:rPr>
              <w:t xml:space="preserve"> on-line ordering system</w:t>
            </w:r>
          </w:p>
        </w:tc>
        <w:tc>
          <w:tcPr>
            <w:tcW w:w="3120" w:type="dxa"/>
          </w:tcPr>
          <w:p w14:paraId="3F9B64F6" w14:textId="1C4FB008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11C8C20A" w14:textId="62AE1AE1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71CFD633" w:rsidRPr="00C129CC" w14:paraId="1F294A31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4958F5C6" w14:textId="65AE5B5C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SCS (Student Counselling System)</w:t>
            </w:r>
          </w:p>
        </w:tc>
        <w:tc>
          <w:tcPr>
            <w:tcW w:w="3120" w:type="dxa"/>
          </w:tcPr>
          <w:p w14:paraId="5E0E64C9" w14:textId="79E67971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01DF048D" w14:textId="727D799F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71CFD633" w:rsidRPr="00C129CC" w14:paraId="2CE7EBD9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2F7A3B83" w14:textId="19C1CC20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Search Research Equipment</w:t>
            </w:r>
          </w:p>
        </w:tc>
        <w:tc>
          <w:tcPr>
            <w:tcW w:w="3120" w:type="dxa"/>
          </w:tcPr>
          <w:p w14:paraId="263F77D2" w14:textId="377210E4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3595E48A" w14:textId="1115D0D6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2013</w:t>
            </w:r>
          </w:p>
        </w:tc>
      </w:tr>
      <w:tr w:rsidR="71CFD633" w:rsidRPr="00C129CC" w14:paraId="7B786570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B55D26F" w14:textId="66854B51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Security incident tracking system </w:t>
            </w:r>
          </w:p>
        </w:tc>
        <w:tc>
          <w:tcPr>
            <w:tcW w:w="3120" w:type="dxa"/>
          </w:tcPr>
          <w:p w14:paraId="5D2E6FED" w14:textId="215A232F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3712C331" w14:textId="5D9F05A0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2014</w:t>
            </w:r>
          </w:p>
        </w:tc>
      </w:tr>
      <w:tr w:rsidR="71CFD633" w:rsidRPr="00C129CC" w14:paraId="70889971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319673A8" w14:textId="2EF4452C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Shared Vacancy System</w:t>
            </w:r>
          </w:p>
        </w:tc>
        <w:tc>
          <w:tcPr>
            <w:tcW w:w="3120" w:type="dxa"/>
          </w:tcPr>
          <w:p w14:paraId="0CE7CF44" w14:textId="7D867108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5C206A90" w14:textId="62D8F52B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71CFD633" w:rsidRPr="00C129CC" w14:paraId="151227F4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7DC12074" w14:textId="16C22382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SMART - Student Marks and Records Tool</w:t>
            </w:r>
          </w:p>
        </w:tc>
        <w:tc>
          <w:tcPr>
            <w:tcW w:w="3120" w:type="dxa"/>
          </w:tcPr>
          <w:p w14:paraId="705954D3" w14:textId="49CB90B7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7C2998C9" w14:textId="000BE3C2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&lt;2010</w:t>
            </w:r>
          </w:p>
        </w:tc>
      </w:tr>
      <w:tr w:rsidR="71CFD633" w:rsidRPr="00C129CC" w14:paraId="38A5F471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7BDFB9F" w14:textId="028FF59D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Social Hub</w:t>
            </w:r>
          </w:p>
        </w:tc>
        <w:tc>
          <w:tcPr>
            <w:tcW w:w="3120" w:type="dxa"/>
          </w:tcPr>
          <w:p w14:paraId="2D42CBC6" w14:textId="755AB6FD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19C88B7E" w14:textId="29CF8236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71CFD633" w:rsidRPr="00C129CC" w14:paraId="3DC90C75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70B86E2D" w14:textId="1FC248EE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BI Space Utilisation DataMart</w:t>
            </w:r>
          </w:p>
        </w:tc>
        <w:tc>
          <w:tcPr>
            <w:tcW w:w="3120" w:type="dxa"/>
          </w:tcPr>
          <w:p w14:paraId="653A61B6" w14:textId="6239AA02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5EAA4895" w14:textId="048351D7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&lt;2010</w:t>
            </w:r>
          </w:p>
        </w:tc>
      </w:tr>
      <w:tr w:rsidR="71CFD633" w:rsidRPr="00C129CC" w14:paraId="13961E0D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42682B5B" w14:textId="7C5C51DB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Speedwell</w:t>
            </w:r>
          </w:p>
        </w:tc>
        <w:tc>
          <w:tcPr>
            <w:tcW w:w="3120" w:type="dxa"/>
          </w:tcPr>
          <w:p w14:paraId="0570FA28" w14:textId="7E558778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5B9D23AD" w14:textId="6C16568C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2013</w:t>
            </w:r>
          </w:p>
        </w:tc>
      </w:tr>
      <w:tr w:rsidR="71CFD633" w:rsidRPr="00C129CC" w14:paraId="38C411E6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6DA4715C" w14:textId="2AF68B0A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Student Led Tours</w:t>
            </w:r>
          </w:p>
        </w:tc>
        <w:tc>
          <w:tcPr>
            <w:tcW w:w="3120" w:type="dxa"/>
          </w:tcPr>
          <w:p w14:paraId="0FF3E1EE" w14:textId="78B1AEC5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67A121BA" w14:textId="372D51A1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71CFD633" w:rsidRPr="00C129CC" w14:paraId="6561C8FA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009BC555" w14:textId="399FBCB2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STUDMI </w:t>
            </w: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datamart</w:t>
            </w:r>
            <w:proofErr w:type="spellEnd"/>
          </w:p>
        </w:tc>
        <w:tc>
          <w:tcPr>
            <w:tcW w:w="3120" w:type="dxa"/>
          </w:tcPr>
          <w:p w14:paraId="13703A68" w14:textId="1A91159D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1C57E866" w14:textId="43EF9E31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71CFD633" w:rsidRPr="00C129CC" w14:paraId="01D7BE92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1CAFF35" w14:textId="6B946854" w:rsidR="71CFD633" w:rsidRPr="00C129CC" w:rsidRDefault="71CFD633" w:rsidP="71CFD633">
            <w:pPr>
              <w:ind w:left="93"/>
            </w:pP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SuperNat</w:t>
            </w:r>
            <w:proofErr w:type="spellEnd"/>
            <w:r w:rsidRPr="00C129CC">
              <w:rPr>
                <w:rFonts w:ascii="Calibri" w:eastAsia="Calibri" w:hAnsi="Calibri" w:cs="Calibri"/>
                <w:lang w:val="en-GB"/>
              </w:rPr>
              <w:t xml:space="preserve"> UNIX Scheduling Software</w:t>
            </w:r>
          </w:p>
        </w:tc>
        <w:tc>
          <w:tcPr>
            <w:tcW w:w="3120" w:type="dxa"/>
          </w:tcPr>
          <w:p w14:paraId="342765FC" w14:textId="3B50CA4F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660B5573" w14:textId="241A9050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&lt;2010</w:t>
            </w:r>
          </w:p>
        </w:tc>
      </w:tr>
      <w:tr w:rsidR="71CFD633" w:rsidRPr="00C129CC" w14:paraId="79469999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3C119615" w14:textId="59B34027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Supplier Self Service (SSS)</w:t>
            </w:r>
          </w:p>
        </w:tc>
        <w:tc>
          <w:tcPr>
            <w:tcW w:w="3120" w:type="dxa"/>
          </w:tcPr>
          <w:p w14:paraId="2974B024" w14:textId="54DA35CE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66013AC7" w14:textId="4D770DB0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40664</w:t>
            </w:r>
          </w:p>
        </w:tc>
      </w:tr>
      <w:tr w:rsidR="71CFD633" w:rsidRPr="00C129CC" w14:paraId="4D952AA1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303A7AF5" w14:textId="687D491D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TAS (Was Transparency)</w:t>
            </w:r>
          </w:p>
        </w:tc>
        <w:tc>
          <w:tcPr>
            <w:tcW w:w="3120" w:type="dxa"/>
          </w:tcPr>
          <w:p w14:paraId="4B41818F" w14:textId="6E0D5237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5EDA903F" w14:textId="1F3B7BBD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&lt;2010</w:t>
            </w:r>
          </w:p>
        </w:tc>
      </w:tr>
      <w:tr w:rsidR="71CFD633" w:rsidRPr="00C129CC" w14:paraId="2C322991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7AB99E2D" w14:textId="07EE2B4C" w:rsidR="71CFD633" w:rsidRPr="00C129CC" w:rsidRDefault="71CFD633" w:rsidP="71CFD633">
            <w:pPr>
              <w:ind w:left="93"/>
            </w:pP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ThanQ</w:t>
            </w:r>
            <w:proofErr w:type="spellEnd"/>
          </w:p>
        </w:tc>
        <w:tc>
          <w:tcPr>
            <w:tcW w:w="3120" w:type="dxa"/>
          </w:tcPr>
          <w:p w14:paraId="6E4A3511" w14:textId="18D333E4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4C7C1879" w14:textId="2425BE3E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&lt;2010</w:t>
            </w:r>
          </w:p>
        </w:tc>
      </w:tr>
      <w:tr w:rsidR="71CFD633" w:rsidRPr="00C129CC" w14:paraId="5753B1BE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0C41D964" w14:textId="13F52F8B" w:rsidR="71CFD633" w:rsidRPr="00C129CC" w:rsidRDefault="71CFD633" w:rsidP="71CFD633">
            <w:pPr>
              <w:ind w:left="93"/>
            </w:pP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ThanQ</w:t>
            </w:r>
            <w:proofErr w:type="spellEnd"/>
            <w:r w:rsidRPr="00C129CC">
              <w:rPr>
                <w:rFonts w:ascii="Calibri" w:eastAsia="Calibri" w:hAnsi="Calibri" w:cs="Calibri"/>
                <w:lang w:val="en-GB"/>
              </w:rPr>
              <w:t xml:space="preserve"> - Alumni Portal Channels</w:t>
            </w:r>
          </w:p>
        </w:tc>
        <w:tc>
          <w:tcPr>
            <w:tcW w:w="3120" w:type="dxa"/>
          </w:tcPr>
          <w:p w14:paraId="7A44CA37" w14:textId="2D92D495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254E07CA" w14:textId="56204B96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&lt;2010</w:t>
            </w:r>
          </w:p>
        </w:tc>
      </w:tr>
      <w:tr w:rsidR="71CFD633" w:rsidRPr="00C129CC" w14:paraId="36D50E9E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0B67225" w14:textId="4F8A5EC1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Timetabling (</w:t>
            </w: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DoS</w:t>
            </w:r>
            <w:proofErr w:type="spellEnd"/>
            <w:r w:rsidRPr="00C129CC">
              <w:rPr>
                <w:rFonts w:ascii="Calibri" w:eastAsia="Calibri" w:hAnsi="Calibri" w:cs="Calibri"/>
                <w:lang w:val="en-GB"/>
              </w:rPr>
              <w:t>)</w:t>
            </w:r>
          </w:p>
        </w:tc>
        <w:tc>
          <w:tcPr>
            <w:tcW w:w="3120" w:type="dxa"/>
          </w:tcPr>
          <w:p w14:paraId="08D0D05B" w14:textId="7494E9A2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2469B7C3" w14:textId="3CDEE106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2012 - decommissioned</w:t>
            </w:r>
          </w:p>
        </w:tc>
      </w:tr>
      <w:tr w:rsidR="71CFD633" w:rsidRPr="00C129CC" w14:paraId="4A897CBC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2985E96C" w14:textId="0B5A935B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Timetabling/Shared Academic Timetabling/</w:t>
            </w: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T@Ed</w:t>
            </w:r>
            <w:proofErr w:type="spellEnd"/>
          </w:p>
        </w:tc>
        <w:tc>
          <w:tcPr>
            <w:tcW w:w="3120" w:type="dxa"/>
          </w:tcPr>
          <w:p w14:paraId="79252518" w14:textId="78C28C9A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03477705" w14:textId="2D35B01C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2012</w:t>
            </w:r>
          </w:p>
        </w:tc>
      </w:tr>
      <w:tr w:rsidR="71CFD633" w:rsidRPr="00C129CC" w14:paraId="03320D2D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2BBA29F2" w14:textId="0E0D0E7F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TRISTAN</w:t>
            </w:r>
          </w:p>
        </w:tc>
        <w:tc>
          <w:tcPr>
            <w:tcW w:w="3120" w:type="dxa"/>
          </w:tcPr>
          <w:p w14:paraId="60395FFF" w14:textId="700CF041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7A49FA7B" w14:textId="08630961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Earlier 2010</w:t>
            </w:r>
          </w:p>
        </w:tc>
      </w:tr>
      <w:tr w:rsidR="71CFD633" w:rsidRPr="00C129CC" w14:paraId="16D45303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73A18CF" w14:textId="2DF034A8" w:rsidR="71CFD633" w:rsidRPr="00C129CC" w:rsidRDefault="71CFD633" w:rsidP="71CFD633">
            <w:pPr>
              <w:ind w:left="93"/>
            </w:pP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Turnitin</w:t>
            </w:r>
            <w:proofErr w:type="spellEnd"/>
          </w:p>
        </w:tc>
        <w:tc>
          <w:tcPr>
            <w:tcW w:w="3120" w:type="dxa"/>
          </w:tcPr>
          <w:p w14:paraId="68F873D6" w14:textId="6D131B1A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07B1D22D" w14:textId="7126ACA5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Earlier 2010</w:t>
            </w:r>
          </w:p>
        </w:tc>
      </w:tr>
      <w:tr w:rsidR="71CFD633" w:rsidRPr="00C129CC" w14:paraId="737EB9A8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24050BC" w14:textId="7EEF7160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Undergraduate Booking Form</w:t>
            </w:r>
          </w:p>
        </w:tc>
        <w:tc>
          <w:tcPr>
            <w:tcW w:w="3120" w:type="dxa"/>
          </w:tcPr>
          <w:p w14:paraId="73C51EAC" w14:textId="4D9B3332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48FB76D1" w14:textId="30560504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71CFD633" w:rsidRPr="00C129CC" w14:paraId="4DA2CFFA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07119D02" w14:textId="2FCA1AF6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Undergraduate Booking Form</w:t>
            </w:r>
          </w:p>
        </w:tc>
        <w:tc>
          <w:tcPr>
            <w:tcW w:w="3120" w:type="dxa"/>
          </w:tcPr>
          <w:p w14:paraId="39FDA5B7" w14:textId="75290EAB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08FBE51C" w14:textId="50F39859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71CFD633" w:rsidRPr="00C129CC" w14:paraId="3197FA19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EBF37E7" w14:textId="7B7CD5BF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Undergraduate Prospectus </w:t>
            </w:r>
          </w:p>
        </w:tc>
        <w:tc>
          <w:tcPr>
            <w:tcW w:w="3120" w:type="dxa"/>
          </w:tcPr>
          <w:p w14:paraId="1338E730" w14:textId="6823188B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77F2AA8B" w14:textId="6B1F63B9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2013</w:t>
            </w:r>
          </w:p>
        </w:tc>
      </w:tr>
      <w:tr w:rsidR="71CFD633" w:rsidRPr="00C129CC" w14:paraId="0D4E5827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663AF46D" w14:textId="2EA14A6D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Virtual Classroom</w:t>
            </w:r>
          </w:p>
        </w:tc>
        <w:tc>
          <w:tcPr>
            <w:tcW w:w="3120" w:type="dxa"/>
          </w:tcPr>
          <w:p w14:paraId="68D2999C" w14:textId="505E1A52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28376F8B" w14:textId="59BF43A1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2012</w:t>
            </w:r>
          </w:p>
        </w:tc>
      </w:tr>
      <w:tr w:rsidR="71CFD633" w:rsidRPr="00C129CC" w14:paraId="78AA8C04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0BD44E51" w14:textId="6F640A9C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Waste Management System </w:t>
            </w:r>
          </w:p>
        </w:tc>
        <w:tc>
          <w:tcPr>
            <w:tcW w:w="3120" w:type="dxa"/>
          </w:tcPr>
          <w:p w14:paraId="35753F88" w14:textId="3A0A8EB4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0E26122E" w14:textId="55C00B28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2014</w:t>
            </w:r>
          </w:p>
        </w:tc>
      </w:tr>
      <w:tr w:rsidR="71CFD633" w:rsidRPr="00C129CC" w14:paraId="25330366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341C463C" w14:textId="30635193" w:rsidR="71CFD633" w:rsidRPr="00C129CC" w:rsidRDefault="71CFD633" w:rsidP="71CFD633">
            <w:pPr>
              <w:ind w:left="93"/>
            </w:pP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WebCentral</w:t>
            </w:r>
            <w:proofErr w:type="spellEnd"/>
          </w:p>
        </w:tc>
        <w:tc>
          <w:tcPr>
            <w:tcW w:w="3120" w:type="dxa"/>
          </w:tcPr>
          <w:p w14:paraId="6D81E859" w14:textId="2434571B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7F97495C" w14:textId="6F33324D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2010</w:t>
            </w:r>
          </w:p>
        </w:tc>
      </w:tr>
      <w:tr w:rsidR="71CFD633" w:rsidRPr="00C129CC" w14:paraId="41C6B353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42A54C2E" w14:textId="0443A714" w:rsidR="71CFD633" w:rsidRPr="00C129CC" w:rsidRDefault="71CFD633" w:rsidP="71CFD633">
            <w:pPr>
              <w:ind w:left="93"/>
            </w:pP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Webfirst</w:t>
            </w:r>
            <w:proofErr w:type="spellEnd"/>
          </w:p>
        </w:tc>
        <w:tc>
          <w:tcPr>
            <w:tcW w:w="3120" w:type="dxa"/>
          </w:tcPr>
          <w:p w14:paraId="7B76F474" w14:textId="117E4217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5C02A166" w14:textId="7DCBAF26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&lt;2010</w:t>
            </w:r>
          </w:p>
        </w:tc>
      </w:tr>
      <w:tr w:rsidR="71CFD633" w:rsidRPr="00C129CC" w14:paraId="337B833B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4CA4183" w14:textId="61F80AD9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WISARD</w:t>
            </w:r>
          </w:p>
        </w:tc>
        <w:tc>
          <w:tcPr>
            <w:tcW w:w="3120" w:type="dxa"/>
          </w:tcPr>
          <w:p w14:paraId="3396E745" w14:textId="30549D1F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2D76AA7E" w14:textId="7D60CE09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&lt;2010, decommissioned</w:t>
            </w:r>
          </w:p>
        </w:tc>
      </w:tr>
      <w:tr w:rsidR="71CFD633" w:rsidRPr="00C129CC" w14:paraId="36DDF82A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69BC213C" w14:textId="219FE973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KX Parcels</w:t>
            </w:r>
          </w:p>
        </w:tc>
        <w:tc>
          <w:tcPr>
            <w:tcW w:w="3120" w:type="dxa"/>
          </w:tcPr>
          <w:p w14:paraId="121A9998" w14:textId="4B74F192" w:rsidR="71CFD633" w:rsidRPr="00C129CC" w:rsidRDefault="71CFD633" w:rsidP="71CFD633">
            <w:pPr>
              <w:ind w:lef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3120" w:type="dxa"/>
          </w:tcPr>
          <w:p w14:paraId="7EE97BD3" w14:textId="33267620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71CFD633" w:rsidRPr="00C129CC" w14:paraId="62AB73B6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7D0A5FF5" w14:textId="540F02C2" w:rsidR="71CFD633" w:rsidRPr="00C129CC" w:rsidRDefault="71CFD633" w:rsidP="71CFD633">
            <w:pPr>
              <w:ind w:left="93"/>
            </w:pP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eInvoicing</w:t>
            </w:r>
            <w:proofErr w:type="spellEnd"/>
          </w:p>
        </w:tc>
        <w:tc>
          <w:tcPr>
            <w:tcW w:w="3120" w:type="dxa"/>
          </w:tcPr>
          <w:p w14:paraId="3060E7E4" w14:textId="61966585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Arial" w:eastAsia="Arial" w:hAnsi="Arial" w:cs="Arial"/>
                <w:lang w:val="en-GB"/>
              </w:rPr>
              <w:t xml:space="preserve"> </w:t>
            </w:r>
          </w:p>
        </w:tc>
        <w:tc>
          <w:tcPr>
            <w:tcW w:w="3120" w:type="dxa"/>
          </w:tcPr>
          <w:p w14:paraId="3AFBDCA4" w14:textId="65315206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71CFD633" w:rsidRPr="00C129CC" w14:paraId="40E31339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44F57908" w14:textId="3316A8F8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eProcurement</w:t>
            </w:r>
          </w:p>
        </w:tc>
        <w:tc>
          <w:tcPr>
            <w:tcW w:w="3120" w:type="dxa"/>
          </w:tcPr>
          <w:p w14:paraId="7F85CA61" w14:textId="3192FDE7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Arial" w:eastAsia="Arial" w:hAnsi="Arial" w:cs="Arial"/>
                <w:lang w:val="en-GB"/>
              </w:rPr>
              <w:t xml:space="preserve"> </w:t>
            </w:r>
          </w:p>
        </w:tc>
        <w:tc>
          <w:tcPr>
            <w:tcW w:w="3120" w:type="dxa"/>
          </w:tcPr>
          <w:p w14:paraId="7DBB55A6" w14:textId="5D6A7DD3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71CFD633" w:rsidRPr="00C129CC" w14:paraId="214984AB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744190D3" w14:textId="7D2513AC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lastRenderedPageBreak/>
              <w:t>Online Bookings (Horizons)</w:t>
            </w:r>
          </w:p>
        </w:tc>
        <w:tc>
          <w:tcPr>
            <w:tcW w:w="3120" w:type="dxa"/>
          </w:tcPr>
          <w:p w14:paraId="15B805CC" w14:textId="5EFCDC48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Arial" w:eastAsia="Arial" w:hAnsi="Arial" w:cs="Arial"/>
                <w:lang w:val="en-GB"/>
              </w:rPr>
              <w:t xml:space="preserve"> </w:t>
            </w:r>
          </w:p>
        </w:tc>
        <w:tc>
          <w:tcPr>
            <w:tcW w:w="3120" w:type="dxa"/>
          </w:tcPr>
          <w:p w14:paraId="4A14BE0F" w14:textId="3D2593AD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71CFD633" w:rsidRPr="00C129CC" w14:paraId="340469BD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3ADCF76" w14:textId="1D76FDDC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Memberships (Dimension)</w:t>
            </w:r>
          </w:p>
        </w:tc>
        <w:tc>
          <w:tcPr>
            <w:tcW w:w="3120" w:type="dxa"/>
          </w:tcPr>
          <w:p w14:paraId="7E6CACE7" w14:textId="338AFFC3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Arial" w:eastAsia="Arial" w:hAnsi="Arial" w:cs="Arial"/>
                <w:lang w:val="en-GB"/>
              </w:rPr>
              <w:t xml:space="preserve"> </w:t>
            </w:r>
          </w:p>
        </w:tc>
        <w:tc>
          <w:tcPr>
            <w:tcW w:w="3120" w:type="dxa"/>
          </w:tcPr>
          <w:p w14:paraId="43D84D69" w14:textId="4D6A028E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71CFD633" w:rsidRPr="00C129CC" w14:paraId="4D1A6633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35A24A21" w14:textId="29BED183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B and B</w:t>
            </w:r>
          </w:p>
        </w:tc>
        <w:tc>
          <w:tcPr>
            <w:tcW w:w="3120" w:type="dxa"/>
          </w:tcPr>
          <w:p w14:paraId="691A4175" w14:textId="244C3834" w:rsidR="71CFD633" w:rsidRPr="00C129CC" w:rsidRDefault="71CFD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20" w:type="dxa"/>
          </w:tcPr>
          <w:p w14:paraId="2ED734BC" w14:textId="77E9D91F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71CFD633" w:rsidRPr="00C129CC" w14:paraId="16ABE57D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9C1EE84" w14:textId="7263F317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Salary Forecasting (Starters and Leavers)</w:t>
            </w:r>
          </w:p>
        </w:tc>
        <w:tc>
          <w:tcPr>
            <w:tcW w:w="3120" w:type="dxa"/>
          </w:tcPr>
          <w:p w14:paraId="56FDBB2B" w14:textId="6042E307" w:rsidR="71CFD633" w:rsidRPr="00C129CC" w:rsidRDefault="71CFD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20" w:type="dxa"/>
          </w:tcPr>
          <w:p w14:paraId="6AF5F664" w14:textId="166C3A1D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71CFD633" w:rsidRPr="00C129CC" w14:paraId="2CA1148C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2DFE693F" w14:textId="75496E6B" w:rsidR="71CFD633" w:rsidRPr="00C129CC" w:rsidRDefault="71CFD633" w:rsidP="71CFD633">
            <w:pPr>
              <w:ind w:left="93"/>
            </w:pP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MyED</w:t>
            </w:r>
            <w:proofErr w:type="spellEnd"/>
          </w:p>
        </w:tc>
        <w:tc>
          <w:tcPr>
            <w:tcW w:w="3120" w:type="dxa"/>
          </w:tcPr>
          <w:p w14:paraId="27C03B12" w14:textId="68B094EA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Arial" w:eastAsia="Arial" w:hAnsi="Arial" w:cs="Arial"/>
                <w:lang w:val="en-GB"/>
              </w:rPr>
              <w:t xml:space="preserve"> </w:t>
            </w:r>
          </w:p>
        </w:tc>
        <w:tc>
          <w:tcPr>
            <w:tcW w:w="3120" w:type="dxa"/>
          </w:tcPr>
          <w:p w14:paraId="20AE6CAE" w14:textId="37A0F411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71CFD633" w:rsidRPr="00C129CC" w14:paraId="0850BF0D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482FC8D7" w14:textId="069A0172" w:rsidR="71CFD633" w:rsidRPr="00C129CC" w:rsidRDefault="71CFD633" w:rsidP="71CFD633">
            <w:pPr>
              <w:ind w:left="93"/>
            </w:pP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Unidesk</w:t>
            </w:r>
            <w:proofErr w:type="spellEnd"/>
          </w:p>
        </w:tc>
        <w:tc>
          <w:tcPr>
            <w:tcW w:w="3120" w:type="dxa"/>
          </w:tcPr>
          <w:p w14:paraId="276480D8" w14:textId="41D616F1" w:rsidR="71CFD633" w:rsidRPr="00C129CC" w:rsidRDefault="71CFD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20" w:type="dxa"/>
          </w:tcPr>
          <w:p w14:paraId="2D32E5CB" w14:textId="177B36F0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71CFD633" w:rsidRPr="00C129CC" w14:paraId="3B2259C9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6FFF7B7A" w14:textId="3E271F81" w:rsidR="71CFD633" w:rsidRPr="00C129CC" w:rsidRDefault="71CFD633" w:rsidP="71CFD633">
            <w:pPr>
              <w:ind w:left="93"/>
            </w:pPr>
            <w:r w:rsidRPr="00C129CC">
              <w:rPr>
                <w:rFonts w:ascii="Calibri" w:eastAsia="Calibri" w:hAnsi="Calibri" w:cs="Calibri"/>
                <w:lang w:val="en-GB"/>
              </w:rPr>
              <w:t>Cashless Catering</w:t>
            </w:r>
          </w:p>
        </w:tc>
        <w:tc>
          <w:tcPr>
            <w:tcW w:w="3120" w:type="dxa"/>
          </w:tcPr>
          <w:p w14:paraId="69F90DFF" w14:textId="1BBC45D2" w:rsidR="71CFD633" w:rsidRPr="00C129CC" w:rsidRDefault="71CFD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20" w:type="dxa"/>
          </w:tcPr>
          <w:p w14:paraId="4852E017" w14:textId="6CBAF6BC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71CFD633" w:rsidRPr="00C129CC" w14:paraId="1100E663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32944D78" w14:textId="004B64FB" w:rsidR="71CFD633" w:rsidRPr="00C129CC" w:rsidRDefault="71CFD633" w:rsidP="71CFD633">
            <w:pPr>
              <w:ind w:left="93"/>
              <w:rPr>
                <w:rFonts w:ascii="Calibri" w:hAnsi="Calibri"/>
              </w:rPr>
            </w:pP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Deister</w:t>
            </w:r>
            <w:proofErr w:type="spellEnd"/>
            <w:r w:rsidRPr="00C129CC">
              <w:rPr>
                <w:rFonts w:ascii="Calibri" w:eastAsia="Calibri" w:hAnsi="Calibri" w:cs="Calibri"/>
                <w:lang w:val="en-GB"/>
              </w:rPr>
              <w:t xml:space="preserve"> Key Management System </w:t>
            </w:r>
          </w:p>
        </w:tc>
        <w:tc>
          <w:tcPr>
            <w:tcW w:w="3120" w:type="dxa"/>
          </w:tcPr>
          <w:p w14:paraId="0B6796C0" w14:textId="118AE4F5" w:rsidR="71CFD633" w:rsidRPr="00C129CC" w:rsidRDefault="71CFD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3120" w:type="dxa"/>
          </w:tcPr>
          <w:p w14:paraId="1AAEBF27" w14:textId="7ECAB591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71CFD633" w:rsidRPr="00C129CC" w14:paraId="2E9BA2A4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0CE8714F" w14:textId="0E722934" w:rsidR="71CFD633" w:rsidRPr="00C129CC" w:rsidRDefault="71CFD633" w:rsidP="71CFD633">
            <w:pPr>
              <w:ind w:left="93"/>
              <w:rPr>
                <w:rFonts w:ascii="Calibri" w:hAnsi="Calibri"/>
              </w:rPr>
            </w:pPr>
            <w:r w:rsidRPr="00C129CC">
              <w:rPr>
                <w:rFonts w:ascii="Calibri" w:eastAsia="Calibri" w:hAnsi="Calibri" w:cs="Calibri"/>
                <w:lang w:val="en-GB"/>
              </w:rPr>
              <w:t>FIREACT</w:t>
            </w:r>
          </w:p>
        </w:tc>
        <w:tc>
          <w:tcPr>
            <w:tcW w:w="3120" w:type="dxa"/>
          </w:tcPr>
          <w:p w14:paraId="323B3479" w14:textId="1B0B0869" w:rsidR="71CFD633" w:rsidRPr="00C129CC" w:rsidRDefault="71CFD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3120" w:type="dxa"/>
          </w:tcPr>
          <w:p w14:paraId="1BFBB652" w14:textId="704542D2" w:rsidR="71CFD633" w:rsidRPr="00C129CC" w:rsidRDefault="00AC380D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C129CC">
              <w:rPr>
                <w:rFonts w:ascii="Calibri" w:eastAsia="Calibri" w:hAnsi="Calibri" w:cs="Calibri"/>
                <w:lang w:val="en-GB"/>
              </w:rPr>
              <w:t>De-</w:t>
            </w: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commssioned</w:t>
            </w:r>
            <w:proofErr w:type="spellEnd"/>
            <w:r w:rsidRPr="00C129CC">
              <w:rPr>
                <w:rFonts w:ascii="Calibri" w:eastAsia="Calibri" w:hAnsi="Calibri" w:cs="Calibri"/>
                <w:lang w:val="en-GB"/>
              </w:rPr>
              <w:t xml:space="preserve"> 2015 now part of </w:t>
            </w:r>
            <w:proofErr w:type="spellStart"/>
            <w:r w:rsidRPr="00C129CC">
              <w:rPr>
                <w:rFonts w:ascii="Calibri" w:eastAsia="Calibri" w:hAnsi="Calibri" w:cs="Calibri"/>
                <w:lang w:val="en-GB"/>
              </w:rPr>
              <w:t>WebCentral</w:t>
            </w:r>
            <w:proofErr w:type="spellEnd"/>
          </w:p>
        </w:tc>
      </w:tr>
      <w:tr w:rsidR="71CFD633" w:rsidRPr="00C129CC" w14:paraId="197862E2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2501F8F4" w14:textId="6B90F06F" w:rsidR="71CFD633" w:rsidRPr="00C129CC" w:rsidRDefault="71CFD633" w:rsidP="71CFD633">
            <w:pPr>
              <w:ind w:left="93"/>
              <w:rPr>
                <w:rFonts w:ascii="Calibri" w:hAnsi="Calibri"/>
              </w:rPr>
            </w:pPr>
            <w:r w:rsidRPr="00C129CC">
              <w:rPr>
                <w:rFonts w:ascii="Calibri" w:eastAsia="Calibri" w:hAnsi="Calibri" w:cs="Calibri"/>
                <w:lang w:val="en-GB"/>
              </w:rPr>
              <w:t>RETAIN</w:t>
            </w:r>
          </w:p>
        </w:tc>
        <w:tc>
          <w:tcPr>
            <w:tcW w:w="3120" w:type="dxa"/>
          </w:tcPr>
          <w:p w14:paraId="1746CCCA" w14:textId="77A042F5" w:rsidR="71CFD633" w:rsidRPr="00C129CC" w:rsidRDefault="71CFD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3120" w:type="dxa"/>
          </w:tcPr>
          <w:p w14:paraId="3E3DEF83" w14:textId="61A3FF30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71CFD633" w:rsidRPr="00C129CC" w14:paraId="732F30A0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21C026B4" w14:textId="507A1A6E" w:rsidR="71CFD633" w:rsidRPr="00C129CC" w:rsidRDefault="71CFD633" w:rsidP="71CFD633">
            <w:pPr>
              <w:ind w:left="93"/>
              <w:rPr>
                <w:rFonts w:ascii="Calibri" w:hAnsi="Calibri"/>
              </w:rPr>
            </w:pPr>
            <w:r w:rsidRPr="00C129CC">
              <w:rPr>
                <w:rFonts w:ascii="Calibri" w:eastAsia="Calibri" w:hAnsi="Calibri" w:cs="Calibri"/>
                <w:lang w:val="en-GB"/>
              </w:rPr>
              <w:t>ACCIDENT AND INCIDENT REPORTING</w:t>
            </w:r>
          </w:p>
        </w:tc>
        <w:tc>
          <w:tcPr>
            <w:tcW w:w="3120" w:type="dxa"/>
          </w:tcPr>
          <w:p w14:paraId="5715C87E" w14:textId="2BE09404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C129CC">
              <w:rPr>
                <w:rFonts w:ascii="Calibri" w:eastAsia="Arial" w:hAnsi="Calibri" w:cs="Arial"/>
                <w:lang w:val="en-GB"/>
              </w:rPr>
              <w:t xml:space="preserve"> </w:t>
            </w:r>
          </w:p>
        </w:tc>
        <w:tc>
          <w:tcPr>
            <w:tcW w:w="3120" w:type="dxa"/>
          </w:tcPr>
          <w:p w14:paraId="376DCC57" w14:textId="607C6F7C" w:rsidR="71CFD633" w:rsidRPr="00C129CC" w:rsidRDefault="71CFD633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C129C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0085072F" w:rsidRPr="00C129CC" w14:paraId="1BF4F08D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D4A3A3E" w14:textId="1EBD053A" w:rsidR="0085072F" w:rsidRPr="00C129CC" w:rsidRDefault="0085072F" w:rsidP="71CFD633">
            <w:pPr>
              <w:ind w:left="93"/>
              <w:rPr>
                <w:rFonts w:ascii="Calibri" w:eastAsia="Calibri" w:hAnsi="Calibri" w:cs="Calibri"/>
                <w:lang w:val="en-GB"/>
              </w:rPr>
            </w:pPr>
            <w:r w:rsidRPr="00C129CC">
              <w:rPr>
                <w:rFonts w:ascii="Calibri" w:eastAsia="Calibri" w:hAnsi="Calibri" w:cs="Calibri"/>
                <w:lang w:val="en-GB"/>
              </w:rPr>
              <w:t>HR Reward Calculator</w:t>
            </w:r>
          </w:p>
        </w:tc>
        <w:tc>
          <w:tcPr>
            <w:tcW w:w="3120" w:type="dxa"/>
          </w:tcPr>
          <w:p w14:paraId="43A9311E" w14:textId="547E37CB" w:rsidR="0085072F" w:rsidRPr="00C129CC" w:rsidRDefault="0085072F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" w:hAnsi="Calibri" w:cs="Arial"/>
                <w:lang w:val="en-GB"/>
              </w:rPr>
            </w:pPr>
            <w:r w:rsidRPr="00C129CC">
              <w:rPr>
                <w:rFonts w:ascii="Calibri" w:eastAsia="Arial" w:hAnsi="Calibri" w:cs="Arial"/>
                <w:lang w:val="en-GB"/>
              </w:rPr>
              <w:t>3</w:t>
            </w:r>
          </w:p>
        </w:tc>
        <w:tc>
          <w:tcPr>
            <w:tcW w:w="3120" w:type="dxa"/>
          </w:tcPr>
          <w:p w14:paraId="4CCE2882" w14:textId="092F49A8" w:rsidR="0085072F" w:rsidRPr="00C129CC" w:rsidRDefault="0085072F" w:rsidP="00A07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GB"/>
              </w:rPr>
            </w:pPr>
            <w:r w:rsidRPr="00C129CC">
              <w:rPr>
                <w:rFonts w:ascii="Calibri" w:eastAsia="Calibri" w:hAnsi="Calibri" w:cs="Calibri"/>
                <w:lang w:val="en-GB"/>
              </w:rPr>
              <w:t>2015</w:t>
            </w:r>
          </w:p>
        </w:tc>
      </w:tr>
      <w:tr w:rsidR="0085072F" w:rsidRPr="00C129CC" w14:paraId="08692E26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32AFEE8D" w14:textId="1ECCAA7E" w:rsidR="0085072F" w:rsidRPr="00A07E5A" w:rsidRDefault="0085072F" w:rsidP="008507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A07E5A">
              <w:rPr>
                <w:rFonts w:ascii="Calibri" w:hAnsi="Calibri" w:cs="Calibri"/>
              </w:rPr>
              <w:t>Uniware</w:t>
            </w:r>
            <w:proofErr w:type="spellEnd"/>
            <w:r w:rsidRPr="00A07E5A">
              <w:rPr>
                <w:rFonts w:ascii="Calibri" w:hAnsi="Calibri" w:cs="Calibri"/>
              </w:rPr>
              <w:t xml:space="preserve"> Cashless Catering (interface to)</w:t>
            </w:r>
          </w:p>
        </w:tc>
        <w:tc>
          <w:tcPr>
            <w:tcW w:w="3120" w:type="dxa"/>
          </w:tcPr>
          <w:p w14:paraId="225F5B56" w14:textId="77777777" w:rsidR="0085072F" w:rsidRPr="00A07E5A" w:rsidRDefault="0085072F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" w:hAnsi="Calibri" w:cs="Arial"/>
                <w:lang w:val="en-GB"/>
              </w:rPr>
            </w:pPr>
          </w:p>
        </w:tc>
        <w:tc>
          <w:tcPr>
            <w:tcW w:w="3120" w:type="dxa"/>
          </w:tcPr>
          <w:p w14:paraId="3F3FA9FD" w14:textId="77777777" w:rsidR="0085072F" w:rsidRPr="00A07E5A" w:rsidRDefault="0085072F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85072F" w:rsidRPr="00C129CC" w14:paraId="4CBAE8B2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70DE08CE" w14:textId="6EB6DA00" w:rsidR="0085072F" w:rsidRPr="00A07E5A" w:rsidRDefault="0085072F" w:rsidP="008507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07E5A">
              <w:rPr>
                <w:rFonts w:ascii="Calibri" w:hAnsi="Calibri" w:cs="Calibri"/>
              </w:rPr>
              <w:t>Library Fees/Fines (interfaces via Jams and alma)</w:t>
            </w:r>
          </w:p>
        </w:tc>
        <w:tc>
          <w:tcPr>
            <w:tcW w:w="3120" w:type="dxa"/>
          </w:tcPr>
          <w:p w14:paraId="1104BDFA" w14:textId="0883A47E" w:rsidR="0085072F" w:rsidRPr="00A07E5A" w:rsidRDefault="0085072F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" w:hAnsi="Calibri" w:cs="Arial"/>
                <w:lang w:val="en-GB"/>
              </w:rPr>
            </w:pPr>
            <w:r w:rsidRPr="00A07E5A">
              <w:rPr>
                <w:rFonts w:ascii="Calibri" w:eastAsia="Arial" w:hAnsi="Calibri" w:cs="Arial"/>
                <w:lang w:val="en-GB"/>
              </w:rPr>
              <w:t>3</w:t>
            </w:r>
          </w:p>
        </w:tc>
        <w:tc>
          <w:tcPr>
            <w:tcW w:w="3120" w:type="dxa"/>
          </w:tcPr>
          <w:p w14:paraId="7DF8CC19" w14:textId="77D625C3" w:rsidR="0085072F" w:rsidRPr="00A07E5A" w:rsidRDefault="0085072F" w:rsidP="00A07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GB"/>
              </w:rPr>
            </w:pPr>
            <w:r w:rsidRPr="00A07E5A">
              <w:rPr>
                <w:rFonts w:ascii="Calibri" w:eastAsia="Calibri" w:hAnsi="Calibri" w:cs="Calibri"/>
                <w:lang w:val="en-GB"/>
              </w:rPr>
              <w:t>2015</w:t>
            </w:r>
          </w:p>
        </w:tc>
      </w:tr>
      <w:tr w:rsidR="0085072F" w:rsidRPr="00C129CC" w14:paraId="168F31F2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01CAEBC1" w14:textId="74C2CE23" w:rsidR="0085072F" w:rsidRPr="00A07E5A" w:rsidRDefault="0085072F" w:rsidP="008507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A07E5A">
              <w:rPr>
                <w:rFonts w:ascii="Calibri" w:hAnsi="Calibri" w:cs="Calibri"/>
              </w:rPr>
              <w:t>cSeries</w:t>
            </w:r>
            <w:proofErr w:type="spellEnd"/>
          </w:p>
        </w:tc>
        <w:tc>
          <w:tcPr>
            <w:tcW w:w="3120" w:type="dxa"/>
          </w:tcPr>
          <w:p w14:paraId="60C30A93" w14:textId="77777777" w:rsidR="0085072F" w:rsidRPr="00A07E5A" w:rsidRDefault="0085072F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" w:hAnsi="Calibri" w:cs="Arial"/>
                <w:lang w:val="en-GB"/>
              </w:rPr>
            </w:pPr>
          </w:p>
        </w:tc>
        <w:tc>
          <w:tcPr>
            <w:tcW w:w="3120" w:type="dxa"/>
          </w:tcPr>
          <w:p w14:paraId="3579A3D7" w14:textId="6D739C1A" w:rsidR="0085072F" w:rsidRPr="00A07E5A" w:rsidRDefault="0085072F" w:rsidP="00A07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GB"/>
              </w:rPr>
            </w:pPr>
            <w:r w:rsidRPr="00A07E5A">
              <w:rPr>
                <w:rFonts w:ascii="Calibri" w:eastAsia="Calibri" w:hAnsi="Calibri" w:cs="Calibri"/>
                <w:lang w:val="en-GB"/>
              </w:rPr>
              <w:t>2015</w:t>
            </w:r>
          </w:p>
        </w:tc>
      </w:tr>
      <w:tr w:rsidR="0085072F" w:rsidRPr="00C129CC" w14:paraId="226777DE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0605F3FE" w14:textId="706B0029" w:rsidR="0085072F" w:rsidRPr="00A07E5A" w:rsidRDefault="0085072F" w:rsidP="008507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A07E5A">
              <w:rPr>
                <w:rFonts w:ascii="Calibri" w:hAnsi="Calibri" w:cs="Calibri"/>
              </w:rPr>
              <w:t>eCommerce</w:t>
            </w:r>
            <w:proofErr w:type="spellEnd"/>
            <w:r w:rsidRPr="00A07E5A">
              <w:rPr>
                <w:rFonts w:ascii="Calibri" w:hAnsi="Calibri" w:cs="Calibri"/>
              </w:rPr>
              <w:t xml:space="preserve"> (new interfaces from/to </w:t>
            </w:r>
            <w:proofErr w:type="spellStart"/>
            <w:r w:rsidRPr="00A07E5A">
              <w:rPr>
                <w:rFonts w:ascii="Calibri" w:hAnsi="Calibri" w:cs="Calibri"/>
              </w:rPr>
              <w:t>Sciquest</w:t>
            </w:r>
            <w:proofErr w:type="spellEnd"/>
            <w:r w:rsidRPr="00A07E5A">
              <w:rPr>
                <w:rFonts w:ascii="Calibri" w:hAnsi="Calibri" w:cs="Calibri"/>
              </w:rPr>
              <w:t>)</w:t>
            </w:r>
          </w:p>
        </w:tc>
        <w:tc>
          <w:tcPr>
            <w:tcW w:w="3120" w:type="dxa"/>
          </w:tcPr>
          <w:p w14:paraId="2D6DF8C5" w14:textId="53F21104" w:rsidR="0085072F" w:rsidRPr="00A07E5A" w:rsidRDefault="0085072F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" w:hAnsi="Calibri" w:cs="Arial"/>
                <w:lang w:val="en-GB"/>
              </w:rPr>
            </w:pPr>
            <w:r w:rsidRPr="00A07E5A">
              <w:rPr>
                <w:rFonts w:ascii="Calibri" w:eastAsia="Arial" w:hAnsi="Calibri" w:cs="Arial"/>
                <w:lang w:val="en-GB"/>
              </w:rPr>
              <w:t>3</w:t>
            </w:r>
          </w:p>
        </w:tc>
        <w:tc>
          <w:tcPr>
            <w:tcW w:w="3120" w:type="dxa"/>
          </w:tcPr>
          <w:p w14:paraId="6EED5875" w14:textId="3D4A27AD" w:rsidR="0085072F" w:rsidRPr="00A07E5A" w:rsidRDefault="0085072F" w:rsidP="00A07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GB"/>
              </w:rPr>
            </w:pPr>
            <w:r w:rsidRPr="00A07E5A">
              <w:rPr>
                <w:rFonts w:ascii="Calibri" w:eastAsia="Calibri" w:hAnsi="Calibri" w:cs="Calibri"/>
                <w:lang w:val="en-GB"/>
              </w:rPr>
              <w:t>2015</w:t>
            </w:r>
          </w:p>
        </w:tc>
      </w:tr>
      <w:tr w:rsidR="005A3109" w:rsidRPr="00C129CC" w14:paraId="63A0BA70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7C971E0B" w14:textId="51718FF6" w:rsidR="005A3109" w:rsidRPr="00777C96" w:rsidRDefault="005A3109" w:rsidP="005A31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77C96">
              <w:rPr>
                <w:rFonts w:ascii="Calibri" w:hAnsi="Calibri" w:cs="Calibri"/>
              </w:rPr>
              <w:t>Media Hopper</w:t>
            </w:r>
          </w:p>
        </w:tc>
        <w:tc>
          <w:tcPr>
            <w:tcW w:w="3120" w:type="dxa"/>
          </w:tcPr>
          <w:p w14:paraId="4C688228" w14:textId="42DC6A68" w:rsidR="005A3109" w:rsidRPr="00777C96" w:rsidRDefault="005A3109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" w:hAnsi="Calibri" w:cs="Arial"/>
                <w:lang w:val="en-GB"/>
              </w:rPr>
            </w:pPr>
            <w:r w:rsidRPr="00777C96">
              <w:rPr>
                <w:rFonts w:ascii="Calibri" w:eastAsia="Arial" w:hAnsi="Calibri" w:cs="Arial"/>
                <w:lang w:val="en-GB"/>
              </w:rPr>
              <w:t>3</w:t>
            </w:r>
          </w:p>
        </w:tc>
        <w:tc>
          <w:tcPr>
            <w:tcW w:w="3120" w:type="dxa"/>
          </w:tcPr>
          <w:p w14:paraId="6056239A" w14:textId="6B29EFAB" w:rsidR="005A3109" w:rsidRPr="00C129CC" w:rsidRDefault="005A3109" w:rsidP="005A3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GB"/>
              </w:rPr>
            </w:pPr>
            <w:r w:rsidRPr="00C129CC">
              <w:rPr>
                <w:rFonts w:ascii="Calibri" w:eastAsia="Calibri" w:hAnsi="Calibri" w:cs="Calibri"/>
                <w:lang w:val="en-GB"/>
              </w:rPr>
              <w:t>2015</w:t>
            </w:r>
          </w:p>
        </w:tc>
      </w:tr>
      <w:tr w:rsidR="00832FD0" w:rsidRPr="00C129CC" w14:paraId="03A642AB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44D38EC" w14:textId="1C58595D" w:rsidR="00832FD0" w:rsidRPr="00777C96" w:rsidRDefault="00832FD0" w:rsidP="005A31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777C96">
              <w:rPr>
                <w:rFonts w:ascii="Calibri" w:hAnsi="Calibri" w:cs="Calibri"/>
              </w:rPr>
              <w:t>UniDesk</w:t>
            </w:r>
            <w:proofErr w:type="spellEnd"/>
            <w:r w:rsidRPr="00777C96">
              <w:rPr>
                <w:rFonts w:ascii="Calibri" w:hAnsi="Calibri" w:cs="Calibri"/>
              </w:rPr>
              <w:t xml:space="preserve"> Napier</w:t>
            </w:r>
          </w:p>
        </w:tc>
        <w:tc>
          <w:tcPr>
            <w:tcW w:w="3120" w:type="dxa"/>
          </w:tcPr>
          <w:p w14:paraId="318D8C94" w14:textId="0396E32C" w:rsidR="00832FD0" w:rsidRPr="00777C96" w:rsidRDefault="00832FD0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" w:hAnsi="Calibri" w:cs="Arial"/>
                <w:lang w:val="en-GB"/>
              </w:rPr>
            </w:pPr>
            <w:r w:rsidRPr="00777C96">
              <w:rPr>
                <w:rFonts w:ascii="Calibri" w:eastAsia="Arial" w:hAnsi="Calibri" w:cs="Arial"/>
                <w:lang w:val="en-GB"/>
              </w:rPr>
              <w:t>3</w:t>
            </w:r>
          </w:p>
        </w:tc>
        <w:tc>
          <w:tcPr>
            <w:tcW w:w="3120" w:type="dxa"/>
          </w:tcPr>
          <w:p w14:paraId="1E56D140" w14:textId="6539AA40" w:rsidR="00832FD0" w:rsidRPr="00C129CC" w:rsidRDefault="00A07E5A" w:rsidP="005A3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2</w:t>
            </w:r>
            <w:r w:rsidR="00832FD0" w:rsidRPr="00C129CC">
              <w:rPr>
                <w:rFonts w:ascii="Calibri" w:eastAsia="Calibri" w:hAnsi="Calibri" w:cs="Calibri"/>
                <w:lang w:val="en-GB"/>
              </w:rPr>
              <w:t>015</w:t>
            </w:r>
          </w:p>
        </w:tc>
      </w:tr>
      <w:tr w:rsidR="00832FD0" w14:paraId="433DCF09" w14:textId="77777777" w:rsidTr="00C12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33E84C8B" w14:textId="353C57A6" w:rsidR="00832FD0" w:rsidRPr="00777C96" w:rsidRDefault="00832FD0" w:rsidP="005A31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77C96">
              <w:rPr>
                <w:rFonts w:ascii="Calibri" w:hAnsi="Calibri" w:cs="Calibri"/>
              </w:rPr>
              <w:t xml:space="preserve">Moodle </w:t>
            </w:r>
            <w:proofErr w:type="spellStart"/>
            <w:r w:rsidRPr="00777C96">
              <w:rPr>
                <w:rFonts w:ascii="Calibri" w:hAnsi="Calibri" w:cs="Calibri"/>
              </w:rPr>
              <w:t>Datafeeds</w:t>
            </w:r>
            <w:proofErr w:type="spellEnd"/>
          </w:p>
        </w:tc>
        <w:tc>
          <w:tcPr>
            <w:tcW w:w="3120" w:type="dxa"/>
          </w:tcPr>
          <w:p w14:paraId="71CD2FF5" w14:textId="0CACA304" w:rsidR="00832FD0" w:rsidRPr="00777C96" w:rsidRDefault="00832FD0" w:rsidP="71CFD633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" w:hAnsi="Calibri" w:cs="Arial"/>
                <w:lang w:val="en-GB"/>
              </w:rPr>
            </w:pPr>
            <w:r w:rsidRPr="00777C96">
              <w:rPr>
                <w:rFonts w:ascii="Calibri" w:eastAsia="Arial" w:hAnsi="Calibri" w:cs="Arial"/>
                <w:lang w:val="en-GB"/>
              </w:rPr>
              <w:t>2</w:t>
            </w:r>
          </w:p>
        </w:tc>
        <w:tc>
          <w:tcPr>
            <w:tcW w:w="3120" w:type="dxa"/>
          </w:tcPr>
          <w:p w14:paraId="67B5C46F" w14:textId="64E15D0D" w:rsidR="00832FD0" w:rsidRPr="00C129CC" w:rsidRDefault="00832FD0" w:rsidP="005A3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GB"/>
              </w:rPr>
            </w:pPr>
            <w:r w:rsidRPr="00C129CC">
              <w:rPr>
                <w:rFonts w:ascii="Calibri" w:eastAsia="Calibri" w:hAnsi="Calibri" w:cs="Calibri"/>
                <w:lang w:val="en-GB"/>
              </w:rPr>
              <w:t>2015</w:t>
            </w:r>
          </w:p>
        </w:tc>
      </w:tr>
    </w:tbl>
    <w:p w14:paraId="1A37CA2B" w14:textId="33577598" w:rsidR="0085072F" w:rsidRDefault="71CFD633" w:rsidP="0085072F">
      <w:pPr>
        <w:rPr>
          <w:rFonts w:ascii="Calibri" w:hAnsi="Calibri" w:cs="Calibri"/>
          <w:sz w:val="32"/>
          <w:szCs w:val="32"/>
        </w:rPr>
      </w:pPr>
      <w:r w:rsidRPr="71CFD633">
        <w:rPr>
          <w:rFonts w:ascii="Calibri" w:eastAsia="Calibri" w:hAnsi="Calibri" w:cs="Calibri"/>
          <w:lang w:val="en-GB"/>
        </w:rPr>
        <w:t xml:space="preserve"> </w:t>
      </w:r>
    </w:p>
    <w:p w14:paraId="03E6FBDB" w14:textId="60E0F0A3" w:rsidR="0085072F" w:rsidRDefault="0085072F" w:rsidP="008507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14:paraId="4F58BAB4" w14:textId="77777777" w:rsidR="0085072F" w:rsidRDefault="0085072F" w:rsidP="008507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> </w:t>
      </w:r>
    </w:p>
    <w:p w14:paraId="4C98D7B7" w14:textId="50D32977" w:rsidR="71CFD633" w:rsidRDefault="71CFD633" w:rsidP="71CFD633"/>
    <w:p w14:paraId="099D195C" w14:textId="77777777" w:rsidR="00AB61D2" w:rsidRDefault="00AB61D2" w:rsidP="71CFD633"/>
    <w:p w14:paraId="6AE2A60D" w14:textId="77777777" w:rsidR="00AB61D2" w:rsidRDefault="00AB61D2" w:rsidP="71CFD633"/>
    <w:sectPr w:rsidR="00AB61D2" w:rsidSect="00172C50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B1A57"/>
    <w:multiLevelType w:val="hybridMultilevel"/>
    <w:tmpl w:val="39B68B46"/>
    <w:lvl w:ilvl="0" w:tplc="A37C68C8">
      <w:numFmt w:val="bullet"/>
      <w:lvlText w:val=""/>
      <w:lvlJc w:val="left"/>
      <w:pPr>
        <w:ind w:left="800" w:hanging="44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161AF"/>
    <w:multiLevelType w:val="hybridMultilevel"/>
    <w:tmpl w:val="668E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C0FCF"/>
    <w:multiLevelType w:val="hybridMultilevel"/>
    <w:tmpl w:val="4BBA8CA6"/>
    <w:lvl w:ilvl="0" w:tplc="A37C68C8">
      <w:numFmt w:val="bullet"/>
      <w:lvlText w:val=""/>
      <w:lvlJc w:val="left"/>
      <w:pPr>
        <w:ind w:left="800" w:hanging="44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CFD633"/>
    <w:rsid w:val="000A2BF7"/>
    <w:rsid w:val="00104BAB"/>
    <w:rsid w:val="00115799"/>
    <w:rsid w:val="00172C50"/>
    <w:rsid w:val="001E129C"/>
    <w:rsid w:val="002F35A3"/>
    <w:rsid w:val="00321CCC"/>
    <w:rsid w:val="00451E18"/>
    <w:rsid w:val="004B0824"/>
    <w:rsid w:val="005A3109"/>
    <w:rsid w:val="005F3646"/>
    <w:rsid w:val="006B6C48"/>
    <w:rsid w:val="00777C96"/>
    <w:rsid w:val="0078175F"/>
    <w:rsid w:val="007969C7"/>
    <w:rsid w:val="007C6C43"/>
    <w:rsid w:val="007D3942"/>
    <w:rsid w:val="00832FD0"/>
    <w:rsid w:val="008354DE"/>
    <w:rsid w:val="008402FB"/>
    <w:rsid w:val="0085072F"/>
    <w:rsid w:val="00902BD7"/>
    <w:rsid w:val="00964C57"/>
    <w:rsid w:val="00986BCC"/>
    <w:rsid w:val="00A07E5A"/>
    <w:rsid w:val="00A5019A"/>
    <w:rsid w:val="00AB61D2"/>
    <w:rsid w:val="00AC380D"/>
    <w:rsid w:val="00B31420"/>
    <w:rsid w:val="00C129CC"/>
    <w:rsid w:val="00DF4355"/>
    <w:rsid w:val="00E12636"/>
    <w:rsid w:val="00F3444F"/>
    <w:rsid w:val="00FF113F"/>
    <w:rsid w:val="00FF26B1"/>
    <w:rsid w:val="71CFD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8D025AC6-8147-4B19-9331-16CCCEBA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B0824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172C5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72C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5">
    <w:name w:val="Grid Table 3 Accent 5"/>
    <w:basedOn w:val="TableNormal"/>
    <w:uiPriority w:val="48"/>
    <w:rsid w:val="00172C5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72C5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72C5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172C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172C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2-Accent6">
    <w:name w:val="List Table 2 Accent 6"/>
    <w:basedOn w:val="TableNormal"/>
    <w:uiPriority w:val="47"/>
    <w:rsid w:val="00172C5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uoe-my.sharepoint.com/personal/skaempf_ed_ac_uk/Documents/Reports/Book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uoe-my.sharepoint.com/personal/skaempf_ed_ac_uk/Documents/Reports/Book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Workbook3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Workbook3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Top Priority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10/11</c:v>
                </c:pt>
                <c:pt idx="1">
                  <c:v>11/12</c:v>
                </c:pt>
                <c:pt idx="2">
                  <c:v>12/13</c:v>
                </c:pt>
                <c:pt idx="3">
                  <c:v>13/14</c:v>
                </c:pt>
                <c:pt idx="4">
                  <c:v>14/15</c:v>
                </c:pt>
                <c:pt idx="5">
                  <c:v>15/16</c:v>
                </c:pt>
              </c:strCache>
            </c:strRef>
          </c:cat>
          <c:val>
            <c:numRef>
              <c:f>Sheet1!$B$2:$G$2</c:f>
              <c:numCache>
                <c:formatCode>0.00%</c:formatCode>
                <c:ptCount val="6"/>
                <c:pt idx="0">
                  <c:v>0.99950000000000006</c:v>
                </c:pt>
                <c:pt idx="1">
                  <c:v>0.99960000000000004</c:v>
                </c:pt>
                <c:pt idx="2">
                  <c:v>0.99960000000000004</c:v>
                </c:pt>
                <c:pt idx="3">
                  <c:v>0.998</c:v>
                </c:pt>
                <c:pt idx="4">
                  <c:v>0.99929999999999997</c:v>
                </c:pt>
                <c:pt idx="5">
                  <c:v>0.99929999999999997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573-4988-AC32-6222D739EC7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Medium Priority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10/11</c:v>
                </c:pt>
                <c:pt idx="1">
                  <c:v>11/12</c:v>
                </c:pt>
                <c:pt idx="2">
                  <c:v>12/13</c:v>
                </c:pt>
                <c:pt idx="3">
                  <c:v>13/14</c:v>
                </c:pt>
                <c:pt idx="4">
                  <c:v>14/15</c:v>
                </c:pt>
                <c:pt idx="5">
                  <c:v>15/16</c:v>
                </c:pt>
              </c:strCache>
            </c:strRef>
          </c:cat>
          <c:val>
            <c:numRef>
              <c:f>Sheet1!$B$3:$G$3</c:f>
              <c:numCache>
                <c:formatCode>0.00%</c:formatCode>
                <c:ptCount val="6"/>
                <c:pt idx="0">
                  <c:v>0.99850000000000005</c:v>
                </c:pt>
                <c:pt idx="1">
                  <c:v>0.99850000000000005</c:v>
                </c:pt>
                <c:pt idx="2">
                  <c:v>0.99919999999999998</c:v>
                </c:pt>
                <c:pt idx="3">
                  <c:v>0.9929</c:v>
                </c:pt>
                <c:pt idx="4">
                  <c:v>0.99639999999999995</c:v>
                </c:pt>
                <c:pt idx="5">
                  <c:v>0.99670000000000003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573-4988-AC32-6222D739EC7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Target High Priority</c:v>
                </c:pt>
              </c:strCache>
            </c:strRef>
          </c:tx>
          <c:spPr>
            <a:ln w="28575" cap="rnd">
              <a:solidFill>
                <a:schemeClr val="accent6"/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10/11</c:v>
                </c:pt>
                <c:pt idx="1">
                  <c:v>11/12</c:v>
                </c:pt>
                <c:pt idx="2">
                  <c:v>12/13</c:v>
                </c:pt>
                <c:pt idx="3">
                  <c:v>13/14</c:v>
                </c:pt>
                <c:pt idx="4">
                  <c:v>14/15</c:v>
                </c:pt>
                <c:pt idx="5">
                  <c:v>15/16</c:v>
                </c:pt>
              </c:strCache>
            </c:strRef>
          </c:cat>
          <c:val>
            <c:numRef>
              <c:f>Sheet1!$B$4:$G$4</c:f>
              <c:numCache>
                <c:formatCode>0.00%</c:formatCode>
                <c:ptCount val="6"/>
                <c:pt idx="0">
                  <c:v>0.999</c:v>
                </c:pt>
                <c:pt idx="1">
                  <c:v>0.999</c:v>
                </c:pt>
                <c:pt idx="2">
                  <c:v>0.999</c:v>
                </c:pt>
                <c:pt idx="3">
                  <c:v>0.999</c:v>
                </c:pt>
                <c:pt idx="4">
                  <c:v>0.999</c:v>
                </c:pt>
                <c:pt idx="5">
                  <c:v>0.999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9573-4988-AC32-6222D739EC78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Target Medium Priority</c:v>
                </c:pt>
              </c:strCache>
            </c:strRef>
          </c:tx>
          <c:spPr>
            <a:ln w="28575" cap="rnd">
              <a:solidFill>
                <a:schemeClr val="accent4"/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10/11</c:v>
                </c:pt>
                <c:pt idx="1">
                  <c:v>11/12</c:v>
                </c:pt>
                <c:pt idx="2">
                  <c:v>12/13</c:v>
                </c:pt>
                <c:pt idx="3">
                  <c:v>13/14</c:v>
                </c:pt>
                <c:pt idx="4">
                  <c:v>14/15</c:v>
                </c:pt>
                <c:pt idx="5">
                  <c:v>15/16</c:v>
                </c:pt>
              </c:strCache>
            </c:strRef>
          </c:cat>
          <c:val>
            <c:numRef>
              <c:f>Sheet1!$B$5:$G$5</c:f>
              <c:numCache>
                <c:formatCode>0.00%</c:formatCode>
                <c:ptCount val="6"/>
                <c:pt idx="0">
                  <c:v>0.995</c:v>
                </c:pt>
                <c:pt idx="1">
                  <c:v>0.995</c:v>
                </c:pt>
                <c:pt idx="2">
                  <c:v>0.995</c:v>
                </c:pt>
                <c:pt idx="3">
                  <c:v>0.995</c:v>
                </c:pt>
                <c:pt idx="4">
                  <c:v>0.995</c:v>
                </c:pt>
                <c:pt idx="5">
                  <c:v>0.995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9573-4988-AC32-6222D739EC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3000024"/>
        <c:axId val="432998064"/>
      </c:lineChart>
      <c:catAx>
        <c:axId val="4330000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2998064"/>
        <c:crosses val="autoZero"/>
        <c:auto val="1"/>
        <c:lblAlgn val="ctr"/>
        <c:lblOffset val="100"/>
        <c:noMultiLvlLbl val="0"/>
      </c:catAx>
      <c:valAx>
        <c:axId val="432998064"/>
        <c:scaling>
          <c:orientation val="minMax"/>
          <c:max val="1"/>
          <c:min val="0.9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3000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4119246583024"/>
          <c:y val="0.14937106918238999"/>
          <c:w val="0.82311672207327202"/>
          <c:h val="0.500209230921606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Sheet1!$A$18</c:f>
              <c:strCache>
                <c:ptCount val="1"/>
                <c:pt idx="0">
                  <c:v>Top Priority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Sheet1!$B$17:$G$17</c:f>
              <c:strCache>
                <c:ptCount val="6"/>
                <c:pt idx="0">
                  <c:v>10/11</c:v>
                </c:pt>
                <c:pt idx="1">
                  <c:v>11/12</c:v>
                </c:pt>
                <c:pt idx="2">
                  <c:v>12/13</c:v>
                </c:pt>
                <c:pt idx="3">
                  <c:v>13/14</c:v>
                </c:pt>
                <c:pt idx="4">
                  <c:v>14/15</c:v>
                </c:pt>
                <c:pt idx="5">
                  <c:v>15/16</c:v>
                </c:pt>
              </c:strCache>
            </c:strRef>
          </c:cat>
          <c:val>
            <c:numRef>
              <c:f>Sheet1!$B$18:$G$18</c:f>
              <c:numCache>
                <c:formatCode>0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5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Sheet1!$A$19</c:f>
              <c:strCache>
                <c:ptCount val="1"/>
                <c:pt idx="0">
                  <c:v>Medium Priority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Sheet1!$B$17:$G$17</c:f>
              <c:strCache>
                <c:ptCount val="6"/>
                <c:pt idx="0">
                  <c:v>10/11</c:v>
                </c:pt>
                <c:pt idx="1">
                  <c:v>11/12</c:v>
                </c:pt>
                <c:pt idx="2">
                  <c:v>12/13</c:v>
                </c:pt>
                <c:pt idx="3">
                  <c:v>13/14</c:v>
                </c:pt>
                <c:pt idx="4">
                  <c:v>14/15</c:v>
                </c:pt>
                <c:pt idx="5">
                  <c:v>15/16</c:v>
                </c:pt>
              </c:strCache>
            </c:strRef>
          </c:cat>
          <c:val>
            <c:numRef>
              <c:f>Sheet1!$B$19:$G$19</c:f>
              <c:numCache>
                <c:formatCode>0</c:formatCode>
                <c:ptCount val="6"/>
                <c:pt idx="0">
                  <c:v>6</c:v>
                </c:pt>
                <c:pt idx="1">
                  <c:v>6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2996888"/>
        <c:axId val="432996104"/>
      </c:barChart>
      <c:catAx>
        <c:axId val="432996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2996104"/>
        <c:crosses val="autoZero"/>
        <c:auto val="1"/>
        <c:lblAlgn val="ctr"/>
        <c:lblOffset val="100"/>
        <c:noMultiLvlLbl val="0"/>
      </c:catAx>
      <c:valAx>
        <c:axId val="432996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2996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cked"/>
        <c:varyColors val="0"/>
        <c:ser>
          <c:idx val="0"/>
          <c:order val="0"/>
          <c:tx>
            <c:strRef>
              <c:f>Sheet1!$Q$467</c:f>
              <c:strCache>
                <c:ptCount val="1"/>
                <c:pt idx="0">
                  <c:v>Incident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Sheet1!$P$468:$P$552</c:f>
              <c:strCache>
                <c:ptCount val="85"/>
                <c:pt idx="0">
                  <c:v>2009/08</c:v>
                </c:pt>
                <c:pt idx="1">
                  <c:v>2009/09</c:v>
                </c:pt>
                <c:pt idx="2">
                  <c:v>2009/10</c:v>
                </c:pt>
                <c:pt idx="3">
                  <c:v>2009/11</c:v>
                </c:pt>
                <c:pt idx="4">
                  <c:v>2009/12</c:v>
                </c:pt>
                <c:pt idx="5">
                  <c:v>2010/01</c:v>
                </c:pt>
                <c:pt idx="6">
                  <c:v>2010/02</c:v>
                </c:pt>
                <c:pt idx="7">
                  <c:v>2010/03</c:v>
                </c:pt>
                <c:pt idx="8">
                  <c:v>2010/04</c:v>
                </c:pt>
                <c:pt idx="9">
                  <c:v>2010/05</c:v>
                </c:pt>
                <c:pt idx="10">
                  <c:v>2010/06</c:v>
                </c:pt>
                <c:pt idx="11">
                  <c:v>2010/07</c:v>
                </c:pt>
                <c:pt idx="12">
                  <c:v>2010/08</c:v>
                </c:pt>
                <c:pt idx="13">
                  <c:v>2010/09</c:v>
                </c:pt>
                <c:pt idx="14">
                  <c:v>2010/10</c:v>
                </c:pt>
                <c:pt idx="15">
                  <c:v>2010/11</c:v>
                </c:pt>
                <c:pt idx="16">
                  <c:v>2010/12</c:v>
                </c:pt>
                <c:pt idx="17">
                  <c:v>2011/01</c:v>
                </c:pt>
                <c:pt idx="18">
                  <c:v>2011/02</c:v>
                </c:pt>
                <c:pt idx="19">
                  <c:v>2011/03</c:v>
                </c:pt>
                <c:pt idx="20">
                  <c:v>2011/04</c:v>
                </c:pt>
                <c:pt idx="21">
                  <c:v>2011/05</c:v>
                </c:pt>
                <c:pt idx="22">
                  <c:v>2011/06</c:v>
                </c:pt>
                <c:pt idx="23">
                  <c:v>2011/07</c:v>
                </c:pt>
                <c:pt idx="24">
                  <c:v>2011/08</c:v>
                </c:pt>
                <c:pt idx="25">
                  <c:v>2011/09</c:v>
                </c:pt>
                <c:pt idx="26">
                  <c:v>2011/10</c:v>
                </c:pt>
                <c:pt idx="27">
                  <c:v>2011/11</c:v>
                </c:pt>
                <c:pt idx="28">
                  <c:v>2011/12</c:v>
                </c:pt>
                <c:pt idx="29">
                  <c:v>2012/01</c:v>
                </c:pt>
                <c:pt idx="30">
                  <c:v>2012/02</c:v>
                </c:pt>
                <c:pt idx="31">
                  <c:v>2012/03</c:v>
                </c:pt>
                <c:pt idx="32">
                  <c:v>2012/04</c:v>
                </c:pt>
                <c:pt idx="33">
                  <c:v>2012/05</c:v>
                </c:pt>
                <c:pt idx="34">
                  <c:v>2012/06</c:v>
                </c:pt>
                <c:pt idx="35">
                  <c:v>2012/07</c:v>
                </c:pt>
                <c:pt idx="36">
                  <c:v>2012/08</c:v>
                </c:pt>
                <c:pt idx="37">
                  <c:v>2012/09</c:v>
                </c:pt>
                <c:pt idx="38">
                  <c:v>2012/10</c:v>
                </c:pt>
                <c:pt idx="39">
                  <c:v>2012/11</c:v>
                </c:pt>
                <c:pt idx="40">
                  <c:v>2012/12</c:v>
                </c:pt>
                <c:pt idx="41">
                  <c:v>2013/01</c:v>
                </c:pt>
                <c:pt idx="42">
                  <c:v>2013/02</c:v>
                </c:pt>
                <c:pt idx="43">
                  <c:v>2013/03</c:v>
                </c:pt>
                <c:pt idx="44">
                  <c:v>2013/04</c:v>
                </c:pt>
                <c:pt idx="45">
                  <c:v>2013/05</c:v>
                </c:pt>
                <c:pt idx="46">
                  <c:v>2013/06</c:v>
                </c:pt>
                <c:pt idx="47">
                  <c:v>2013/07</c:v>
                </c:pt>
                <c:pt idx="48">
                  <c:v>2013/08</c:v>
                </c:pt>
                <c:pt idx="49">
                  <c:v>2013/09</c:v>
                </c:pt>
                <c:pt idx="50">
                  <c:v>2013/10</c:v>
                </c:pt>
                <c:pt idx="51">
                  <c:v>2013/11</c:v>
                </c:pt>
                <c:pt idx="52">
                  <c:v>2013/12</c:v>
                </c:pt>
                <c:pt idx="53">
                  <c:v>2014/01</c:v>
                </c:pt>
                <c:pt idx="54">
                  <c:v>2014/02</c:v>
                </c:pt>
                <c:pt idx="55">
                  <c:v>2014/03</c:v>
                </c:pt>
                <c:pt idx="56">
                  <c:v>2014/04</c:v>
                </c:pt>
                <c:pt idx="57">
                  <c:v>2014/05</c:v>
                </c:pt>
                <c:pt idx="58">
                  <c:v>2014/06</c:v>
                </c:pt>
                <c:pt idx="59">
                  <c:v>2014/07</c:v>
                </c:pt>
                <c:pt idx="60">
                  <c:v>2014/08</c:v>
                </c:pt>
                <c:pt idx="61">
                  <c:v>2014/09</c:v>
                </c:pt>
                <c:pt idx="62">
                  <c:v>2014/10</c:v>
                </c:pt>
                <c:pt idx="63">
                  <c:v>2014/11</c:v>
                </c:pt>
                <c:pt idx="64">
                  <c:v>2014/12</c:v>
                </c:pt>
                <c:pt idx="65">
                  <c:v>2015/01</c:v>
                </c:pt>
                <c:pt idx="66">
                  <c:v>2015/02</c:v>
                </c:pt>
                <c:pt idx="67">
                  <c:v>2015/03</c:v>
                </c:pt>
                <c:pt idx="68">
                  <c:v>2015/04</c:v>
                </c:pt>
                <c:pt idx="69">
                  <c:v>2015/05</c:v>
                </c:pt>
                <c:pt idx="70">
                  <c:v>2015/06</c:v>
                </c:pt>
                <c:pt idx="71">
                  <c:v>2015/07</c:v>
                </c:pt>
                <c:pt idx="72">
                  <c:v>2015/08</c:v>
                </c:pt>
                <c:pt idx="73">
                  <c:v>2015/09</c:v>
                </c:pt>
                <c:pt idx="74">
                  <c:v>2015/10</c:v>
                </c:pt>
                <c:pt idx="75">
                  <c:v>2015/11</c:v>
                </c:pt>
                <c:pt idx="76">
                  <c:v>2015/12</c:v>
                </c:pt>
                <c:pt idx="77">
                  <c:v>2016/01</c:v>
                </c:pt>
                <c:pt idx="78">
                  <c:v>2016/02</c:v>
                </c:pt>
                <c:pt idx="79">
                  <c:v>2016/03</c:v>
                </c:pt>
                <c:pt idx="80">
                  <c:v>2016/04</c:v>
                </c:pt>
                <c:pt idx="81">
                  <c:v>2016/05</c:v>
                </c:pt>
                <c:pt idx="82">
                  <c:v>2016/06</c:v>
                </c:pt>
                <c:pt idx="83">
                  <c:v>2016/07</c:v>
                </c:pt>
                <c:pt idx="84">
                  <c:v>2016/08</c:v>
                </c:pt>
              </c:strCache>
            </c:strRef>
          </c:cat>
          <c:val>
            <c:numRef>
              <c:f>Sheet1!$Q$468:$Q$552</c:f>
              <c:numCache>
                <c:formatCode>General</c:formatCode>
                <c:ptCount val="85"/>
                <c:pt idx="0">
                  <c:v>127</c:v>
                </c:pt>
                <c:pt idx="1">
                  <c:v>186</c:v>
                </c:pt>
                <c:pt idx="2">
                  <c:v>133</c:v>
                </c:pt>
                <c:pt idx="3">
                  <c:v>115</c:v>
                </c:pt>
                <c:pt idx="4">
                  <c:v>85</c:v>
                </c:pt>
                <c:pt idx="5">
                  <c:v>155</c:v>
                </c:pt>
                <c:pt idx="6">
                  <c:v>153</c:v>
                </c:pt>
                <c:pt idx="7">
                  <c:v>164</c:v>
                </c:pt>
                <c:pt idx="8">
                  <c:v>107</c:v>
                </c:pt>
                <c:pt idx="9">
                  <c:v>85</c:v>
                </c:pt>
                <c:pt idx="10">
                  <c:v>106</c:v>
                </c:pt>
                <c:pt idx="11">
                  <c:v>118</c:v>
                </c:pt>
                <c:pt idx="12">
                  <c:v>129</c:v>
                </c:pt>
                <c:pt idx="13">
                  <c:v>115</c:v>
                </c:pt>
                <c:pt idx="14">
                  <c:v>112</c:v>
                </c:pt>
                <c:pt idx="15">
                  <c:v>117</c:v>
                </c:pt>
                <c:pt idx="16">
                  <c:v>79</c:v>
                </c:pt>
                <c:pt idx="17">
                  <c:v>115</c:v>
                </c:pt>
                <c:pt idx="18">
                  <c:v>137</c:v>
                </c:pt>
                <c:pt idx="19">
                  <c:v>129</c:v>
                </c:pt>
                <c:pt idx="20">
                  <c:v>107</c:v>
                </c:pt>
                <c:pt idx="21">
                  <c:v>161</c:v>
                </c:pt>
                <c:pt idx="22">
                  <c:v>154</c:v>
                </c:pt>
                <c:pt idx="23">
                  <c:v>131</c:v>
                </c:pt>
                <c:pt idx="24">
                  <c:v>193</c:v>
                </c:pt>
                <c:pt idx="25">
                  <c:v>181</c:v>
                </c:pt>
                <c:pt idx="26">
                  <c:v>189</c:v>
                </c:pt>
                <c:pt idx="27">
                  <c:v>221</c:v>
                </c:pt>
                <c:pt idx="28">
                  <c:v>113</c:v>
                </c:pt>
                <c:pt idx="29">
                  <c:v>189</c:v>
                </c:pt>
                <c:pt idx="30">
                  <c:v>156</c:v>
                </c:pt>
                <c:pt idx="31">
                  <c:v>150</c:v>
                </c:pt>
                <c:pt idx="32">
                  <c:v>167</c:v>
                </c:pt>
                <c:pt idx="33">
                  <c:v>184</c:v>
                </c:pt>
                <c:pt idx="34">
                  <c:v>137</c:v>
                </c:pt>
                <c:pt idx="35">
                  <c:v>137</c:v>
                </c:pt>
                <c:pt idx="36">
                  <c:v>152</c:v>
                </c:pt>
                <c:pt idx="37">
                  <c:v>219</c:v>
                </c:pt>
                <c:pt idx="38">
                  <c:v>190</c:v>
                </c:pt>
                <c:pt idx="39">
                  <c:v>206</c:v>
                </c:pt>
                <c:pt idx="40">
                  <c:v>133</c:v>
                </c:pt>
                <c:pt idx="41">
                  <c:v>175</c:v>
                </c:pt>
                <c:pt idx="42">
                  <c:v>160</c:v>
                </c:pt>
                <c:pt idx="43">
                  <c:v>164</c:v>
                </c:pt>
                <c:pt idx="44">
                  <c:v>162</c:v>
                </c:pt>
                <c:pt idx="45">
                  <c:v>157</c:v>
                </c:pt>
                <c:pt idx="46">
                  <c:v>141</c:v>
                </c:pt>
                <c:pt idx="47">
                  <c:v>182</c:v>
                </c:pt>
                <c:pt idx="48">
                  <c:v>254</c:v>
                </c:pt>
                <c:pt idx="49">
                  <c:v>244</c:v>
                </c:pt>
                <c:pt idx="50">
                  <c:v>334</c:v>
                </c:pt>
                <c:pt idx="51">
                  <c:v>615</c:v>
                </c:pt>
                <c:pt idx="52">
                  <c:v>497</c:v>
                </c:pt>
                <c:pt idx="53">
                  <c:v>551</c:v>
                </c:pt>
                <c:pt idx="54">
                  <c:v>269</c:v>
                </c:pt>
                <c:pt idx="55">
                  <c:v>330</c:v>
                </c:pt>
                <c:pt idx="56">
                  <c:v>238</c:v>
                </c:pt>
                <c:pt idx="57">
                  <c:v>377</c:v>
                </c:pt>
                <c:pt idx="58">
                  <c:v>358</c:v>
                </c:pt>
                <c:pt idx="59">
                  <c:v>277</c:v>
                </c:pt>
                <c:pt idx="60">
                  <c:v>308</c:v>
                </c:pt>
                <c:pt idx="61">
                  <c:v>362</c:v>
                </c:pt>
                <c:pt idx="62">
                  <c:v>346</c:v>
                </c:pt>
                <c:pt idx="63">
                  <c:v>312</c:v>
                </c:pt>
                <c:pt idx="64">
                  <c:v>227</c:v>
                </c:pt>
                <c:pt idx="65">
                  <c:v>306</c:v>
                </c:pt>
                <c:pt idx="66">
                  <c:v>218</c:v>
                </c:pt>
                <c:pt idx="67">
                  <c:v>249</c:v>
                </c:pt>
                <c:pt idx="68">
                  <c:v>259</c:v>
                </c:pt>
                <c:pt idx="69">
                  <c:v>183</c:v>
                </c:pt>
                <c:pt idx="70">
                  <c:v>171</c:v>
                </c:pt>
                <c:pt idx="71">
                  <c:v>192</c:v>
                </c:pt>
                <c:pt idx="72">
                  <c:v>195</c:v>
                </c:pt>
                <c:pt idx="73">
                  <c:v>196</c:v>
                </c:pt>
                <c:pt idx="74">
                  <c:v>138</c:v>
                </c:pt>
                <c:pt idx="75">
                  <c:v>196</c:v>
                </c:pt>
                <c:pt idx="76">
                  <c:v>109</c:v>
                </c:pt>
                <c:pt idx="77">
                  <c:v>148</c:v>
                </c:pt>
                <c:pt idx="78">
                  <c:v>168</c:v>
                </c:pt>
                <c:pt idx="79">
                  <c:v>148</c:v>
                </c:pt>
                <c:pt idx="80">
                  <c:v>175</c:v>
                </c:pt>
                <c:pt idx="81">
                  <c:v>158</c:v>
                </c:pt>
                <c:pt idx="82">
                  <c:v>137</c:v>
                </c:pt>
                <c:pt idx="83">
                  <c:v>123</c:v>
                </c:pt>
                <c:pt idx="84">
                  <c:v>158</c:v>
                </c:pt>
              </c:numCache>
            </c:numRef>
          </c:val>
        </c:ser>
        <c:ser>
          <c:idx val="1"/>
          <c:order val="1"/>
          <c:tx>
            <c:strRef>
              <c:f>Sheet1!$R$467</c:f>
              <c:strCache>
                <c:ptCount val="1"/>
                <c:pt idx="0">
                  <c:v>Problem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Sheet1!$P$468:$P$552</c:f>
              <c:strCache>
                <c:ptCount val="85"/>
                <c:pt idx="0">
                  <c:v>2009/08</c:v>
                </c:pt>
                <c:pt idx="1">
                  <c:v>2009/09</c:v>
                </c:pt>
                <c:pt idx="2">
                  <c:v>2009/10</c:v>
                </c:pt>
                <c:pt idx="3">
                  <c:v>2009/11</c:v>
                </c:pt>
                <c:pt idx="4">
                  <c:v>2009/12</c:v>
                </c:pt>
                <c:pt idx="5">
                  <c:v>2010/01</c:v>
                </c:pt>
                <c:pt idx="6">
                  <c:v>2010/02</c:v>
                </c:pt>
                <c:pt idx="7">
                  <c:v>2010/03</c:v>
                </c:pt>
                <c:pt idx="8">
                  <c:v>2010/04</c:v>
                </c:pt>
                <c:pt idx="9">
                  <c:v>2010/05</c:v>
                </c:pt>
                <c:pt idx="10">
                  <c:v>2010/06</c:v>
                </c:pt>
                <c:pt idx="11">
                  <c:v>2010/07</c:v>
                </c:pt>
                <c:pt idx="12">
                  <c:v>2010/08</c:v>
                </c:pt>
                <c:pt idx="13">
                  <c:v>2010/09</c:v>
                </c:pt>
                <c:pt idx="14">
                  <c:v>2010/10</c:v>
                </c:pt>
                <c:pt idx="15">
                  <c:v>2010/11</c:v>
                </c:pt>
                <c:pt idx="16">
                  <c:v>2010/12</c:v>
                </c:pt>
                <c:pt idx="17">
                  <c:v>2011/01</c:v>
                </c:pt>
                <c:pt idx="18">
                  <c:v>2011/02</c:v>
                </c:pt>
                <c:pt idx="19">
                  <c:v>2011/03</c:v>
                </c:pt>
                <c:pt idx="20">
                  <c:v>2011/04</c:v>
                </c:pt>
                <c:pt idx="21">
                  <c:v>2011/05</c:v>
                </c:pt>
                <c:pt idx="22">
                  <c:v>2011/06</c:v>
                </c:pt>
                <c:pt idx="23">
                  <c:v>2011/07</c:v>
                </c:pt>
                <c:pt idx="24">
                  <c:v>2011/08</c:v>
                </c:pt>
                <c:pt idx="25">
                  <c:v>2011/09</c:v>
                </c:pt>
                <c:pt idx="26">
                  <c:v>2011/10</c:v>
                </c:pt>
                <c:pt idx="27">
                  <c:v>2011/11</c:v>
                </c:pt>
                <c:pt idx="28">
                  <c:v>2011/12</c:v>
                </c:pt>
                <c:pt idx="29">
                  <c:v>2012/01</c:v>
                </c:pt>
                <c:pt idx="30">
                  <c:v>2012/02</c:v>
                </c:pt>
                <c:pt idx="31">
                  <c:v>2012/03</c:v>
                </c:pt>
                <c:pt idx="32">
                  <c:v>2012/04</c:v>
                </c:pt>
                <c:pt idx="33">
                  <c:v>2012/05</c:v>
                </c:pt>
                <c:pt idx="34">
                  <c:v>2012/06</c:v>
                </c:pt>
                <c:pt idx="35">
                  <c:v>2012/07</c:v>
                </c:pt>
                <c:pt idx="36">
                  <c:v>2012/08</c:v>
                </c:pt>
                <c:pt idx="37">
                  <c:v>2012/09</c:v>
                </c:pt>
                <c:pt idx="38">
                  <c:v>2012/10</c:v>
                </c:pt>
                <c:pt idx="39">
                  <c:v>2012/11</c:v>
                </c:pt>
                <c:pt idx="40">
                  <c:v>2012/12</c:v>
                </c:pt>
                <c:pt idx="41">
                  <c:v>2013/01</c:v>
                </c:pt>
                <c:pt idx="42">
                  <c:v>2013/02</c:v>
                </c:pt>
                <c:pt idx="43">
                  <c:v>2013/03</c:v>
                </c:pt>
                <c:pt idx="44">
                  <c:v>2013/04</c:v>
                </c:pt>
                <c:pt idx="45">
                  <c:v>2013/05</c:v>
                </c:pt>
                <c:pt idx="46">
                  <c:v>2013/06</c:v>
                </c:pt>
                <c:pt idx="47">
                  <c:v>2013/07</c:v>
                </c:pt>
                <c:pt idx="48">
                  <c:v>2013/08</c:v>
                </c:pt>
                <c:pt idx="49">
                  <c:v>2013/09</c:v>
                </c:pt>
                <c:pt idx="50">
                  <c:v>2013/10</c:v>
                </c:pt>
                <c:pt idx="51">
                  <c:v>2013/11</c:v>
                </c:pt>
                <c:pt idx="52">
                  <c:v>2013/12</c:v>
                </c:pt>
                <c:pt idx="53">
                  <c:v>2014/01</c:v>
                </c:pt>
                <c:pt idx="54">
                  <c:v>2014/02</c:v>
                </c:pt>
                <c:pt idx="55">
                  <c:v>2014/03</c:v>
                </c:pt>
                <c:pt idx="56">
                  <c:v>2014/04</c:v>
                </c:pt>
                <c:pt idx="57">
                  <c:v>2014/05</c:v>
                </c:pt>
                <c:pt idx="58">
                  <c:v>2014/06</c:v>
                </c:pt>
                <c:pt idx="59">
                  <c:v>2014/07</c:v>
                </c:pt>
                <c:pt idx="60">
                  <c:v>2014/08</c:v>
                </c:pt>
                <c:pt idx="61">
                  <c:v>2014/09</c:v>
                </c:pt>
                <c:pt idx="62">
                  <c:v>2014/10</c:v>
                </c:pt>
                <c:pt idx="63">
                  <c:v>2014/11</c:v>
                </c:pt>
                <c:pt idx="64">
                  <c:v>2014/12</c:v>
                </c:pt>
                <c:pt idx="65">
                  <c:v>2015/01</c:v>
                </c:pt>
                <c:pt idx="66">
                  <c:v>2015/02</c:v>
                </c:pt>
                <c:pt idx="67">
                  <c:v>2015/03</c:v>
                </c:pt>
                <c:pt idx="68">
                  <c:v>2015/04</c:v>
                </c:pt>
                <c:pt idx="69">
                  <c:v>2015/05</c:v>
                </c:pt>
                <c:pt idx="70">
                  <c:v>2015/06</c:v>
                </c:pt>
                <c:pt idx="71">
                  <c:v>2015/07</c:v>
                </c:pt>
                <c:pt idx="72">
                  <c:v>2015/08</c:v>
                </c:pt>
                <c:pt idx="73">
                  <c:v>2015/09</c:v>
                </c:pt>
                <c:pt idx="74">
                  <c:v>2015/10</c:v>
                </c:pt>
                <c:pt idx="75">
                  <c:v>2015/11</c:v>
                </c:pt>
                <c:pt idx="76">
                  <c:v>2015/12</c:v>
                </c:pt>
                <c:pt idx="77">
                  <c:v>2016/01</c:v>
                </c:pt>
                <c:pt idx="78">
                  <c:v>2016/02</c:v>
                </c:pt>
                <c:pt idx="79">
                  <c:v>2016/03</c:v>
                </c:pt>
                <c:pt idx="80">
                  <c:v>2016/04</c:v>
                </c:pt>
                <c:pt idx="81">
                  <c:v>2016/05</c:v>
                </c:pt>
                <c:pt idx="82">
                  <c:v>2016/06</c:v>
                </c:pt>
                <c:pt idx="83">
                  <c:v>2016/07</c:v>
                </c:pt>
                <c:pt idx="84">
                  <c:v>2016/08</c:v>
                </c:pt>
              </c:strCache>
            </c:strRef>
          </c:cat>
          <c:val>
            <c:numRef>
              <c:f>Sheet1!$R$468:$R$552</c:f>
              <c:numCache>
                <c:formatCode>General</c:formatCode>
                <c:ptCount val="85"/>
                <c:pt idx="24">
                  <c:v>13</c:v>
                </c:pt>
                <c:pt idx="25">
                  <c:v>5</c:v>
                </c:pt>
                <c:pt idx="26">
                  <c:v>5</c:v>
                </c:pt>
                <c:pt idx="27">
                  <c:v>5</c:v>
                </c:pt>
                <c:pt idx="28">
                  <c:v>1</c:v>
                </c:pt>
                <c:pt idx="29">
                  <c:v>4</c:v>
                </c:pt>
                <c:pt idx="30">
                  <c:v>6</c:v>
                </c:pt>
                <c:pt idx="31">
                  <c:v>0</c:v>
                </c:pt>
                <c:pt idx="32">
                  <c:v>6</c:v>
                </c:pt>
                <c:pt idx="33">
                  <c:v>9</c:v>
                </c:pt>
                <c:pt idx="34">
                  <c:v>17</c:v>
                </c:pt>
                <c:pt idx="35">
                  <c:v>7</c:v>
                </c:pt>
                <c:pt idx="36">
                  <c:v>12</c:v>
                </c:pt>
                <c:pt idx="37">
                  <c:v>17</c:v>
                </c:pt>
                <c:pt idx="38">
                  <c:v>19</c:v>
                </c:pt>
                <c:pt idx="39">
                  <c:v>9</c:v>
                </c:pt>
                <c:pt idx="40">
                  <c:v>15</c:v>
                </c:pt>
                <c:pt idx="41">
                  <c:v>17</c:v>
                </c:pt>
                <c:pt idx="42">
                  <c:v>14</c:v>
                </c:pt>
                <c:pt idx="43">
                  <c:v>9</c:v>
                </c:pt>
                <c:pt idx="44">
                  <c:v>10</c:v>
                </c:pt>
                <c:pt idx="45">
                  <c:v>30</c:v>
                </c:pt>
                <c:pt idx="46">
                  <c:v>18</c:v>
                </c:pt>
                <c:pt idx="47">
                  <c:v>10</c:v>
                </c:pt>
                <c:pt idx="48">
                  <c:v>16</c:v>
                </c:pt>
                <c:pt idx="49">
                  <c:v>17</c:v>
                </c:pt>
                <c:pt idx="50">
                  <c:v>16</c:v>
                </c:pt>
                <c:pt idx="51">
                  <c:v>7</c:v>
                </c:pt>
                <c:pt idx="52">
                  <c:v>6</c:v>
                </c:pt>
                <c:pt idx="53">
                  <c:v>10</c:v>
                </c:pt>
                <c:pt idx="54">
                  <c:v>13</c:v>
                </c:pt>
                <c:pt idx="55">
                  <c:v>16</c:v>
                </c:pt>
                <c:pt idx="56">
                  <c:v>2</c:v>
                </c:pt>
                <c:pt idx="57">
                  <c:v>9</c:v>
                </c:pt>
                <c:pt idx="58">
                  <c:v>13</c:v>
                </c:pt>
                <c:pt idx="59">
                  <c:v>9</c:v>
                </c:pt>
                <c:pt idx="60">
                  <c:v>13</c:v>
                </c:pt>
                <c:pt idx="61">
                  <c:v>17</c:v>
                </c:pt>
                <c:pt idx="62">
                  <c:v>13</c:v>
                </c:pt>
                <c:pt idx="63">
                  <c:v>12</c:v>
                </c:pt>
                <c:pt idx="64">
                  <c:v>11</c:v>
                </c:pt>
                <c:pt idx="65">
                  <c:v>18</c:v>
                </c:pt>
                <c:pt idx="66">
                  <c:v>6</c:v>
                </c:pt>
                <c:pt idx="67">
                  <c:v>9</c:v>
                </c:pt>
                <c:pt idx="68">
                  <c:v>24</c:v>
                </c:pt>
                <c:pt idx="69">
                  <c:v>19</c:v>
                </c:pt>
                <c:pt idx="70">
                  <c:v>12</c:v>
                </c:pt>
                <c:pt idx="71">
                  <c:v>15</c:v>
                </c:pt>
                <c:pt idx="72">
                  <c:v>17</c:v>
                </c:pt>
                <c:pt idx="73">
                  <c:v>10</c:v>
                </c:pt>
                <c:pt idx="74">
                  <c:v>24</c:v>
                </c:pt>
                <c:pt idx="75">
                  <c:v>11</c:v>
                </c:pt>
                <c:pt idx="76">
                  <c:v>10</c:v>
                </c:pt>
                <c:pt idx="77">
                  <c:v>17</c:v>
                </c:pt>
                <c:pt idx="78">
                  <c:v>15</c:v>
                </c:pt>
                <c:pt idx="79">
                  <c:v>14</c:v>
                </c:pt>
                <c:pt idx="80">
                  <c:v>14</c:v>
                </c:pt>
                <c:pt idx="81">
                  <c:v>9</c:v>
                </c:pt>
                <c:pt idx="82">
                  <c:v>17</c:v>
                </c:pt>
                <c:pt idx="83">
                  <c:v>4</c:v>
                </c:pt>
                <c:pt idx="84">
                  <c:v>15</c:v>
                </c:pt>
              </c:numCache>
            </c:numRef>
          </c:val>
        </c:ser>
        <c:ser>
          <c:idx val="2"/>
          <c:order val="2"/>
          <c:tx>
            <c:strRef>
              <c:f>Sheet1!$S$467</c:f>
              <c:strCache>
                <c:ptCount val="1"/>
                <c:pt idx="0">
                  <c:v>RfC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Sheet1!$P$468:$P$552</c:f>
              <c:strCache>
                <c:ptCount val="85"/>
                <c:pt idx="0">
                  <c:v>2009/08</c:v>
                </c:pt>
                <c:pt idx="1">
                  <c:v>2009/09</c:v>
                </c:pt>
                <c:pt idx="2">
                  <c:v>2009/10</c:v>
                </c:pt>
                <c:pt idx="3">
                  <c:v>2009/11</c:v>
                </c:pt>
                <c:pt idx="4">
                  <c:v>2009/12</c:v>
                </c:pt>
                <c:pt idx="5">
                  <c:v>2010/01</c:v>
                </c:pt>
                <c:pt idx="6">
                  <c:v>2010/02</c:v>
                </c:pt>
                <c:pt idx="7">
                  <c:v>2010/03</c:v>
                </c:pt>
                <c:pt idx="8">
                  <c:v>2010/04</c:v>
                </c:pt>
                <c:pt idx="9">
                  <c:v>2010/05</c:v>
                </c:pt>
                <c:pt idx="10">
                  <c:v>2010/06</c:v>
                </c:pt>
                <c:pt idx="11">
                  <c:v>2010/07</c:v>
                </c:pt>
                <c:pt idx="12">
                  <c:v>2010/08</c:v>
                </c:pt>
                <c:pt idx="13">
                  <c:v>2010/09</c:v>
                </c:pt>
                <c:pt idx="14">
                  <c:v>2010/10</c:v>
                </c:pt>
                <c:pt idx="15">
                  <c:v>2010/11</c:v>
                </c:pt>
                <c:pt idx="16">
                  <c:v>2010/12</c:v>
                </c:pt>
                <c:pt idx="17">
                  <c:v>2011/01</c:v>
                </c:pt>
                <c:pt idx="18">
                  <c:v>2011/02</c:v>
                </c:pt>
                <c:pt idx="19">
                  <c:v>2011/03</c:v>
                </c:pt>
                <c:pt idx="20">
                  <c:v>2011/04</c:v>
                </c:pt>
                <c:pt idx="21">
                  <c:v>2011/05</c:v>
                </c:pt>
                <c:pt idx="22">
                  <c:v>2011/06</c:v>
                </c:pt>
                <c:pt idx="23">
                  <c:v>2011/07</c:v>
                </c:pt>
                <c:pt idx="24">
                  <c:v>2011/08</c:v>
                </c:pt>
                <c:pt idx="25">
                  <c:v>2011/09</c:v>
                </c:pt>
                <c:pt idx="26">
                  <c:v>2011/10</c:v>
                </c:pt>
                <c:pt idx="27">
                  <c:v>2011/11</c:v>
                </c:pt>
                <c:pt idx="28">
                  <c:v>2011/12</c:v>
                </c:pt>
                <c:pt idx="29">
                  <c:v>2012/01</c:v>
                </c:pt>
                <c:pt idx="30">
                  <c:v>2012/02</c:v>
                </c:pt>
                <c:pt idx="31">
                  <c:v>2012/03</c:v>
                </c:pt>
                <c:pt idx="32">
                  <c:v>2012/04</c:v>
                </c:pt>
                <c:pt idx="33">
                  <c:v>2012/05</c:v>
                </c:pt>
                <c:pt idx="34">
                  <c:v>2012/06</c:v>
                </c:pt>
                <c:pt idx="35">
                  <c:v>2012/07</c:v>
                </c:pt>
                <c:pt idx="36">
                  <c:v>2012/08</c:v>
                </c:pt>
                <c:pt idx="37">
                  <c:v>2012/09</c:v>
                </c:pt>
                <c:pt idx="38">
                  <c:v>2012/10</c:v>
                </c:pt>
                <c:pt idx="39">
                  <c:v>2012/11</c:v>
                </c:pt>
                <c:pt idx="40">
                  <c:v>2012/12</c:v>
                </c:pt>
                <c:pt idx="41">
                  <c:v>2013/01</c:v>
                </c:pt>
                <c:pt idx="42">
                  <c:v>2013/02</c:v>
                </c:pt>
                <c:pt idx="43">
                  <c:v>2013/03</c:v>
                </c:pt>
                <c:pt idx="44">
                  <c:v>2013/04</c:v>
                </c:pt>
                <c:pt idx="45">
                  <c:v>2013/05</c:v>
                </c:pt>
                <c:pt idx="46">
                  <c:v>2013/06</c:v>
                </c:pt>
                <c:pt idx="47">
                  <c:v>2013/07</c:v>
                </c:pt>
                <c:pt idx="48">
                  <c:v>2013/08</c:v>
                </c:pt>
                <c:pt idx="49">
                  <c:v>2013/09</c:v>
                </c:pt>
                <c:pt idx="50">
                  <c:v>2013/10</c:v>
                </c:pt>
                <c:pt idx="51">
                  <c:v>2013/11</c:v>
                </c:pt>
                <c:pt idx="52">
                  <c:v>2013/12</c:v>
                </c:pt>
                <c:pt idx="53">
                  <c:v>2014/01</c:v>
                </c:pt>
                <c:pt idx="54">
                  <c:v>2014/02</c:v>
                </c:pt>
                <c:pt idx="55">
                  <c:v>2014/03</c:v>
                </c:pt>
                <c:pt idx="56">
                  <c:v>2014/04</c:v>
                </c:pt>
                <c:pt idx="57">
                  <c:v>2014/05</c:v>
                </c:pt>
                <c:pt idx="58">
                  <c:v>2014/06</c:v>
                </c:pt>
                <c:pt idx="59">
                  <c:v>2014/07</c:v>
                </c:pt>
                <c:pt idx="60">
                  <c:v>2014/08</c:v>
                </c:pt>
                <c:pt idx="61">
                  <c:v>2014/09</c:v>
                </c:pt>
                <c:pt idx="62">
                  <c:v>2014/10</c:v>
                </c:pt>
                <c:pt idx="63">
                  <c:v>2014/11</c:v>
                </c:pt>
                <c:pt idx="64">
                  <c:v>2014/12</c:v>
                </c:pt>
                <c:pt idx="65">
                  <c:v>2015/01</c:v>
                </c:pt>
                <c:pt idx="66">
                  <c:v>2015/02</c:v>
                </c:pt>
                <c:pt idx="67">
                  <c:v>2015/03</c:v>
                </c:pt>
                <c:pt idx="68">
                  <c:v>2015/04</c:v>
                </c:pt>
                <c:pt idx="69">
                  <c:v>2015/05</c:v>
                </c:pt>
                <c:pt idx="70">
                  <c:v>2015/06</c:v>
                </c:pt>
                <c:pt idx="71">
                  <c:v>2015/07</c:v>
                </c:pt>
                <c:pt idx="72">
                  <c:v>2015/08</c:v>
                </c:pt>
                <c:pt idx="73">
                  <c:v>2015/09</c:v>
                </c:pt>
                <c:pt idx="74">
                  <c:v>2015/10</c:v>
                </c:pt>
                <c:pt idx="75">
                  <c:v>2015/11</c:v>
                </c:pt>
                <c:pt idx="76">
                  <c:v>2015/12</c:v>
                </c:pt>
                <c:pt idx="77">
                  <c:v>2016/01</c:v>
                </c:pt>
                <c:pt idx="78">
                  <c:v>2016/02</c:v>
                </c:pt>
                <c:pt idx="79">
                  <c:v>2016/03</c:v>
                </c:pt>
                <c:pt idx="80">
                  <c:v>2016/04</c:v>
                </c:pt>
                <c:pt idx="81">
                  <c:v>2016/05</c:v>
                </c:pt>
                <c:pt idx="82">
                  <c:v>2016/06</c:v>
                </c:pt>
                <c:pt idx="83">
                  <c:v>2016/07</c:v>
                </c:pt>
                <c:pt idx="84">
                  <c:v>2016/08</c:v>
                </c:pt>
              </c:strCache>
            </c:strRef>
          </c:cat>
          <c:val>
            <c:numRef>
              <c:f>Sheet1!$S$468:$S$552</c:f>
              <c:numCache>
                <c:formatCode>General</c:formatCode>
                <c:ptCount val="85"/>
                <c:pt idx="0">
                  <c:v>59</c:v>
                </c:pt>
                <c:pt idx="1">
                  <c:v>42</c:v>
                </c:pt>
                <c:pt idx="2">
                  <c:v>47</c:v>
                </c:pt>
                <c:pt idx="3">
                  <c:v>30</c:v>
                </c:pt>
                <c:pt idx="4">
                  <c:v>29</c:v>
                </c:pt>
                <c:pt idx="5">
                  <c:v>30</c:v>
                </c:pt>
                <c:pt idx="6">
                  <c:v>52</c:v>
                </c:pt>
                <c:pt idx="7">
                  <c:v>58</c:v>
                </c:pt>
                <c:pt idx="8">
                  <c:v>48</c:v>
                </c:pt>
                <c:pt idx="9">
                  <c:v>30</c:v>
                </c:pt>
                <c:pt idx="10">
                  <c:v>29</c:v>
                </c:pt>
                <c:pt idx="11">
                  <c:v>30</c:v>
                </c:pt>
                <c:pt idx="12">
                  <c:v>19</c:v>
                </c:pt>
                <c:pt idx="13">
                  <c:v>26</c:v>
                </c:pt>
                <c:pt idx="14">
                  <c:v>18</c:v>
                </c:pt>
                <c:pt idx="15">
                  <c:v>24</c:v>
                </c:pt>
                <c:pt idx="16">
                  <c:v>15</c:v>
                </c:pt>
                <c:pt idx="17">
                  <c:v>25</c:v>
                </c:pt>
                <c:pt idx="18">
                  <c:v>28</c:v>
                </c:pt>
                <c:pt idx="19">
                  <c:v>32</c:v>
                </c:pt>
                <c:pt idx="20">
                  <c:v>29</c:v>
                </c:pt>
                <c:pt idx="21">
                  <c:v>25</c:v>
                </c:pt>
                <c:pt idx="22">
                  <c:v>28</c:v>
                </c:pt>
                <c:pt idx="23">
                  <c:v>30</c:v>
                </c:pt>
                <c:pt idx="24">
                  <c:v>23</c:v>
                </c:pt>
                <c:pt idx="25">
                  <c:v>22</c:v>
                </c:pt>
                <c:pt idx="26">
                  <c:v>16</c:v>
                </c:pt>
                <c:pt idx="27">
                  <c:v>28</c:v>
                </c:pt>
                <c:pt idx="28">
                  <c:v>14</c:v>
                </c:pt>
                <c:pt idx="29">
                  <c:v>12</c:v>
                </c:pt>
                <c:pt idx="30">
                  <c:v>17</c:v>
                </c:pt>
                <c:pt idx="31">
                  <c:v>15</c:v>
                </c:pt>
                <c:pt idx="32">
                  <c:v>26</c:v>
                </c:pt>
                <c:pt idx="33">
                  <c:v>34</c:v>
                </c:pt>
                <c:pt idx="34">
                  <c:v>23</c:v>
                </c:pt>
                <c:pt idx="35">
                  <c:v>41</c:v>
                </c:pt>
                <c:pt idx="36">
                  <c:v>23</c:v>
                </c:pt>
                <c:pt idx="37">
                  <c:v>32</c:v>
                </c:pt>
                <c:pt idx="38">
                  <c:v>27</c:v>
                </c:pt>
                <c:pt idx="39">
                  <c:v>12</c:v>
                </c:pt>
                <c:pt idx="40">
                  <c:v>10</c:v>
                </c:pt>
                <c:pt idx="41">
                  <c:v>18</c:v>
                </c:pt>
                <c:pt idx="42">
                  <c:v>18</c:v>
                </c:pt>
                <c:pt idx="43">
                  <c:v>23</c:v>
                </c:pt>
                <c:pt idx="44">
                  <c:v>22</c:v>
                </c:pt>
                <c:pt idx="45">
                  <c:v>20</c:v>
                </c:pt>
                <c:pt idx="46">
                  <c:v>24</c:v>
                </c:pt>
                <c:pt idx="47">
                  <c:v>45</c:v>
                </c:pt>
                <c:pt idx="48">
                  <c:v>22</c:v>
                </c:pt>
                <c:pt idx="49">
                  <c:v>19</c:v>
                </c:pt>
                <c:pt idx="50">
                  <c:v>27</c:v>
                </c:pt>
                <c:pt idx="51">
                  <c:v>29</c:v>
                </c:pt>
                <c:pt idx="52">
                  <c:v>12</c:v>
                </c:pt>
                <c:pt idx="53">
                  <c:v>25</c:v>
                </c:pt>
                <c:pt idx="54">
                  <c:v>21</c:v>
                </c:pt>
                <c:pt idx="55">
                  <c:v>24</c:v>
                </c:pt>
                <c:pt idx="56">
                  <c:v>27</c:v>
                </c:pt>
                <c:pt idx="57">
                  <c:v>24</c:v>
                </c:pt>
                <c:pt idx="58">
                  <c:v>20</c:v>
                </c:pt>
                <c:pt idx="59">
                  <c:v>35</c:v>
                </c:pt>
                <c:pt idx="60">
                  <c:v>18</c:v>
                </c:pt>
                <c:pt idx="61">
                  <c:v>39</c:v>
                </c:pt>
                <c:pt idx="62">
                  <c:v>30</c:v>
                </c:pt>
                <c:pt idx="63">
                  <c:v>22</c:v>
                </c:pt>
                <c:pt idx="64">
                  <c:v>10</c:v>
                </c:pt>
                <c:pt idx="65">
                  <c:v>25</c:v>
                </c:pt>
                <c:pt idx="66">
                  <c:v>22</c:v>
                </c:pt>
                <c:pt idx="67">
                  <c:v>17</c:v>
                </c:pt>
                <c:pt idx="68">
                  <c:v>18</c:v>
                </c:pt>
                <c:pt idx="69">
                  <c:v>18</c:v>
                </c:pt>
                <c:pt idx="70">
                  <c:v>21</c:v>
                </c:pt>
                <c:pt idx="71">
                  <c:v>38</c:v>
                </c:pt>
                <c:pt idx="72">
                  <c:v>57</c:v>
                </c:pt>
                <c:pt idx="73">
                  <c:v>37</c:v>
                </c:pt>
                <c:pt idx="74">
                  <c:v>66</c:v>
                </c:pt>
                <c:pt idx="75">
                  <c:v>19</c:v>
                </c:pt>
                <c:pt idx="76">
                  <c:v>17</c:v>
                </c:pt>
                <c:pt idx="77">
                  <c:v>24</c:v>
                </c:pt>
                <c:pt idx="78">
                  <c:v>68</c:v>
                </c:pt>
                <c:pt idx="79">
                  <c:v>69</c:v>
                </c:pt>
                <c:pt idx="80">
                  <c:v>60</c:v>
                </c:pt>
                <c:pt idx="81">
                  <c:v>58</c:v>
                </c:pt>
                <c:pt idx="82">
                  <c:v>82</c:v>
                </c:pt>
                <c:pt idx="83">
                  <c:v>63</c:v>
                </c:pt>
                <c:pt idx="84">
                  <c:v>73</c:v>
                </c:pt>
              </c:numCache>
            </c:numRef>
          </c:val>
        </c:ser>
        <c:ser>
          <c:idx val="3"/>
          <c:order val="3"/>
          <c:tx>
            <c:strRef>
              <c:f>Sheet1!$T$467</c:f>
              <c:strCache>
                <c:ptCount val="1"/>
                <c:pt idx="0">
                  <c:v>Service Request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Sheet1!$P$468:$P$552</c:f>
              <c:strCache>
                <c:ptCount val="85"/>
                <c:pt idx="0">
                  <c:v>2009/08</c:v>
                </c:pt>
                <c:pt idx="1">
                  <c:v>2009/09</c:v>
                </c:pt>
                <c:pt idx="2">
                  <c:v>2009/10</c:v>
                </c:pt>
                <c:pt idx="3">
                  <c:v>2009/11</c:v>
                </c:pt>
                <c:pt idx="4">
                  <c:v>2009/12</c:v>
                </c:pt>
                <c:pt idx="5">
                  <c:v>2010/01</c:v>
                </c:pt>
                <c:pt idx="6">
                  <c:v>2010/02</c:v>
                </c:pt>
                <c:pt idx="7">
                  <c:v>2010/03</c:v>
                </c:pt>
                <c:pt idx="8">
                  <c:v>2010/04</c:v>
                </c:pt>
                <c:pt idx="9">
                  <c:v>2010/05</c:v>
                </c:pt>
                <c:pt idx="10">
                  <c:v>2010/06</c:v>
                </c:pt>
                <c:pt idx="11">
                  <c:v>2010/07</c:v>
                </c:pt>
                <c:pt idx="12">
                  <c:v>2010/08</c:v>
                </c:pt>
                <c:pt idx="13">
                  <c:v>2010/09</c:v>
                </c:pt>
                <c:pt idx="14">
                  <c:v>2010/10</c:v>
                </c:pt>
                <c:pt idx="15">
                  <c:v>2010/11</c:v>
                </c:pt>
                <c:pt idx="16">
                  <c:v>2010/12</c:v>
                </c:pt>
                <c:pt idx="17">
                  <c:v>2011/01</c:v>
                </c:pt>
                <c:pt idx="18">
                  <c:v>2011/02</c:v>
                </c:pt>
                <c:pt idx="19">
                  <c:v>2011/03</c:v>
                </c:pt>
                <c:pt idx="20">
                  <c:v>2011/04</c:v>
                </c:pt>
                <c:pt idx="21">
                  <c:v>2011/05</c:v>
                </c:pt>
                <c:pt idx="22">
                  <c:v>2011/06</c:v>
                </c:pt>
                <c:pt idx="23">
                  <c:v>2011/07</c:v>
                </c:pt>
                <c:pt idx="24">
                  <c:v>2011/08</c:v>
                </c:pt>
                <c:pt idx="25">
                  <c:v>2011/09</c:v>
                </c:pt>
                <c:pt idx="26">
                  <c:v>2011/10</c:v>
                </c:pt>
                <c:pt idx="27">
                  <c:v>2011/11</c:v>
                </c:pt>
                <c:pt idx="28">
                  <c:v>2011/12</c:v>
                </c:pt>
                <c:pt idx="29">
                  <c:v>2012/01</c:v>
                </c:pt>
                <c:pt idx="30">
                  <c:v>2012/02</c:v>
                </c:pt>
                <c:pt idx="31">
                  <c:v>2012/03</c:v>
                </c:pt>
                <c:pt idx="32">
                  <c:v>2012/04</c:v>
                </c:pt>
                <c:pt idx="33">
                  <c:v>2012/05</c:v>
                </c:pt>
                <c:pt idx="34">
                  <c:v>2012/06</c:v>
                </c:pt>
                <c:pt idx="35">
                  <c:v>2012/07</c:v>
                </c:pt>
                <c:pt idx="36">
                  <c:v>2012/08</c:v>
                </c:pt>
                <c:pt idx="37">
                  <c:v>2012/09</c:v>
                </c:pt>
                <c:pt idx="38">
                  <c:v>2012/10</c:v>
                </c:pt>
                <c:pt idx="39">
                  <c:v>2012/11</c:v>
                </c:pt>
                <c:pt idx="40">
                  <c:v>2012/12</c:v>
                </c:pt>
                <c:pt idx="41">
                  <c:v>2013/01</c:v>
                </c:pt>
                <c:pt idx="42">
                  <c:v>2013/02</c:v>
                </c:pt>
                <c:pt idx="43">
                  <c:v>2013/03</c:v>
                </c:pt>
                <c:pt idx="44">
                  <c:v>2013/04</c:v>
                </c:pt>
                <c:pt idx="45">
                  <c:v>2013/05</c:v>
                </c:pt>
                <c:pt idx="46">
                  <c:v>2013/06</c:v>
                </c:pt>
                <c:pt idx="47">
                  <c:v>2013/07</c:v>
                </c:pt>
                <c:pt idx="48">
                  <c:v>2013/08</c:v>
                </c:pt>
                <c:pt idx="49">
                  <c:v>2013/09</c:v>
                </c:pt>
                <c:pt idx="50">
                  <c:v>2013/10</c:v>
                </c:pt>
                <c:pt idx="51">
                  <c:v>2013/11</c:v>
                </c:pt>
                <c:pt idx="52">
                  <c:v>2013/12</c:v>
                </c:pt>
                <c:pt idx="53">
                  <c:v>2014/01</c:v>
                </c:pt>
                <c:pt idx="54">
                  <c:v>2014/02</c:v>
                </c:pt>
                <c:pt idx="55">
                  <c:v>2014/03</c:v>
                </c:pt>
                <c:pt idx="56">
                  <c:v>2014/04</c:v>
                </c:pt>
                <c:pt idx="57">
                  <c:v>2014/05</c:v>
                </c:pt>
                <c:pt idx="58">
                  <c:v>2014/06</c:v>
                </c:pt>
                <c:pt idx="59">
                  <c:v>2014/07</c:v>
                </c:pt>
                <c:pt idx="60">
                  <c:v>2014/08</c:v>
                </c:pt>
                <c:pt idx="61">
                  <c:v>2014/09</c:v>
                </c:pt>
                <c:pt idx="62">
                  <c:v>2014/10</c:v>
                </c:pt>
                <c:pt idx="63">
                  <c:v>2014/11</c:v>
                </c:pt>
                <c:pt idx="64">
                  <c:v>2014/12</c:v>
                </c:pt>
                <c:pt idx="65">
                  <c:v>2015/01</c:v>
                </c:pt>
                <c:pt idx="66">
                  <c:v>2015/02</c:v>
                </c:pt>
                <c:pt idx="67">
                  <c:v>2015/03</c:v>
                </c:pt>
                <c:pt idx="68">
                  <c:v>2015/04</c:v>
                </c:pt>
                <c:pt idx="69">
                  <c:v>2015/05</c:v>
                </c:pt>
                <c:pt idx="70">
                  <c:v>2015/06</c:v>
                </c:pt>
                <c:pt idx="71">
                  <c:v>2015/07</c:v>
                </c:pt>
                <c:pt idx="72">
                  <c:v>2015/08</c:v>
                </c:pt>
                <c:pt idx="73">
                  <c:v>2015/09</c:v>
                </c:pt>
                <c:pt idx="74">
                  <c:v>2015/10</c:v>
                </c:pt>
                <c:pt idx="75">
                  <c:v>2015/11</c:v>
                </c:pt>
                <c:pt idx="76">
                  <c:v>2015/12</c:v>
                </c:pt>
                <c:pt idx="77">
                  <c:v>2016/01</c:v>
                </c:pt>
                <c:pt idx="78">
                  <c:v>2016/02</c:v>
                </c:pt>
                <c:pt idx="79">
                  <c:v>2016/03</c:v>
                </c:pt>
                <c:pt idx="80">
                  <c:v>2016/04</c:v>
                </c:pt>
                <c:pt idx="81">
                  <c:v>2016/05</c:v>
                </c:pt>
                <c:pt idx="82">
                  <c:v>2016/06</c:v>
                </c:pt>
                <c:pt idx="83">
                  <c:v>2016/07</c:v>
                </c:pt>
                <c:pt idx="84">
                  <c:v>2016/08</c:v>
                </c:pt>
              </c:strCache>
            </c:strRef>
          </c:cat>
          <c:val>
            <c:numRef>
              <c:f>Sheet1!$T$468:$T$552</c:f>
              <c:numCache>
                <c:formatCode>General</c:formatCode>
                <c:ptCount val="85"/>
                <c:pt idx="0">
                  <c:v>149</c:v>
                </c:pt>
                <c:pt idx="1">
                  <c:v>194</c:v>
                </c:pt>
                <c:pt idx="2">
                  <c:v>150</c:v>
                </c:pt>
                <c:pt idx="3">
                  <c:v>136</c:v>
                </c:pt>
                <c:pt idx="4">
                  <c:v>91</c:v>
                </c:pt>
                <c:pt idx="5">
                  <c:v>206</c:v>
                </c:pt>
                <c:pt idx="6">
                  <c:v>273</c:v>
                </c:pt>
                <c:pt idx="7">
                  <c:v>333</c:v>
                </c:pt>
                <c:pt idx="8">
                  <c:v>248</c:v>
                </c:pt>
                <c:pt idx="9">
                  <c:v>263</c:v>
                </c:pt>
                <c:pt idx="10">
                  <c:v>279</c:v>
                </c:pt>
                <c:pt idx="11">
                  <c:v>394</c:v>
                </c:pt>
                <c:pt idx="12">
                  <c:v>303</c:v>
                </c:pt>
                <c:pt idx="13">
                  <c:v>198</c:v>
                </c:pt>
                <c:pt idx="14">
                  <c:v>168</c:v>
                </c:pt>
                <c:pt idx="15">
                  <c:v>190</c:v>
                </c:pt>
                <c:pt idx="16">
                  <c:v>77</c:v>
                </c:pt>
                <c:pt idx="17">
                  <c:v>150</c:v>
                </c:pt>
                <c:pt idx="18">
                  <c:v>127</c:v>
                </c:pt>
                <c:pt idx="19">
                  <c:v>200</c:v>
                </c:pt>
                <c:pt idx="20">
                  <c:v>153</c:v>
                </c:pt>
                <c:pt idx="21">
                  <c:v>150</c:v>
                </c:pt>
                <c:pt idx="22">
                  <c:v>142</c:v>
                </c:pt>
                <c:pt idx="23">
                  <c:v>140</c:v>
                </c:pt>
                <c:pt idx="24">
                  <c:v>219</c:v>
                </c:pt>
                <c:pt idx="25">
                  <c:v>259</c:v>
                </c:pt>
                <c:pt idx="26">
                  <c:v>258</c:v>
                </c:pt>
                <c:pt idx="27">
                  <c:v>212</c:v>
                </c:pt>
                <c:pt idx="28">
                  <c:v>118</c:v>
                </c:pt>
                <c:pt idx="29">
                  <c:v>199</c:v>
                </c:pt>
                <c:pt idx="30">
                  <c:v>211</c:v>
                </c:pt>
                <c:pt idx="31">
                  <c:v>221</c:v>
                </c:pt>
                <c:pt idx="32">
                  <c:v>208</c:v>
                </c:pt>
                <c:pt idx="33">
                  <c:v>188</c:v>
                </c:pt>
                <c:pt idx="34">
                  <c:v>115</c:v>
                </c:pt>
                <c:pt idx="35">
                  <c:v>111</c:v>
                </c:pt>
                <c:pt idx="36">
                  <c:v>104</c:v>
                </c:pt>
                <c:pt idx="37">
                  <c:v>99</c:v>
                </c:pt>
                <c:pt idx="38">
                  <c:v>118</c:v>
                </c:pt>
                <c:pt idx="39">
                  <c:v>104</c:v>
                </c:pt>
                <c:pt idx="40">
                  <c:v>47</c:v>
                </c:pt>
                <c:pt idx="41">
                  <c:v>78</c:v>
                </c:pt>
                <c:pt idx="42">
                  <c:v>71</c:v>
                </c:pt>
                <c:pt idx="43">
                  <c:v>93</c:v>
                </c:pt>
                <c:pt idx="44">
                  <c:v>107</c:v>
                </c:pt>
                <c:pt idx="45">
                  <c:v>100</c:v>
                </c:pt>
                <c:pt idx="46">
                  <c:v>96</c:v>
                </c:pt>
                <c:pt idx="47">
                  <c:v>180</c:v>
                </c:pt>
                <c:pt idx="48">
                  <c:v>140</c:v>
                </c:pt>
                <c:pt idx="49">
                  <c:v>142</c:v>
                </c:pt>
                <c:pt idx="50">
                  <c:v>113</c:v>
                </c:pt>
                <c:pt idx="51">
                  <c:v>101</c:v>
                </c:pt>
                <c:pt idx="52">
                  <c:v>66</c:v>
                </c:pt>
                <c:pt idx="53">
                  <c:v>116</c:v>
                </c:pt>
                <c:pt idx="54">
                  <c:v>100</c:v>
                </c:pt>
                <c:pt idx="55">
                  <c:v>118</c:v>
                </c:pt>
                <c:pt idx="56">
                  <c:v>128</c:v>
                </c:pt>
                <c:pt idx="57">
                  <c:v>103</c:v>
                </c:pt>
                <c:pt idx="58">
                  <c:v>78</c:v>
                </c:pt>
                <c:pt idx="59">
                  <c:v>96</c:v>
                </c:pt>
                <c:pt idx="60">
                  <c:v>93</c:v>
                </c:pt>
                <c:pt idx="61">
                  <c:v>111</c:v>
                </c:pt>
                <c:pt idx="62">
                  <c:v>144</c:v>
                </c:pt>
                <c:pt idx="63">
                  <c:v>85</c:v>
                </c:pt>
                <c:pt idx="64">
                  <c:v>87</c:v>
                </c:pt>
                <c:pt idx="65">
                  <c:v>106</c:v>
                </c:pt>
                <c:pt idx="66">
                  <c:v>108</c:v>
                </c:pt>
                <c:pt idx="67">
                  <c:v>136</c:v>
                </c:pt>
                <c:pt idx="68">
                  <c:v>125</c:v>
                </c:pt>
                <c:pt idx="69">
                  <c:v>92</c:v>
                </c:pt>
                <c:pt idx="70">
                  <c:v>107</c:v>
                </c:pt>
                <c:pt idx="71">
                  <c:v>158</c:v>
                </c:pt>
                <c:pt idx="72">
                  <c:v>175</c:v>
                </c:pt>
                <c:pt idx="73">
                  <c:v>144</c:v>
                </c:pt>
                <c:pt idx="74">
                  <c:v>155</c:v>
                </c:pt>
                <c:pt idx="75">
                  <c:v>149</c:v>
                </c:pt>
                <c:pt idx="76">
                  <c:v>93</c:v>
                </c:pt>
                <c:pt idx="77">
                  <c:v>126</c:v>
                </c:pt>
                <c:pt idx="78">
                  <c:v>143</c:v>
                </c:pt>
                <c:pt idx="79">
                  <c:v>151</c:v>
                </c:pt>
                <c:pt idx="80">
                  <c:v>133</c:v>
                </c:pt>
                <c:pt idx="81">
                  <c:v>152</c:v>
                </c:pt>
                <c:pt idx="82">
                  <c:v>179</c:v>
                </c:pt>
                <c:pt idx="83">
                  <c:v>158</c:v>
                </c:pt>
                <c:pt idx="84">
                  <c:v>152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2277824"/>
        <c:axId val="402275472"/>
      </c:areaChart>
      <c:catAx>
        <c:axId val="402277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2275472"/>
        <c:crosses val="autoZero"/>
        <c:auto val="1"/>
        <c:lblAlgn val="ctr"/>
        <c:lblOffset val="100"/>
        <c:noMultiLvlLbl val="0"/>
      </c:catAx>
      <c:valAx>
        <c:axId val="402275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227782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Sheet1!$G$587</c:f>
              <c:strCache>
                <c:ptCount val="1"/>
                <c:pt idx="0">
                  <c:v>Green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Sheet1!$F$588:$F$589</c:f>
              <c:strCache>
                <c:ptCount val="2"/>
                <c:pt idx="0">
                  <c:v>Monthly</c:v>
                </c:pt>
                <c:pt idx="1">
                  <c:v>Quarterly</c:v>
                </c:pt>
              </c:strCache>
            </c:strRef>
          </c:cat>
          <c:val>
            <c:numRef>
              <c:f>Sheet1!$G$588:$G$589</c:f>
              <c:numCache>
                <c:formatCode>General</c:formatCode>
                <c:ptCount val="2"/>
                <c:pt idx="0">
                  <c:v>117</c:v>
                </c:pt>
                <c:pt idx="1">
                  <c:v>89</c:v>
                </c:pt>
              </c:numCache>
            </c:numRef>
          </c:val>
        </c:ser>
        <c:ser>
          <c:idx val="1"/>
          <c:order val="1"/>
          <c:tx>
            <c:strRef>
              <c:f>Sheet1!$H$587</c:f>
              <c:strCache>
                <c:ptCount val="1"/>
                <c:pt idx="0">
                  <c:v>Amber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Sheet1!$F$588:$F$589</c:f>
              <c:strCache>
                <c:ptCount val="2"/>
                <c:pt idx="0">
                  <c:v>Monthly</c:v>
                </c:pt>
                <c:pt idx="1">
                  <c:v>Quarterly</c:v>
                </c:pt>
              </c:strCache>
            </c:strRef>
          </c:cat>
          <c:val>
            <c:numRef>
              <c:f>Sheet1!$H$588:$H$589</c:f>
              <c:numCache>
                <c:formatCode>General</c:formatCode>
                <c:ptCount val="2"/>
                <c:pt idx="0">
                  <c:v>11</c:v>
                </c:pt>
                <c:pt idx="1">
                  <c:v>9</c:v>
                </c:pt>
              </c:numCache>
            </c:numRef>
          </c:val>
        </c:ser>
        <c:ser>
          <c:idx val="2"/>
          <c:order val="2"/>
          <c:tx>
            <c:strRef>
              <c:f>Sheet1!$I$587</c:f>
              <c:strCache>
                <c:ptCount val="1"/>
                <c:pt idx="0">
                  <c:v>Red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Sheet1!$F$588:$F$589</c:f>
              <c:strCache>
                <c:ptCount val="2"/>
                <c:pt idx="0">
                  <c:v>Monthly</c:v>
                </c:pt>
                <c:pt idx="1">
                  <c:v>Quarterly</c:v>
                </c:pt>
              </c:strCache>
            </c:strRef>
          </c:cat>
          <c:val>
            <c:numRef>
              <c:f>Sheet1!$I$588:$I$589</c:f>
              <c:numCache>
                <c:formatCode>General</c:formatCode>
                <c:ptCount val="2"/>
                <c:pt idx="0">
                  <c:v>4</c:v>
                </c:pt>
                <c:pt idx="1">
                  <c:v>4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443474888"/>
        <c:axId val="443476848"/>
      </c:barChart>
      <c:catAx>
        <c:axId val="443474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3476848"/>
        <c:crosses val="autoZero"/>
        <c:auto val="1"/>
        <c:lblAlgn val="ctr"/>
        <c:lblOffset val="100"/>
        <c:noMultiLvlLbl val="0"/>
      </c:catAx>
      <c:valAx>
        <c:axId val="443476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3474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LARNACH Heather</cp:lastModifiedBy>
  <cp:revision>9</cp:revision>
  <dcterms:created xsi:type="dcterms:W3CDTF">2012-08-07T16:44:00Z</dcterms:created>
  <dcterms:modified xsi:type="dcterms:W3CDTF">2016-10-20T16:41:00Z</dcterms:modified>
</cp:coreProperties>
</file>