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11058"/>
      </w:tblGrid>
      <w:tr w:rsidR="00143F31" w14:paraId="4575FDF3" w14:textId="77777777" w:rsidTr="615F93FE">
        <w:trPr>
          <w:trHeight w:val="1531"/>
        </w:trPr>
        <w:tc>
          <w:tcPr>
            <w:tcW w:w="11058" w:type="dxa"/>
            <w:shd w:val="clear" w:color="auto" w:fill="BFBFBF" w:themeFill="background1" w:themeFillShade="BF"/>
          </w:tcPr>
          <w:p w14:paraId="1E79E5EA" w14:textId="77777777" w:rsidR="00143F31" w:rsidRDefault="00905424">
            <w:r>
              <w:rPr>
                <w:noProof/>
                <w:color w:val="2B579A"/>
                <w:shd w:val="clear" w:color="auto" w:fill="E6E6E6"/>
                <w:lang w:eastAsia="en-GB"/>
              </w:rPr>
              <mc:AlternateContent>
                <mc:Choice Requires="wps">
                  <w:drawing>
                    <wp:anchor distT="45720" distB="45720" distL="114300" distR="114300" simplePos="0" relativeHeight="251658240" behindDoc="0" locked="0" layoutInCell="1" allowOverlap="1" wp14:anchorId="08961496" wp14:editId="00A068FB">
                      <wp:simplePos x="0" y="0"/>
                      <wp:positionH relativeFrom="column">
                        <wp:posOffset>1013161</wp:posOffset>
                      </wp:positionH>
                      <wp:positionV relativeFrom="paragraph">
                        <wp:posOffset>82910</wp:posOffset>
                      </wp:positionV>
                      <wp:extent cx="4561205" cy="669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669290"/>
                              </a:xfrm>
                              <a:prstGeom prst="rect">
                                <a:avLst/>
                              </a:prstGeom>
                              <a:solidFill>
                                <a:schemeClr val="bg1">
                                  <a:lumMod val="75000"/>
                                </a:schemeClr>
                              </a:solidFill>
                              <a:ln w="9525">
                                <a:noFill/>
                                <a:miter lim="800000"/>
                                <a:headEnd/>
                                <a:tailEnd/>
                              </a:ln>
                            </wps:spPr>
                            <wps:txbx>
                              <w:txbxContent>
                                <w:p w14:paraId="736828ED" w14:textId="77777777" w:rsidR="009D1603" w:rsidRDefault="009D1603" w:rsidP="000222C1">
                                  <w:pPr>
                                    <w:spacing w:after="0"/>
                                    <w:jc w:val="center"/>
                                    <w:rPr>
                                      <w:b/>
                                      <w:sz w:val="36"/>
                                      <w:szCs w:val="36"/>
                                    </w:rPr>
                                  </w:pPr>
                                  <w:r w:rsidRPr="0003141E">
                                    <w:rPr>
                                      <w:b/>
                                      <w:sz w:val="36"/>
                                      <w:szCs w:val="36"/>
                                    </w:rPr>
                                    <w:t xml:space="preserve">University of Edinburgh </w:t>
                                  </w:r>
                                </w:p>
                                <w:p w14:paraId="7DF704A7" w14:textId="77777777" w:rsidR="009D1603" w:rsidRPr="0003141E" w:rsidRDefault="009D1603" w:rsidP="000222C1">
                                  <w:pPr>
                                    <w:spacing w:after="0"/>
                                    <w:jc w:val="center"/>
                                    <w:rPr>
                                      <w:b/>
                                      <w:sz w:val="36"/>
                                      <w:szCs w:val="36"/>
                                    </w:rPr>
                                  </w:pPr>
                                  <w:r>
                                    <w:rPr>
                                      <w:b/>
                                      <w:sz w:val="36"/>
                                      <w:szCs w:val="36"/>
                                    </w:rPr>
                                    <w:t xml:space="preserve">Procurement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B06828F">
                      <v:stroke joinstyle="miter"/>
                      <v:path gradientshapeok="t" o:connecttype="rect"/>
                    </v:shapetype>
                    <v:shape id="Text Box 2" style="position:absolute;margin-left:79.8pt;margin-top:6.55pt;width:359.15pt;height:5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">
                      <v:textbox>
                        <w:txbxContent>
                          <w:p w:rsidR="009D1603" w:rsidP="000222C1" w:rsidRDefault="009D1603">
                            <w:pPr>
                              <w:spacing w:after="0"/>
                              <w:jc w:val="center"/>
                              <w:rPr>
                                <w:b/>
                                <w:sz w:val="36"/>
                                <w:szCs w:val="36"/>
                              </w:rPr>
                            </w:pPr>
                            <w:r w:rsidRPr="0003141E">
                              <w:rPr>
                                <w:b/>
                                <w:sz w:val="36"/>
                                <w:szCs w:val="36"/>
                              </w:rPr>
                              <w:t xml:space="preserve">University of Edinburgh </w:t>
                            </w:r>
                          </w:p>
                          <w:p w:rsidRPr="0003141E" w:rsidR="009D1603" w:rsidP="000222C1" w:rsidRDefault="009D1603">
                            <w:pPr>
                              <w:spacing w:after="0"/>
                              <w:jc w:val="center"/>
                              <w:rPr>
                                <w:b/>
                                <w:sz w:val="36"/>
                                <w:szCs w:val="36"/>
                              </w:rPr>
                            </w:pPr>
                            <w:r>
                              <w:rPr>
                                <w:b/>
                                <w:sz w:val="36"/>
                                <w:szCs w:val="36"/>
                              </w:rPr>
                              <w:t xml:space="preserve">Procurement Policy </w:t>
                            </w:r>
                          </w:p>
                        </w:txbxContent>
                      </v:textbox>
                      <w10:wrap type="square"/>
                    </v:shape>
                  </w:pict>
                </mc:Fallback>
              </mc:AlternateContent>
            </w:r>
            <w:r>
              <w:rPr>
                <w:rFonts w:cs="Arial"/>
                <w:noProof/>
                <w:color w:val="2B579A"/>
                <w:shd w:val="clear" w:color="auto" w:fill="E6E6E6"/>
                <w:lang w:eastAsia="en-GB"/>
              </w:rPr>
              <w:drawing>
                <wp:anchor distT="0" distB="0" distL="114300" distR="114300" simplePos="0" relativeHeight="251658241" behindDoc="0" locked="0" layoutInCell="1" allowOverlap="1" wp14:anchorId="24E81849" wp14:editId="76F87DB6">
                  <wp:simplePos x="0" y="0"/>
                  <wp:positionH relativeFrom="column">
                    <wp:posOffset>-63795</wp:posOffset>
                  </wp:positionH>
                  <wp:positionV relativeFrom="paragraph">
                    <wp:posOffset>-11741</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143F31" w:rsidRPr="009263D3" w14:paraId="364794E1" w14:textId="77777777" w:rsidTr="615F93FE">
        <w:trPr>
          <w:trHeight w:val="567"/>
        </w:trPr>
        <w:tc>
          <w:tcPr>
            <w:tcW w:w="11058" w:type="dxa"/>
            <w:shd w:val="clear" w:color="auto" w:fill="F2F2F2" w:themeFill="background1" w:themeFillShade="F2"/>
            <w:vAlign w:val="center"/>
          </w:tcPr>
          <w:p w14:paraId="5A9C391B" w14:textId="77777777" w:rsidR="00143F31" w:rsidRPr="009263D3" w:rsidRDefault="00143F31" w:rsidP="00143F31">
            <w:pPr>
              <w:rPr>
                <w:rFonts w:cstheme="minorHAnsi"/>
                <w:b/>
                <w:noProof/>
                <w:lang w:eastAsia="en-GB"/>
              </w:rPr>
            </w:pPr>
            <w:r w:rsidRPr="009263D3">
              <w:rPr>
                <w:rFonts w:cstheme="minorHAnsi"/>
                <w:b/>
                <w:noProof/>
                <w:lang w:eastAsia="en-GB"/>
              </w:rPr>
              <w:t>Purpose</w:t>
            </w:r>
          </w:p>
        </w:tc>
      </w:tr>
      <w:tr w:rsidR="00143F31" w:rsidRPr="009263D3" w14:paraId="3BD4F3D1" w14:textId="77777777" w:rsidTr="615F93FE">
        <w:trPr>
          <w:trHeight w:val="567"/>
        </w:trPr>
        <w:tc>
          <w:tcPr>
            <w:tcW w:w="11058" w:type="dxa"/>
          </w:tcPr>
          <w:p w14:paraId="73274DEF" w14:textId="77777777" w:rsidR="00F92F66" w:rsidRDefault="00F92F66" w:rsidP="00F92F66">
            <w:pPr>
              <w:rPr>
                <w:rFonts w:cstheme="minorHAnsi"/>
              </w:rPr>
            </w:pPr>
            <w:r w:rsidRPr="00F92F66">
              <w:rPr>
                <w:rFonts w:cstheme="minorHAnsi"/>
              </w:rPr>
              <w:t>Th</w:t>
            </w:r>
            <w:r>
              <w:rPr>
                <w:rFonts w:cstheme="minorHAnsi"/>
              </w:rPr>
              <w:t>is Policy sets out how the University will conduct its Procurement activity for i</w:t>
            </w:r>
            <w:r w:rsidRPr="00F92F66">
              <w:rPr>
                <w:rFonts w:cstheme="minorHAnsi"/>
              </w:rPr>
              <w:t xml:space="preserve">ts expenditure on Goods, Services and Works. </w:t>
            </w:r>
          </w:p>
          <w:p w14:paraId="45E5ADA1" w14:textId="77777777" w:rsidR="00F92F66" w:rsidRPr="00F92F66" w:rsidRDefault="00F92F66" w:rsidP="00F92F66">
            <w:pPr>
              <w:rPr>
                <w:rFonts w:cstheme="minorHAnsi"/>
              </w:rPr>
            </w:pPr>
          </w:p>
          <w:p w14:paraId="1742D13B" w14:textId="4260FBB5" w:rsidR="00606868" w:rsidRDefault="00F92F66" w:rsidP="00F92F66">
            <w:pPr>
              <w:rPr>
                <w:rFonts w:cstheme="minorHAnsi"/>
              </w:rPr>
            </w:pPr>
            <w:r w:rsidRPr="00F92F66">
              <w:rPr>
                <w:rFonts w:cstheme="minorHAnsi"/>
              </w:rPr>
              <w:t>The purpose of th</w:t>
            </w:r>
            <w:r>
              <w:rPr>
                <w:rFonts w:cstheme="minorHAnsi"/>
              </w:rPr>
              <w:t>e</w:t>
            </w:r>
            <w:r w:rsidRPr="00F92F66">
              <w:rPr>
                <w:rFonts w:cstheme="minorHAnsi"/>
              </w:rPr>
              <w:t xml:space="preserve"> policy is to describe how the University of Edinburgh will </w:t>
            </w:r>
            <w:r>
              <w:rPr>
                <w:rFonts w:cstheme="minorHAnsi"/>
              </w:rPr>
              <w:t>achieve value for money for its third</w:t>
            </w:r>
            <w:r w:rsidR="00FD663E">
              <w:rPr>
                <w:rFonts w:cstheme="minorHAnsi"/>
              </w:rPr>
              <w:t>-</w:t>
            </w:r>
            <w:r>
              <w:rPr>
                <w:rFonts w:cstheme="minorHAnsi"/>
              </w:rPr>
              <w:t xml:space="preserve">party supplier expenditure </w:t>
            </w:r>
            <w:r w:rsidRPr="00F92F66">
              <w:rPr>
                <w:rFonts w:cstheme="minorHAnsi"/>
              </w:rPr>
              <w:t xml:space="preserve">and sets out the scope, principles, key activities, roles and responsibilities, </w:t>
            </w:r>
            <w:proofErr w:type="gramStart"/>
            <w:r w:rsidRPr="00F92F66">
              <w:rPr>
                <w:rFonts w:cstheme="minorHAnsi"/>
              </w:rPr>
              <w:t>systems</w:t>
            </w:r>
            <w:proofErr w:type="gramEnd"/>
            <w:r w:rsidRPr="00F92F66">
              <w:rPr>
                <w:rFonts w:cstheme="minorHAnsi"/>
              </w:rPr>
              <w:t xml:space="preserve"> and assurance framework. </w:t>
            </w:r>
          </w:p>
          <w:p w14:paraId="796192CE" w14:textId="77777777" w:rsidR="00F92F66" w:rsidRDefault="00F92F66" w:rsidP="00F92F66">
            <w:pPr>
              <w:rPr>
                <w:noProof/>
                <w:lang w:eastAsia="en-GB"/>
              </w:rPr>
            </w:pPr>
          </w:p>
          <w:p w14:paraId="2F49E8E4" w14:textId="77777777" w:rsidR="00D00156" w:rsidRPr="00A65A2E" w:rsidRDefault="00D42C42" w:rsidP="00A65A2E">
            <w:pPr>
              <w:spacing w:after="120"/>
              <w:rPr>
                <w:rFonts w:eastAsia="Calibri" w:cstheme="minorHAnsi"/>
              </w:rPr>
            </w:pPr>
            <w:r w:rsidRPr="005F0B18">
              <w:rPr>
                <w:rFonts w:eastAsia="Calibri" w:cstheme="minorHAnsi"/>
              </w:rPr>
              <w:t>For the purposes of this policy, “must” is used when expressing obligation or an unavoidable requirement, whereas “should” is more of a recommendation.</w:t>
            </w:r>
          </w:p>
          <w:p w14:paraId="417836A3" w14:textId="77777777" w:rsidR="00D00156" w:rsidRPr="00A65A2E" w:rsidRDefault="00D00156" w:rsidP="00C65AB1">
            <w:pPr>
              <w:spacing w:after="120"/>
            </w:pPr>
            <w:r w:rsidRPr="6E8661D0">
              <w:t xml:space="preserve">This Policy should be read in conjunction with other University policies including the </w:t>
            </w:r>
            <w:hyperlink r:id="rId12">
              <w:r w:rsidRPr="6E8661D0">
                <w:rPr>
                  <w:rStyle w:val="Hyperlink"/>
                </w:rPr>
                <w:t>Sustainable Travel Policy</w:t>
              </w:r>
            </w:hyperlink>
            <w:r w:rsidRPr="6E8661D0">
              <w:t xml:space="preserve">, </w:t>
            </w:r>
            <w:hyperlink r:id="rId13">
              <w:r w:rsidRPr="6E8661D0">
                <w:rPr>
                  <w:rStyle w:val="Hyperlink"/>
                </w:rPr>
                <w:t>Gifts and Hospitality Policy</w:t>
              </w:r>
            </w:hyperlink>
            <w:r w:rsidRPr="6E8661D0">
              <w:t xml:space="preserve">, </w:t>
            </w:r>
            <w:hyperlink r:id="rId14">
              <w:r w:rsidRPr="6E8661D0">
                <w:rPr>
                  <w:rStyle w:val="Hyperlink"/>
                </w:rPr>
                <w:t>Conflict of Interest</w:t>
              </w:r>
            </w:hyperlink>
            <w:r w:rsidRPr="6E8661D0">
              <w:t xml:space="preserve">, </w:t>
            </w:r>
            <w:hyperlink r:id="rId15">
              <w:r w:rsidRPr="6E8661D0">
                <w:rPr>
                  <w:rStyle w:val="Hyperlink"/>
                </w:rPr>
                <w:t>Anti-Bribery &amp; Corruption Policy</w:t>
              </w:r>
            </w:hyperlink>
            <w:r w:rsidR="003E59B8">
              <w:t xml:space="preserve"> and </w:t>
            </w:r>
            <w:r w:rsidRPr="6E8661D0">
              <w:t xml:space="preserve"> </w:t>
            </w:r>
            <w:hyperlink r:id="rId16">
              <w:r w:rsidRPr="6E8661D0">
                <w:rPr>
                  <w:rStyle w:val="Hyperlink"/>
                </w:rPr>
                <w:t>Fraud Policy</w:t>
              </w:r>
            </w:hyperlink>
            <w:r w:rsidR="003E59B8">
              <w:t>.</w:t>
            </w:r>
            <w:r w:rsidR="00D04E64">
              <w:t xml:space="preserve"> This policy supersedes</w:t>
            </w:r>
            <w:r w:rsidR="00C65AB1">
              <w:t xml:space="preserve"> any existing procurement, </w:t>
            </w:r>
            <w:r w:rsidR="00D04E64">
              <w:t xml:space="preserve">purchasing </w:t>
            </w:r>
            <w:r w:rsidR="00C65AB1">
              <w:t xml:space="preserve">and external expenditure </w:t>
            </w:r>
            <w:r w:rsidR="00D04E64">
              <w:t>policies.</w:t>
            </w:r>
          </w:p>
        </w:tc>
      </w:tr>
      <w:tr w:rsidR="00897090" w:rsidRPr="009263D3" w14:paraId="04B93755" w14:textId="77777777" w:rsidTr="615F93FE">
        <w:trPr>
          <w:trHeight w:val="567"/>
        </w:trPr>
        <w:tc>
          <w:tcPr>
            <w:tcW w:w="11058" w:type="dxa"/>
            <w:shd w:val="clear" w:color="auto" w:fill="F2F2F2" w:themeFill="background1" w:themeFillShade="F2"/>
            <w:vAlign w:val="center"/>
          </w:tcPr>
          <w:p w14:paraId="739A6247" w14:textId="77777777" w:rsidR="00897090" w:rsidRDefault="00897090" w:rsidP="00143F31">
            <w:pPr>
              <w:rPr>
                <w:rFonts w:cstheme="minorHAnsi"/>
                <w:b/>
                <w:noProof/>
                <w:lang w:eastAsia="en-GB"/>
              </w:rPr>
            </w:pPr>
            <w:r w:rsidRPr="009263D3">
              <w:rPr>
                <w:rFonts w:cstheme="minorHAnsi"/>
                <w:b/>
                <w:noProof/>
                <w:lang w:eastAsia="en-GB"/>
              </w:rPr>
              <w:t>Scope</w:t>
            </w:r>
          </w:p>
        </w:tc>
      </w:tr>
      <w:tr w:rsidR="00897090" w:rsidRPr="009263D3" w14:paraId="22E5B779" w14:textId="77777777" w:rsidTr="615F93FE">
        <w:trPr>
          <w:trHeight w:val="567"/>
        </w:trPr>
        <w:tc>
          <w:tcPr>
            <w:tcW w:w="11058" w:type="dxa"/>
            <w:shd w:val="clear" w:color="auto" w:fill="auto"/>
            <w:vAlign w:val="center"/>
          </w:tcPr>
          <w:p w14:paraId="508C5CF8" w14:textId="77777777" w:rsidR="00F92F66" w:rsidRDefault="00F92F66" w:rsidP="00F92F66">
            <w:pPr>
              <w:rPr>
                <w:rFonts w:cstheme="minorHAnsi"/>
              </w:rPr>
            </w:pPr>
            <w:r>
              <w:rPr>
                <w:rFonts w:cstheme="minorHAnsi"/>
              </w:rPr>
              <w:t>This policy applies to a</w:t>
            </w:r>
            <w:r w:rsidRPr="00F92F66">
              <w:rPr>
                <w:rFonts w:cstheme="minorHAnsi"/>
              </w:rPr>
              <w:t>ll expenditure of the University of Edinburgh with external 3</w:t>
            </w:r>
            <w:r w:rsidRPr="00F92F66">
              <w:rPr>
                <w:rFonts w:cstheme="minorHAnsi"/>
                <w:vertAlign w:val="superscript"/>
              </w:rPr>
              <w:t>rd</w:t>
            </w:r>
            <w:r w:rsidRPr="00F92F66">
              <w:rPr>
                <w:rFonts w:cstheme="minorHAnsi"/>
              </w:rPr>
              <w:t xml:space="preserve"> parties and trade suppliers for the purchase of Goods, Services, Concessions Licences and Works</w:t>
            </w:r>
            <w:r>
              <w:rPr>
                <w:rFonts w:cstheme="minorHAnsi"/>
              </w:rPr>
              <w:t>.</w:t>
            </w:r>
          </w:p>
          <w:p w14:paraId="33D76C90" w14:textId="77777777" w:rsidR="00F92F66" w:rsidRDefault="00F92F66" w:rsidP="00F92F66">
            <w:pPr>
              <w:rPr>
                <w:rFonts w:cstheme="minorHAnsi"/>
              </w:rPr>
            </w:pPr>
          </w:p>
          <w:p w14:paraId="6A6C9B50" w14:textId="77777777" w:rsidR="00F92F66" w:rsidRDefault="00F92F66" w:rsidP="00F92F66">
            <w:pPr>
              <w:rPr>
                <w:rFonts w:cstheme="minorHAnsi"/>
              </w:rPr>
            </w:pPr>
            <w:r>
              <w:rPr>
                <w:rFonts w:cstheme="minorHAnsi"/>
              </w:rPr>
              <w:t>It includes a</w:t>
            </w:r>
            <w:r w:rsidRPr="00F92F66">
              <w:rPr>
                <w:rFonts w:cstheme="minorHAnsi"/>
              </w:rPr>
              <w:t>ll unrestricted and restricted expenditure</w:t>
            </w:r>
            <w:r>
              <w:rPr>
                <w:rFonts w:cstheme="minorHAnsi"/>
              </w:rPr>
              <w:t>.</w:t>
            </w:r>
          </w:p>
          <w:p w14:paraId="638F4572" w14:textId="77777777" w:rsidR="00F92F66" w:rsidRDefault="00F92F66" w:rsidP="00F92F66">
            <w:pPr>
              <w:rPr>
                <w:rFonts w:cstheme="minorHAnsi"/>
              </w:rPr>
            </w:pPr>
          </w:p>
          <w:p w14:paraId="0A680A26" w14:textId="77777777" w:rsidR="00F92F66" w:rsidRDefault="00F92F66" w:rsidP="00F92F66">
            <w:pPr>
              <w:rPr>
                <w:rFonts w:cstheme="minorHAnsi"/>
              </w:rPr>
            </w:pPr>
            <w:r>
              <w:rPr>
                <w:rFonts w:cstheme="minorHAnsi"/>
              </w:rPr>
              <w:t>It applies to a</w:t>
            </w:r>
            <w:r w:rsidRPr="00F92F66">
              <w:rPr>
                <w:rFonts w:cstheme="minorHAnsi"/>
              </w:rPr>
              <w:t xml:space="preserve">ll University employees including students, consultants, </w:t>
            </w:r>
            <w:proofErr w:type="gramStart"/>
            <w:r w:rsidRPr="00F92F66">
              <w:rPr>
                <w:rFonts w:cstheme="minorHAnsi"/>
              </w:rPr>
              <w:t>contractors</w:t>
            </w:r>
            <w:proofErr w:type="gramEnd"/>
            <w:r w:rsidRPr="00F92F66">
              <w:rPr>
                <w:rFonts w:cstheme="minorHAnsi"/>
              </w:rPr>
              <w:t xml:space="preserve"> or agents who are operating in a staff capacity or role and/or acting as buyer/purchaser on behalf of the University</w:t>
            </w:r>
            <w:r w:rsidR="005305E0">
              <w:rPr>
                <w:rFonts w:cstheme="minorHAnsi"/>
              </w:rPr>
              <w:t>.</w:t>
            </w:r>
          </w:p>
          <w:p w14:paraId="5459FE37" w14:textId="77777777" w:rsidR="00F92F66" w:rsidRDefault="00F92F66" w:rsidP="00F92F66">
            <w:pPr>
              <w:rPr>
                <w:rFonts w:cstheme="minorHAnsi"/>
              </w:rPr>
            </w:pPr>
          </w:p>
          <w:p w14:paraId="1B7A567B" w14:textId="77777777" w:rsidR="00F92F66" w:rsidRDefault="00F92F66" w:rsidP="00F92F66">
            <w:pPr>
              <w:rPr>
                <w:rFonts w:cstheme="minorHAnsi"/>
              </w:rPr>
            </w:pPr>
            <w:r w:rsidRPr="00F92F66">
              <w:rPr>
                <w:rFonts w:cstheme="minorHAnsi"/>
              </w:rPr>
              <w:t>All University subsidiary companies are expected to adopt this or a comparable policy within their own governance</w:t>
            </w:r>
            <w:r w:rsidR="00C07BA9">
              <w:rPr>
                <w:rFonts w:cstheme="minorHAnsi"/>
              </w:rPr>
              <w:t>.</w:t>
            </w:r>
          </w:p>
          <w:p w14:paraId="3F545FA3" w14:textId="77777777" w:rsidR="00897090" w:rsidRDefault="00897090" w:rsidP="00F92F66">
            <w:pPr>
              <w:rPr>
                <w:rFonts w:cstheme="minorHAnsi"/>
                <w:b/>
                <w:noProof/>
                <w:lang w:eastAsia="en-GB"/>
              </w:rPr>
            </w:pPr>
          </w:p>
        </w:tc>
      </w:tr>
      <w:tr w:rsidR="00897090" w:rsidRPr="009263D3" w14:paraId="14A7F2FC" w14:textId="77777777" w:rsidTr="615F93FE">
        <w:trPr>
          <w:trHeight w:val="567"/>
        </w:trPr>
        <w:tc>
          <w:tcPr>
            <w:tcW w:w="11058" w:type="dxa"/>
            <w:shd w:val="clear" w:color="auto" w:fill="F2F2F2" w:themeFill="background1" w:themeFillShade="F2"/>
            <w:vAlign w:val="center"/>
          </w:tcPr>
          <w:p w14:paraId="61BC6CD4" w14:textId="77777777" w:rsidR="00897090" w:rsidRDefault="00897090" w:rsidP="00897090">
            <w:pPr>
              <w:rPr>
                <w:rFonts w:cstheme="minorHAnsi"/>
                <w:b/>
                <w:noProof/>
                <w:lang w:eastAsia="en-GB"/>
              </w:rPr>
            </w:pPr>
            <w:r w:rsidRPr="00493533">
              <w:rPr>
                <w:rFonts w:cstheme="minorHAnsi"/>
                <w:b/>
              </w:rPr>
              <w:t>Exclusions</w:t>
            </w:r>
          </w:p>
        </w:tc>
      </w:tr>
      <w:tr w:rsidR="00897090" w:rsidRPr="009263D3" w14:paraId="2CED7B2B" w14:textId="77777777" w:rsidTr="615F93FE">
        <w:trPr>
          <w:trHeight w:val="567"/>
        </w:trPr>
        <w:tc>
          <w:tcPr>
            <w:tcW w:w="11058" w:type="dxa"/>
            <w:shd w:val="clear" w:color="auto" w:fill="auto"/>
            <w:vAlign w:val="center"/>
          </w:tcPr>
          <w:p w14:paraId="0A216B97" w14:textId="1DA52C7E" w:rsidR="00897090" w:rsidRDefault="00482967" w:rsidP="00897090">
            <w:pPr>
              <w:rPr>
                <w:rFonts w:cstheme="minorHAnsi"/>
                <w:noProof/>
                <w:lang w:eastAsia="en-GB"/>
              </w:rPr>
            </w:pPr>
            <w:r w:rsidRPr="00482967">
              <w:rPr>
                <w:rFonts w:cstheme="minorHAnsi"/>
                <w:noProof/>
                <w:lang w:eastAsia="en-GB"/>
              </w:rPr>
              <w:t xml:space="preserve">Travel </w:t>
            </w:r>
            <w:r>
              <w:rPr>
                <w:rFonts w:cstheme="minorHAnsi"/>
                <w:noProof/>
                <w:lang w:eastAsia="en-GB"/>
              </w:rPr>
              <w:t xml:space="preserve">should </w:t>
            </w:r>
            <w:r w:rsidRPr="00482967">
              <w:rPr>
                <w:rFonts w:cstheme="minorHAnsi"/>
                <w:noProof/>
                <w:lang w:eastAsia="en-GB"/>
              </w:rPr>
              <w:t xml:space="preserve">be </w:t>
            </w:r>
            <w:r>
              <w:rPr>
                <w:rFonts w:cstheme="minorHAnsi"/>
                <w:noProof/>
                <w:lang w:eastAsia="en-GB"/>
              </w:rPr>
              <w:t xml:space="preserve">booked </w:t>
            </w:r>
            <w:r w:rsidRPr="00482967">
              <w:rPr>
                <w:rFonts w:cstheme="minorHAnsi"/>
                <w:noProof/>
                <w:lang w:eastAsia="en-GB"/>
              </w:rPr>
              <w:t>direct</w:t>
            </w:r>
            <w:r w:rsidR="00FD663E">
              <w:rPr>
                <w:rFonts w:cstheme="minorHAnsi"/>
                <w:noProof/>
                <w:lang w:eastAsia="en-GB"/>
              </w:rPr>
              <w:t>ly</w:t>
            </w:r>
            <w:r w:rsidRPr="00482967">
              <w:rPr>
                <w:rFonts w:cstheme="minorHAnsi"/>
                <w:noProof/>
                <w:lang w:eastAsia="en-GB"/>
              </w:rPr>
              <w:t xml:space="preserve"> with the University </w:t>
            </w:r>
            <w:r w:rsidR="00A61597">
              <w:rPr>
                <w:rFonts w:cstheme="minorHAnsi"/>
                <w:noProof/>
                <w:lang w:eastAsia="en-GB"/>
              </w:rPr>
              <w:t>approved</w:t>
            </w:r>
            <w:r w:rsidRPr="00482967">
              <w:rPr>
                <w:rFonts w:cstheme="minorHAnsi"/>
                <w:noProof/>
                <w:lang w:eastAsia="en-GB"/>
              </w:rPr>
              <w:t xml:space="preserve"> travel supplier and not via People and Money</w:t>
            </w:r>
            <w:r w:rsidR="005305E0">
              <w:rPr>
                <w:rFonts w:cstheme="minorHAnsi"/>
                <w:noProof/>
                <w:lang w:eastAsia="en-GB"/>
              </w:rPr>
              <w:t>.</w:t>
            </w:r>
          </w:p>
          <w:p w14:paraId="3F29429E" w14:textId="77777777" w:rsidR="00482967" w:rsidRPr="00482967" w:rsidRDefault="00482967" w:rsidP="001C400F">
            <w:pPr>
              <w:spacing w:line="256" w:lineRule="auto"/>
              <w:jc w:val="both"/>
              <w:rPr>
                <w:rFonts w:cstheme="minorHAnsi"/>
                <w:noProof/>
                <w:lang w:eastAsia="en-GB"/>
              </w:rPr>
            </w:pPr>
          </w:p>
        </w:tc>
      </w:tr>
    </w:tbl>
    <w:p w14:paraId="2D9AFD4F" w14:textId="77777777" w:rsidR="00C407A7" w:rsidRDefault="00C407A7">
      <w:r>
        <w:br w:type="page"/>
      </w:r>
    </w:p>
    <w:tbl>
      <w:tblPr>
        <w:tblStyle w:val="TableGrid"/>
        <w:tblW w:w="11171" w:type="dxa"/>
        <w:tblInd w:w="-998" w:type="dxa"/>
        <w:tblLook w:val="04A0" w:firstRow="1" w:lastRow="0" w:firstColumn="1" w:lastColumn="0" w:noHBand="0" w:noVBand="1"/>
      </w:tblPr>
      <w:tblGrid>
        <w:gridCol w:w="11171"/>
      </w:tblGrid>
      <w:tr w:rsidR="00897090" w:rsidRPr="009263D3" w14:paraId="19EA095F" w14:textId="77777777" w:rsidTr="006F42DC">
        <w:trPr>
          <w:trHeight w:val="567"/>
        </w:trPr>
        <w:tc>
          <w:tcPr>
            <w:tcW w:w="11171" w:type="dxa"/>
            <w:shd w:val="clear" w:color="auto" w:fill="F2F2F2" w:themeFill="background1" w:themeFillShade="F2"/>
            <w:vAlign w:val="center"/>
          </w:tcPr>
          <w:p w14:paraId="2DF48DA0" w14:textId="77777777" w:rsidR="00897090" w:rsidRPr="009263D3" w:rsidRDefault="00897090" w:rsidP="00897090">
            <w:pPr>
              <w:rPr>
                <w:rFonts w:cstheme="minorHAnsi"/>
                <w:b/>
                <w:noProof/>
                <w:lang w:eastAsia="en-GB"/>
              </w:rPr>
            </w:pPr>
            <w:r w:rsidRPr="009263D3">
              <w:rPr>
                <w:rFonts w:cstheme="minorHAnsi"/>
                <w:b/>
                <w:noProof/>
                <w:lang w:eastAsia="en-GB"/>
              </w:rPr>
              <w:lastRenderedPageBreak/>
              <w:t>Principles</w:t>
            </w:r>
          </w:p>
        </w:tc>
      </w:tr>
      <w:tr w:rsidR="00897090" w:rsidRPr="009263D3" w14:paraId="1AA4739C" w14:textId="77777777" w:rsidTr="00482967">
        <w:trPr>
          <w:trHeight w:val="4411"/>
        </w:trPr>
        <w:tc>
          <w:tcPr>
            <w:tcW w:w="11171" w:type="dxa"/>
          </w:tcPr>
          <w:p w14:paraId="4276379C" w14:textId="77777777" w:rsidR="00897090" w:rsidRDefault="004F1693" w:rsidP="00897090">
            <w:pPr>
              <w:rPr>
                <w:rFonts w:cstheme="minorHAnsi"/>
              </w:rPr>
            </w:pPr>
            <w:r>
              <w:rPr>
                <w:rFonts w:cstheme="minorHAnsi"/>
              </w:rPr>
              <w:t xml:space="preserve">Procurement activity should be </w:t>
            </w:r>
            <w:r w:rsidR="00A61597" w:rsidRPr="00E71A09">
              <w:t>law</w:t>
            </w:r>
            <w:r w:rsidR="00A61597">
              <w:t>ful</w:t>
            </w:r>
            <w:r w:rsidR="00A61597" w:rsidRPr="00E71A09">
              <w:t xml:space="preserve"> and in compliance with relevant current legislation</w:t>
            </w:r>
            <w:r w:rsidR="00A61597">
              <w:rPr>
                <w:rFonts w:cstheme="minorHAnsi"/>
              </w:rPr>
              <w:t xml:space="preserve"> and </w:t>
            </w:r>
            <w:r>
              <w:rPr>
                <w:rFonts w:cstheme="minorHAnsi"/>
              </w:rPr>
              <w:t xml:space="preserve">conducted via People and Money in </w:t>
            </w:r>
            <w:r w:rsidR="00897090" w:rsidRPr="009263D3">
              <w:rPr>
                <w:rFonts w:cstheme="minorHAnsi"/>
              </w:rPr>
              <w:t xml:space="preserve">line with the following principles: </w:t>
            </w:r>
          </w:p>
          <w:p w14:paraId="4C403B0E" w14:textId="77777777" w:rsidR="004F1693" w:rsidRDefault="004F1693" w:rsidP="00897090">
            <w:pPr>
              <w:rPr>
                <w:rFonts w:cstheme="minorHAnsi"/>
              </w:rPr>
            </w:pPr>
          </w:p>
          <w:p w14:paraId="57266AB1" w14:textId="77777777" w:rsidR="00E71A09" w:rsidRPr="00E71A09" w:rsidRDefault="00E71A09" w:rsidP="00E71A09">
            <w:pPr>
              <w:spacing w:line="256" w:lineRule="auto"/>
              <w:jc w:val="both"/>
            </w:pPr>
            <w:r w:rsidRPr="00E71A09">
              <w:t>This Procurement Policy reflects the following principles:</w:t>
            </w:r>
          </w:p>
          <w:p w14:paraId="77D7E3A3" w14:textId="77777777" w:rsidR="00E71A09" w:rsidRPr="00E71A09" w:rsidRDefault="00E71A09" w:rsidP="006F42DC">
            <w:pPr>
              <w:numPr>
                <w:ilvl w:val="0"/>
                <w:numId w:val="10"/>
              </w:numPr>
              <w:spacing w:line="256" w:lineRule="auto"/>
              <w:contextualSpacing/>
              <w:jc w:val="both"/>
            </w:pPr>
            <w:r w:rsidRPr="00E71A09">
              <w:t>Value for Money for the University as a whole</w:t>
            </w:r>
          </w:p>
          <w:p w14:paraId="3044CE2A" w14:textId="77777777" w:rsidR="00E71A09" w:rsidRPr="00E71A09" w:rsidRDefault="00E71A09" w:rsidP="006F42DC">
            <w:pPr>
              <w:numPr>
                <w:ilvl w:val="0"/>
                <w:numId w:val="10"/>
              </w:numPr>
              <w:spacing w:line="256" w:lineRule="auto"/>
              <w:contextualSpacing/>
              <w:jc w:val="both"/>
            </w:pPr>
            <w:r w:rsidRPr="00E71A09">
              <w:t>Equal treatment of suppliers</w:t>
            </w:r>
          </w:p>
          <w:p w14:paraId="5AA5F51A" w14:textId="77777777" w:rsidR="00E71A09" w:rsidRPr="00E71A09" w:rsidRDefault="00E71A09" w:rsidP="006F42DC">
            <w:pPr>
              <w:numPr>
                <w:ilvl w:val="0"/>
                <w:numId w:val="10"/>
              </w:numPr>
              <w:spacing w:line="256" w:lineRule="auto"/>
              <w:contextualSpacing/>
              <w:jc w:val="both"/>
            </w:pPr>
            <w:r w:rsidRPr="00E71A09">
              <w:t>Encouraging open competition</w:t>
            </w:r>
          </w:p>
          <w:p w14:paraId="2BB8CA1A" w14:textId="77777777" w:rsidR="00E71A09" w:rsidRPr="00E71A09" w:rsidRDefault="00E71A09" w:rsidP="006F42DC">
            <w:pPr>
              <w:numPr>
                <w:ilvl w:val="0"/>
                <w:numId w:val="10"/>
              </w:numPr>
              <w:spacing w:line="256" w:lineRule="auto"/>
              <w:contextualSpacing/>
              <w:jc w:val="both"/>
            </w:pPr>
            <w:r w:rsidRPr="00E71A09">
              <w:t xml:space="preserve">Sustainability and Social Responsibility (social, economic, environmental, </w:t>
            </w:r>
            <w:r w:rsidR="00A61597">
              <w:t xml:space="preserve">carbon </w:t>
            </w:r>
            <w:r w:rsidR="009E2461">
              <w:t>ac</w:t>
            </w:r>
            <w:r w:rsidR="00A61597">
              <w:t xml:space="preserve">counting, </w:t>
            </w:r>
            <w:r w:rsidRPr="00E71A09">
              <w:t xml:space="preserve">community benefits and </w:t>
            </w:r>
            <w:proofErr w:type="gramStart"/>
            <w:r w:rsidRPr="00E71A09">
              <w:t>appropriate  Sustainable</w:t>
            </w:r>
            <w:proofErr w:type="gramEnd"/>
            <w:r w:rsidRPr="00E71A09">
              <w:t xml:space="preserve"> Development Goals) </w:t>
            </w:r>
          </w:p>
          <w:p w14:paraId="6B2E113F" w14:textId="77777777" w:rsidR="00E71A09" w:rsidRPr="00E71A09" w:rsidRDefault="00E71A09" w:rsidP="006F42DC">
            <w:pPr>
              <w:numPr>
                <w:ilvl w:val="0"/>
                <w:numId w:val="10"/>
              </w:numPr>
              <w:spacing w:line="256" w:lineRule="auto"/>
              <w:contextualSpacing/>
              <w:jc w:val="both"/>
            </w:pPr>
            <w:r w:rsidRPr="00E71A09">
              <w:t xml:space="preserve">Encouraging Innovation </w:t>
            </w:r>
          </w:p>
          <w:p w14:paraId="61589ADE" w14:textId="77777777" w:rsidR="00E71A09" w:rsidRPr="00E71A09" w:rsidRDefault="00E71A09" w:rsidP="006F42DC">
            <w:pPr>
              <w:numPr>
                <w:ilvl w:val="0"/>
                <w:numId w:val="10"/>
              </w:numPr>
              <w:spacing w:line="256" w:lineRule="auto"/>
              <w:contextualSpacing/>
              <w:jc w:val="both"/>
            </w:pPr>
            <w:r w:rsidRPr="00E71A09">
              <w:t>Management of Risk</w:t>
            </w:r>
          </w:p>
          <w:p w14:paraId="1F3A0F97" w14:textId="77777777" w:rsidR="00E71A09" w:rsidRPr="00E71A09" w:rsidRDefault="00E71A09" w:rsidP="006F42DC">
            <w:pPr>
              <w:numPr>
                <w:ilvl w:val="0"/>
                <w:numId w:val="10"/>
              </w:numPr>
              <w:spacing w:line="256" w:lineRule="auto"/>
              <w:contextualSpacing/>
              <w:jc w:val="both"/>
            </w:pPr>
            <w:r w:rsidRPr="00E71A09">
              <w:t>Transparency of our processes and decision making</w:t>
            </w:r>
          </w:p>
          <w:p w14:paraId="1174DEA3" w14:textId="77777777" w:rsidR="00E71A09" w:rsidRPr="00E71A09" w:rsidRDefault="00E71A09" w:rsidP="006F42DC">
            <w:pPr>
              <w:numPr>
                <w:ilvl w:val="0"/>
                <w:numId w:val="10"/>
              </w:numPr>
              <w:spacing w:line="256" w:lineRule="auto"/>
              <w:contextualSpacing/>
              <w:jc w:val="both"/>
            </w:pPr>
            <w:r w:rsidRPr="00E71A09">
              <w:t>Ethical Conduct</w:t>
            </w:r>
          </w:p>
          <w:p w14:paraId="4B8DD154" w14:textId="77777777" w:rsidR="00897090" w:rsidRPr="002518F4" w:rsidRDefault="00E71A09" w:rsidP="001C400F">
            <w:pPr>
              <w:numPr>
                <w:ilvl w:val="0"/>
                <w:numId w:val="10"/>
              </w:numPr>
              <w:spacing w:line="256" w:lineRule="auto"/>
              <w:contextualSpacing/>
              <w:jc w:val="both"/>
            </w:pPr>
            <w:r w:rsidRPr="00E71A09">
              <w:t>Sound Operational Control</w:t>
            </w:r>
          </w:p>
        </w:tc>
      </w:tr>
      <w:tr w:rsidR="00A50652" w:rsidRPr="009263D3" w14:paraId="7763E1D9" w14:textId="77777777" w:rsidTr="001C400F">
        <w:trPr>
          <w:trHeight w:val="974"/>
        </w:trPr>
        <w:tc>
          <w:tcPr>
            <w:tcW w:w="11171" w:type="dxa"/>
            <w:tcBorders>
              <w:top w:val="nil"/>
            </w:tcBorders>
            <w:shd w:val="clear" w:color="auto" w:fill="F2F2F2" w:themeFill="background1" w:themeFillShade="F2"/>
            <w:vAlign w:val="center"/>
          </w:tcPr>
          <w:p w14:paraId="31F3F752" w14:textId="77777777" w:rsidR="00A50652" w:rsidRPr="001F4423" w:rsidRDefault="00ED580C" w:rsidP="00E71A09">
            <w:pPr>
              <w:rPr>
                <w:rFonts w:cstheme="minorHAnsi"/>
                <w:b/>
                <w:lang w:eastAsia="en-GB"/>
              </w:rPr>
            </w:pPr>
            <w:r>
              <w:rPr>
                <w:rFonts w:cstheme="minorHAnsi"/>
                <w:b/>
                <w:lang w:eastAsia="en-GB"/>
              </w:rPr>
              <w:t xml:space="preserve">University </w:t>
            </w:r>
            <w:r w:rsidR="00E71A09">
              <w:rPr>
                <w:rFonts w:cstheme="minorHAnsi"/>
                <w:b/>
                <w:lang w:eastAsia="en-GB"/>
              </w:rPr>
              <w:t xml:space="preserve">Procurement Strategies and Use of Approved Suppliers </w:t>
            </w:r>
          </w:p>
        </w:tc>
      </w:tr>
      <w:tr w:rsidR="00A50652" w:rsidRPr="009263D3" w14:paraId="1B36D93D" w14:textId="77777777" w:rsidTr="006F42DC">
        <w:trPr>
          <w:trHeight w:val="567"/>
        </w:trPr>
        <w:tc>
          <w:tcPr>
            <w:tcW w:w="11171" w:type="dxa"/>
            <w:shd w:val="clear" w:color="auto" w:fill="auto"/>
            <w:vAlign w:val="center"/>
          </w:tcPr>
          <w:p w14:paraId="4DDC3299" w14:textId="77777777" w:rsidR="00E71A09" w:rsidRDefault="00E71A09" w:rsidP="00E71A09">
            <w:pPr>
              <w:spacing w:line="256" w:lineRule="auto"/>
              <w:ind w:left="153"/>
              <w:contextualSpacing/>
              <w:jc w:val="both"/>
            </w:pPr>
            <w:r w:rsidRPr="00E71A09">
              <w:t>The University Procurement department will, working with internal customers and budget holders, identify and contract with suppliers through competitive sourcing and maintain a schedule of such approved suppliers for Goods, Services, Licences and</w:t>
            </w:r>
            <w:r w:rsidR="00C07BA9">
              <w:t xml:space="preserve"> W</w:t>
            </w:r>
            <w:r w:rsidRPr="00E71A09">
              <w:t xml:space="preserve">orks. </w:t>
            </w:r>
            <w:r>
              <w:t xml:space="preserve"> A schedule of Approved Suppliers will be </w:t>
            </w:r>
            <w:r w:rsidR="002353BC">
              <w:t xml:space="preserve">maintained </w:t>
            </w:r>
            <w:r>
              <w:t>on the Procurement website</w:t>
            </w:r>
            <w:r w:rsidR="002353BC">
              <w:t>.</w:t>
            </w:r>
            <w:r>
              <w:t xml:space="preserve"> </w:t>
            </w:r>
          </w:p>
          <w:p w14:paraId="138DFFA9" w14:textId="77777777" w:rsidR="00E71A09" w:rsidRDefault="00E71A09" w:rsidP="00E71A09">
            <w:pPr>
              <w:spacing w:line="256" w:lineRule="auto"/>
              <w:ind w:left="153"/>
              <w:contextualSpacing/>
              <w:jc w:val="both"/>
            </w:pPr>
          </w:p>
          <w:p w14:paraId="4995B556" w14:textId="77777777" w:rsidR="00E71A09" w:rsidRPr="00E71A09" w:rsidRDefault="00E71A09" w:rsidP="00E71A09">
            <w:pPr>
              <w:spacing w:line="256" w:lineRule="auto"/>
              <w:ind w:left="153"/>
              <w:contextualSpacing/>
              <w:jc w:val="both"/>
            </w:pPr>
            <w:r w:rsidRPr="00E71A09">
              <w:t xml:space="preserve">All purchases, licences, leases or contracts for these Goods, Services, Licences and Works must be made in accordance with this Procurement Policy and in accordance with </w:t>
            </w:r>
            <w:proofErr w:type="gramStart"/>
            <w:r w:rsidRPr="00E71A09">
              <w:t>University</w:t>
            </w:r>
            <w:proofErr w:type="gramEnd"/>
            <w:r w:rsidRPr="00E71A09">
              <w:t xml:space="preserve"> approved suppliers and sourcing strategies. Suppliers without a valid University contract must not be used.  </w:t>
            </w:r>
          </w:p>
          <w:p w14:paraId="0F5A6DE6" w14:textId="77777777" w:rsidR="00A50652" w:rsidRPr="001F4423" w:rsidRDefault="00A50652" w:rsidP="00A50652">
            <w:pPr>
              <w:pStyle w:val="paragraph"/>
              <w:spacing w:before="0" w:beforeAutospacing="0" w:after="0" w:afterAutospacing="0"/>
              <w:textAlignment w:val="baseline"/>
              <w:rPr>
                <w:rFonts w:ascii="Segoe UI" w:hAnsi="Segoe UI" w:cs="Segoe UI"/>
                <w:sz w:val="18"/>
                <w:szCs w:val="18"/>
              </w:rPr>
            </w:pPr>
          </w:p>
        </w:tc>
      </w:tr>
      <w:tr w:rsidR="00143F31" w:rsidRPr="009263D3" w14:paraId="745D6E36" w14:textId="77777777" w:rsidTr="006F42DC">
        <w:trPr>
          <w:trHeight w:val="567"/>
        </w:trPr>
        <w:tc>
          <w:tcPr>
            <w:tcW w:w="11171" w:type="dxa"/>
            <w:shd w:val="clear" w:color="auto" w:fill="F2F2F2" w:themeFill="background1" w:themeFillShade="F2"/>
            <w:vAlign w:val="center"/>
          </w:tcPr>
          <w:p w14:paraId="2238B3FB" w14:textId="77777777" w:rsidR="00143F31" w:rsidRPr="009263D3" w:rsidRDefault="00E71A09" w:rsidP="00E71A09">
            <w:pPr>
              <w:rPr>
                <w:rFonts w:cstheme="minorHAnsi"/>
                <w:b/>
                <w:noProof/>
                <w:lang w:eastAsia="en-GB"/>
              </w:rPr>
            </w:pPr>
            <w:r>
              <w:rPr>
                <w:rFonts w:cstheme="minorHAnsi"/>
                <w:b/>
                <w:noProof/>
                <w:lang w:eastAsia="en-GB"/>
              </w:rPr>
              <w:t xml:space="preserve">Value for Money </w:t>
            </w:r>
          </w:p>
        </w:tc>
      </w:tr>
      <w:tr w:rsidR="00D42C42" w:rsidRPr="009263D3" w14:paraId="5E2FA30C" w14:textId="77777777" w:rsidTr="006F42DC">
        <w:trPr>
          <w:trHeight w:val="567"/>
        </w:trPr>
        <w:tc>
          <w:tcPr>
            <w:tcW w:w="11171" w:type="dxa"/>
            <w:shd w:val="clear" w:color="auto" w:fill="FFFFFF" w:themeFill="background1"/>
            <w:vAlign w:val="center"/>
          </w:tcPr>
          <w:p w14:paraId="3F59F924" w14:textId="332F2688" w:rsidR="00E71A09" w:rsidRPr="00E71A09" w:rsidRDefault="00E71A09" w:rsidP="00E71A09">
            <w:pPr>
              <w:rPr>
                <w:rFonts w:cstheme="minorHAnsi"/>
                <w:noProof/>
                <w:lang w:eastAsia="en-GB"/>
              </w:rPr>
            </w:pPr>
            <w:r w:rsidRPr="00E71A09">
              <w:rPr>
                <w:rFonts w:cstheme="minorHAnsi"/>
                <w:noProof/>
                <w:lang w:eastAsia="en-GB"/>
              </w:rPr>
              <w:t>The prime objective of this Procurement Policy is to ensure that the University achieves Value for Money for its third</w:t>
            </w:r>
            <w:r w:rsidR="00FD663E">
              <w:rPr>
                <w:rFonts w:cstheme="minorHAnsi"/>
                <w:noProof/>
                <w:lang w:eastAsia="en-GB"/>
              </w:rPr>
              <w:t>-</w:t>
            </w:r>
            <w:r w:rsidRPr="00E71A09">
              <w:rPr>
                <w:rFonts w:cstheme="minorHAnsi"/>
                <w:noProof/>
                <w:lang w:eastAsia="en-GB"/>
              </w:rPr>
              <w:t>party expenditure with trade suppliers. Purchase, Lease, Licence, Commissioning and Sourcing decisions will include a number of factors to consider including but not limited to:</w:t>
            </w:r>
          </w:p>
          <w:p w14:paraId="79B7A6BA"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Total cost of ownership over life-cycle</w:t>
            </w:r>
          </w:p>
          <w:p w14:paraId="158426CF" w14:textId="77777777" w:rsidR="00E71A09" w:rsidRPr="00E71A09" w:rsidRDefault="00E71A09" w:rsidP="006F42DC">
            <w:pPr>
              <w:numPr>
                <w:ilvl w:val="1"/>
                <w:numId w:val="11"/>
              </w:numPr>
              <w:rPr>
                <w:rFonts w:cstheme="minorHAnsi"/>
                <w:noProof/>
                <w:lang w:eastAsia="en-GB"/>
              </w:rPr>
            </w:pPr>
            <w:r w:rsidRPr="00E71A09">
              <w:rPr>
                <w:rFonts w:cstheme="minorHAnsi"/>
                <w:noProof/>
                <w:lang w:eastAsia="en-GB"/>
              </w:rPr>
              <w:t>Price</w:t>
            </w:r>
          </w:p>
          <w:p w14:paraId="09D182C8" w14:textId="77777777" w:rsidR="00E71A09" w:rsidRPr="00E71A09" w:rsidRDefault="00E71A09" w:rsidP="006F42DC">
            <w:pPr>
              <w:numPr>
                <w:ilvl w:val="1"/>
                <w:numId w:val="11"/>
              </w:numPr>
              <w:rPr>
                <w:rFonts w:cstheme="minorHAnsi"/>
                <w:noProof/>
                <w:lang w:eastAsia="en-GB"/>
              </w:rPr>
            </w:pPr>
            <w:r w:rsidRPr="00E71A09">
              <w:rPr>
                <w:rFonts w:cstheme="minorHAnsi"/>
                <w:noProof/>
                <w:lang w:eastAsia="en-GB"/>
              </w:rPr>
              <w:t>Delivery costs</w:t>
            </w:r>
          </w:p>
          <w:p w14:paraId="4592F33F" w14:textId="77777777" w:rsidR="00E71A09" w:rsidRPr="00E71A09" w:rsidRDefault="00E71A09" w:rsidP="006F42DC">
            <w:pPr>
              <w:numPr>
                <w:ilvl w:val="1"/>
                <w:numId w:val="11"/>
              </w:numPr>
              <w:rPr>
                <w:rFonts w:cstheme="minorHAnsi"/>
                <w:noProof/>
                <w:lang w:eastAsia="en-GB"/>
              </w:rPr>
            </w:pPr>
            <w:r w:rsidRPr="00E71A09">
              <w:rPr>
                <w:rFonts w:cstheme="minorHAnsi"/>
                <w:noProof/>
                <w:lang w:eastAsia="en-GB"/>
              </w:rPr>
              <w:t>Implementation costs</w:t>
            </w:r>
          </w:p>
          <w:p w14:paraId="318A8165" w14:textId="77777777" w:rsidR="00E71A09" w:rsidRPr="00E71A09" w:rsidRDefault="00E71A09" w:rsidP="006F42DC">
            <w:pPr>
              <w:numPr>
                <w:ilvl w:val="1"/>
                <w:numId w:val="11"/>
              </w:numPr>
              <w:rPr>
                <w:rFonts w:cstheme="minorHAnsi"/>
                <w:noProof/>
                <w:lang w:eastAsia="en-GB"/>
              </w:rPr>
            </w:pPr>
            <w:r w:rsidRPr="00E71A09">
              <w:rPr>
                <w:rFonts w:cstheme="minorHAnsi"/>
                <w:noProof/>
                <w:lang w:eastAsia="en-GB"/>
              </w:rPr>
              <w:t>Ongoing operating costs</w:t>
            </w:r>
          </w:p>
          <w:p w14:paraId="2992BA70" w14:textId="77777777" w:rsidR="00E71A09" w:rsidRPr="00E71A09" w:rsidRDefault="00E71A09" w:rsidP="006F42DC">
            <w:pPr>
              <w:numPr>
                <w:ilvl w:val="1"/>
                <w:numId w:val="11"/>
              </w:numPr>
              <w:rPr>
                <w:rFonts w:cstheme="minorHAnsi"/>
                <w:noProof/>
                <w:lang w:eastAsia="en-GB"/>
              </w:rPr>
            </w:pPr>
            <w:r w:rsidRPr="00E71A09">
              <w:rPr>
                <w:rFonts w:cstheme="minorHAnsi"/>
                <w:noProof/>
                <w:lang w:eastAsia="en-GB"/>
              </w:rPr>
              <w:t>Maintenance costs</w:t>
            </w:r>
          </w:p>
          <w:p w14:paraId="7D071DBF" w14:textId="77777777" w:rsidR="00E71A09" w:rsidRPr="00E71A09" w:rsidRDefault="00E71A09" w:rsidP="006F42DC">
            <w:pPr>
              <w:numPr>
                <w:ilvl w:val="1"/>
                <w:numId w:val="11"/>
              </w:numPr>
              <w:rPr>
                <w:rFonts w:cstheme="minorHAnsi"/>
                <w:noProof/>
                <w:lang w:eastAsia="en-GB"/>
              </w:rPr>
            </w:pPr>
            <w:r w:rsidRPr="00E71A09">
              <w:rPr>
                <w:rFonts w:cstheme="minorHAnsi"/>
                <w:noProof/>
                <w:lang w:eastAsia="en-GB"/>
              </w:rPr>
              <w:t>Recycling and re-use</w:t>
            </w:r>
          </w:p>
          <w:p w14:paraId="150D1808" w14:textId="3F2B59FB" w:rsidR="00E71A09" w:rsidRPr="00E71A09" w:rsidRDefault="00E71A09" w:rsidP="006F42DC">
            <w:pPr>
              <w:numPr>
                <w:ilvl w:val="1"/>
                <w:numId w:val="11"/>
              </w:numPr>
              <w:rPr>
                <w:rFonts w:cstheme="minorHAnsi"/>
                <w:noProof/>
                <w:lang w:eastAsia="en-GB"/>
              </w:rPr>
            </w:pPr>
            <w:r w:rsidRPr="00E71A09">
              <w:rPr>
                <w:rFonts w:cstheme="minorHAnsi"/>
                <w:noProof/>
                <w:lang w:eastAsia="en-GB"/>
              </w:rPr>
              <w:t>End</w:t>
            </w:r>
            <w:r w:rsidR="00FD663E">
              <w:rPr>
                <w:rFonts w:cstheme="minorHAnsi"/>
                <w:noProof/>
                <w:lang w:eastAsia="en-GB"/>
              </w:rPr>
              <w:t>-of-</w:t>
            </w:r>
            <w:r w:rsidRPr="00E71A09">
              <w:rPr>
                <w:rFonts w:cstheme="minorHAnsi"/>
                <w:noProof/>
                <w:lang w:eastAsia="en-GB"/>
              </w:rPr>
              <w:t>life disposal costs</w:t>
            </w:r>
          </w:p>
          <w:p w14:paraId="325FB742"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Fitness for purpose</w:t>
            </w:r>
          </w:p>
          <w:p w14:paraId="1D063C57"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Social Responsibility and Sustainability</w:t>
            </w:r>
          </w:p>
          <w:p w14:paraId="13459586"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Environmental impact</w:t>
            </w:r>
          </w:p>
          <w:p w14:paraId="6F85E6D4" w14:textId="77777777" w:rsidR="00E71A09" w:rsidRPr="00E71A09" w:rsidRDefault="00E71A09" w:rsidP="006F42DC">
            <w:pPr>
              <w:numPr>
                <w:ilvl w:val="0"/>
                <w:numId w:val="11"/>
              </w:numPr>
              <w:rPr>
                <w:rFonts w:cstheme="minorHAnsi"/>
                <w:noProof/>
                <w:lang w:eastAsia="en-GB"/>
              </w:rPr>
            </w:pPr>
            <w:r>
              <w:rPr>
                <w:rFonts w:cstheme="minorHAnsi"/>
                <w:noProof/>
                <w:lang w:eastAsia="en-GB"/>
              </w:rPr>
              <w:t xml:space="preserve">Supplier </w:t>
            </w:r>
            <w:r w:rsidRPr="00E71A09">
              <w:rPr>
                <w:rFonts w:cstheme="minorHAnsi"/>
                <w:noProof/>
                <w:lang w:eastAsia="en-GB"/>
              </w:rPr>
              <w:t>Service levels</w:t>
            </w:r>
          </w:p>
          <w:p w14:paraId="7EF55935"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Innovation</w:t>
            </w:r>
          </w:p>
          <w:p w14:paraId="256C52BF"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Health and Safety</w:t>
            </w:r>
          </w:p>
          <w:p w14:paraId="47AF330B"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 xml:space="preserve">Supplier </w:t>
            </w:r>
            <w:r>
              <w:rPr>
                <w:rFonts w:cstheme="minorHAnsi"/>
                <w:noProof/>
                <w:lang w:eastAsia="en-GB"/>
              </w:rPr>
              <w:t xml:space="preserve">agreemet and </w:t>
            </w:r>
            <w:r w:rsidRPr="00E71A09">
              <w:rPr>
                <w:rFonts w:cstheme="minorHAnsi"/>
                <w:noProof/>
                <w:lang w:eastAsia="en-GB"/>
              </w:rPr>
              <w:t xml:space="preserve">adherence to </w:t>
            </w:r>
            <w:r>
              <w:rPr>
                <w:rFonts w:cstheme="minorHAnsi"/>
                <w:noProof/>
                <w:lang w:eastAsia="en-GB"/>
              </w:rPr>
              <w:t>University c</w:t>
            </w:r>
            <w:r w:rsidRPr="00E71A09">
              <w:rPr>
                <w:rFonts w:cstheme="minorHAnsi"/>
                <w:noProof/>
                <w:lang w:eastAsia="en-GB"/>
              </w:rPr>
              <w:t>ontract terms and conditions</w:t>
            </w:r>
          </w:p>
          <w:p w14:paraId="2745F5AE"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t>Supplier financial health</w:t>
            </w:r>
          </w:p>
          <w:p w14:paraId="41EECF08" w14:textId="77777777" w:rsidR="00E71A09" w:rsidRDefault="00E71A09" w:rsidP="006F42DC">
            <w:pPr>
              <w:numPr>
                <w:ilvl w:val="0"/>
                <w:numId w:val="11"/>
              </w:numPr>
              <w:rPr>
                <w:rFonts w:cstheme="minorHAnsi"/>
                <w:noProof/>
                <w:lang w:eastAsia="en-GB"/>
              </w:rPr>
            </w:pPr>
            <w:r>
              <w:rPr>
                <w:rFonts w:cstheme="minorHAnsi"/>
                <w:noProof/>
                <w:lang w:eastAsia="en-GB"/>
              </w:rPr>
              <w:t>Potential c</w:t>
            </w:r>
            <w:r w:rsidRPr="00E71A09">
              <w:rPr>
                <w:rFonts w:cstheme="minorHAnsi"/>
                <w:noProof/>
                <w:lang w:eastAsia="en-GB"/>
              </w:rPr>
              <w:t>onflicts of interest</w:t>
            </w:r>
          </w:p>
          <w:p w14:paraId="01892FF1" w14:textId="77777777" w:rsidR="00E71A09" w:rsidRPr="008149E0" w:rsidRDefault="00E71A09" w:rsidP="00A61597">
            <w:pPr>
              <w:numPr>
                <w:ilvl w:val="0"/>
                <w:numId w:val="11"/>
              </w:numPr>
              <w:rPr>
                <w:rFonts w:cstheme="minorHAnsi"/>
                <w:lang w:eastAsia="en-GB"/>
              </w:rPr>
            </w:pPr>
            <w:r w:rsidRPr="00A61597">
              <w:rPr>
                <w:rFonts w:cstheme="minorHAnsi"/>
                <w:noProof/>
                <w:lang w:eastAsia="en-GB"/>
              </w:rPr>
              <w:t>Risk management</w:t>
            </w:r>
          </w:p>
          <w:p w14:paraId="0700CF5A" w14:textId="77777777" w:rsidR="00E71A09" w:rsidRPr="00E71A09" w:rsidRDefault="00E71A09" w:rsidP="006F42DC">
            <w:pPr>
              <w:numPr>
                <w:ilvl w:val="0"/>
                <w:numId w:val="11"/>
              </w:numPr>
              <w:rPr>
                <w:rFonts w:cstheme="minorHAnsi"/>
                <w:noProof/>
                <w:lang w:eastAsia="en-GB"/>
              </w:rPr>
            </w:pPr>
            <w:r w:rsidRPr="00E71A09">
              <w:rPr>
                <w:rFonts w:cstheme="minorHAnsi"/>
                <w:noProof/>
                <w:lang w:eastAsia="en-GB"/>
              </w:rPr>
              <w:lastRenderedPageBreak/>
              <w:t>Contract management performance</w:t>
            </w:r>
            <w:r w:rsidR="005305E0">
              <w:rPr>
                <w:rFonts w:cstheme="minorHAnsi"/>
                <w:noProof/>
                <w:lang w:eastAsia="en-GB"/>
              </w:rPr>
              <w:t>.</w:t>
            </w:r>
          </w:p>
          <w:p w14:paraId="451F55E9" w14:textId="77777777" w:rsidR="00D42C42" w:rsidRPr="009263D3" w:rsidRDefault="00D42C42" w:rsidP="00143F31">
            <w:pPr>
              <w:rPr>
                <w:rFonts w:cstheme="minorHAnsi"/>
                <w:b/>
                <w:noProof/>
                <w:lang w:eastAsia="en-GB"/>
              </w:rPr>
            </w:pPr>
          </w:p>
        </w:tc>
      </w:tr>
      <w:tr w:rsidR="00143F31" w:rsidRPr="009263D3" w14:paraId="59FF05B9" w14:textId="77777777" w:rsidTr="006F42DC">
        <w:trPr>
          <w:trHeight w:val="567"/>
        </w:trPr>
        <w:tc>
          <w:tcPr>
            <w:tcW w:w="11171" w:type="dxa"/>
            <w:shd w:val="clear" w:color="auto" w:fill="F2F2F2" w:themeFill="background1" w:themeFillShade="F2"/>
            <w:vAlign w:val="center"/>
          </w:tcPr>
          <w:p w14:paraId="648EEBF5" w14:textId="77777777" w:rsidR="00143F31" w:rsidRPr="009263D3" w:rsidRDefault="00E71A09" w:rsidP="00143F31">
            <w:pPr>
              <w:rPr>
                <w:rFonts w:cstheme="minorHAnsi"/>
                <w:b/>
                <w:noProof/>
                <w:lang w:eastAsia="en-GB"/>
              </w:rPr>
            </w:pPr>
            <w:r>
              <w:rPr>
                <w:rFonts w:cstheme="minorHAnsi"/>
                <w:b/>
              </w:rPr>
              <w:lastRenderedPageBreak/>
              <w:t>Contract Management</w:t>
            </w:r>
          </w:p>
        </w:tc>
      </w:tr>
      <w:tr w:rsidR="00143F31" w:rsidRPr="009263D3" w14:paraId="57F6F0A7" w14:textId="77777777" w:rsidTr="006F42DC">
        <w:trPr>
          <w:trHeight w:val="567"/>
        </w:trPr>
        <w:tc>
          <w:tcPr>
            <w:tcW w:w="11171" w:type="dxa"/>
          </w:tcPr>
          <w:p w14:paraId="278B5D61" w14:textId="791E871E" w:rsidR="00E71A09" w:rsidRDefault="00E71A09" w:rsidP="00E71A09">
            <w:pPr>
              <w:pStyle w:val="NoSpacing"/>
            </w:pPr>
            <w:r w:rsidRPr="00E71A09">
              <w:t xml:space="preserve">The University will manage its contracts in accordance with this </w:t>
            </w:r>
            <w:r>
              <w:t xml:space="preserve">Procurement </w:t>
            </w:r>
            <w:r w:rsidRPr="00E71A09">
              <w:t>Policy.</w:t>
            </w:r>
          </w:p>
          <w:p w14:paraId="288A1D8B" w14:textId="77777777" w:rsidR="00E71A09" w:rsidRDefault="00E71A09" w:rsidP="00E71A09">
            <w:pPr>
              <w:pStyle w:val="NoSpacing"/>
            </w:pPr>
          </w:p>
          <w:p w14:paraId="559C2607" w14:textId="41774928" w:rsidR="00E71A09" w:rsidRPr="00E71A09" w:rsidRDefault="00E71A09" w:rsidP="00E71A09">
            <w:pPr>
              <w:pStyle w:val="NoSpacing"/>
            </w:pPr>
            <w:r w:rsidRPr="00E71A09">
              <w:t xml:space="preserve">The University’s Contract Management framework identifies our key </w:t>
            </w:r>
            <w:proofErr w:type="gramStart"/>
            <w:r w:rsidRPr="00E71A09">
              <w:t>contracts</w:t>
            </w:r>
            <w:proofErr w:type="gramEnd"/>
            <w:r w:rsidRPr="00E71A09">
              <w:t xml:space="preserve"> and these will be managed and assured in accordance with the contract management model. This will ensure the commercial, legal, risk and performance obligations are </w:t>
            </w:r>
            <w:proofErr w:type="gramStart"/>
            <w:r w:rsidRPr="00E71A09">
              <w:t>met</w:t>
            </w:r>
            <w:proofErr w:type="gramEnd"/>
            <w:r w:rsidRPr="00E71A09">
              <w:t xml:space="preserve"> and the contracts deliver the required ongoing benefits to the University. Contracts will be let on terms and conditions agreed in advance by the University and the third</w:t>
            </w:r>
            <w:r w:rsidR="004862EE">
              <w:t>-</w:t>
            </w:r>
            <w:r w:rsidRPr="00E71A09">
              <w:t>party Supplier. Contracts must clearly detail performance obligations for both parties proportionate to the contract Value, Quality, Risk and Criticality.</w:t>
            </w:r>
          </w:p>
          <w:p w14:paraId="626BADC9" w14:textId="77777777" w:rsidR="00642778" w:rsidRPr="009263D3" w:rsidRDefault="00642778" w:rsidP="009C14AD">
            <w:pPr>
              <w:pStyle w:val="NoSpacing"/>
            </w:pPr>
          </w:p>
        </w:tc>
      </w:tr>
      <w:tr w:rsidR="00E721A0" w:rsidRPr="009263D3" w14:paraId="09BEBFAD" w14:textId="77777777" w:rsidTr="006F42DC">
        <w:trPr>
          <w:trHeight w:val="567"/>
        </w:trPr>
        <w:tc>
          <w:tcPr>
            <w:tcW w:w="11171" w:type="dxa"/>
            <w:shd w:val="clear" w:color="auto" w:fill="F2F2F2" w:themeFill="background1" w:themeFillShade="F2"/>
            <w:vAlign w:val="center"/>
          </w:tcPr>
          <w:p w14:paraId="377B2171" w14:textId="77777777" w:rsidR="00E721A0" w:rsidRDefault="009D1603" w:rsidP="001C400F">
            <w:pPr>
              <w:rPr>
                <w:rFonts w:cstheme="minorHAnsi"/>
                <w:b/>
              </w:rPr>
            </w:pPr>
            <w:r>
              <w:rPr>
                <w:rFonts w:cstheme="minorHAnsi"/>
                <w:b/>
              </w:rPr>
              <w:t xml:space="preserve">Approved </w:t>
            </w:r>
            <w:r w:rsidR="00E71A09">
              <w:rPr>
                <w:rFonts w:cstheme="minorHAnsi"/>
                <w:b/>
              </w:rPr>
              <w:t>System</w:t>
            </w:r>
            <w:r w:rsidR="001C400F">
              <w:rPr>
                <w:rFonts w:cstheme="minorHAnsi"/>
                <w:b/>
              </w:rPr>
              <w:t>s</w:t>
            </w:r>
          </w:p>
        </w:tc>
      </w:tr>
      <w:tr w:rsidR="00E721A0" w:rsidRPr="009263D3" w14:paraId="32D4633B" w14:textId="77777777" w:rsidTr="006F42DC">
        <w:trPr>
          <w:trHeight w:val="567"/>
        </w:trPr>
        <w:tc>
          <w:tcPr>
            <w:tcW w:w="11171" w:type="dxa"/>
            <w:shd w:val="clear" w:color="auto" w:fill="auto"/>
            <w:vAlign w:val="center"/>
          </w:tcPr>
          <w:p w14:paraId="75CBF83B" w14:textId="77777777" w:rsidR="009D1603" w:rsidRDefault="009D1603" w:rsidP="009D1603">
            <w:pPr>
              <w:spacing w:line="256" w:lineRule="auto"/>
              <w:jc w:val="both"/>
            </w:pPr>
            <w:r w:rsidRPr="009D1603">
              <w:t>Purchase Order</w:t>
            </w:r>
            <w:r w:rsidR="002353BC">
              <w:t xml:space="preserve">s should only be raised </w:t>
            </w:r>
            <w:r w:rsidRPr="009D1603">
              <w:t xml:space="preserve">via </w:t>
            </w:r>
            <w:r w:rsidRPr="006F42DC">
              <w:rPr>
                <w:b/>
              </w:rPr>
              <w:t>People and Money</w:t>
            </w:r>
            <w:r>
              <w:t xml:space="preserve">. </w:t>
            </w:r>
            <w:r w:rsidRPr="009D1603">
              <w:t xml:space="preserve">  </w:t>
            </w:r>
          </w:p>
          <w:p w14:paraId="2CFEEBF7" w14:textId="77777777" w:rsidR="009D1603" w:rsidRDefault="009D1603" w:rsidP="009D1603">
            <w:pPr>
              <w:spacing w:line="256" w:lineRule="auto"/>
              <w:jc w:val="both"/>
            </w:pPr>
          </w:p>
          <w:p w14:paraId="4AAF3860" w14:textId="77777777" w:rsidR="009D1603" w:rsidRDefault="009D1603" w:rsidP="009D1603">
            <w:pPr>
              <w:spacing w:line="256" w:lineRule="auto"/>
              <w:jc w:val="both"/>
            </w:pPr>
            <w:r>
              <w:t>The only exceptions are:</w:t>
            </w:r>
          </w:p>
          <w:p w14:paraId="3F1285F4" w14:textId="77777777" w:rsidR="009D1603" w:rsidRDefault="009D1603" w:rsidP="006F42DC">
            <w:pPr>
              <w:pStyle w:val="ListParagraph"/>
              <w:numPr>
                <w:ilvl w:val="0"/>
                <w:numId w:val="12"/>
              </w:numPr>
              <w:spacing w:line="256" w:lineRule="auto"/>
              <w:jc w:val="both"/>
            </w:pPr>
            <w:r>
              <w:t xml:space="preserve">Alma (approved for </w:t>
            </w:r>
            <w:r w:rsidR="006F42DC">
              <w:t>p</w:t>
            </w:r>
            <w:r>
              <w:t>urchase orders relating to Library and Subscriptions only)</w:t>
            </w:r>
          </w:p>
          <w:p w14:paraId="44A9BBA1" w14:textId="77777777" w:rsidR="009D1603" w:rsidRPr="009D1603" w:rsidRDefault="009D1603" w:rsidP="006F42DC">
            <w:pPr>
              <w:pStyle w:val="ListParagraph"/>
              <w:numPr>
                <w:ilvl w:val="0"/>
                <w:numId w:val="12"/>
              </w:numPr>
              <w:spacing w:line="256" w:lineRule="auto"/>
              <w:jc w:val="both"/>
            </w:pPr>
            <w:r>
              <w:t>Saffron (approved for purchase order relating to food ingredients for delivered catering only)</w:t>
            </w:r>
            <w:r w:rsidR="005305E0">
              <w:t>.</w:t>
            </w:r>
          </w:p>
          <w:p w14:paraId="3E8FEF19" w14:textId="77777777" w:rsidR="00E721A0" w:rsidRPr="009263D3" w:rsidRDefault="00E721A0" w:rsidP="00E721A0">
            <w:pPr>
              <w:rPr>
                <w:rFonts w:cstheme="minorHAnsi"/>
                <w:b/>
              </w:rPr>
            </w:pPr>
          </w:p>
        </w:tc>
      </w:tr>
      <w:tr w:rsidR="006F42DC" w:rsidRPr="009263D3" w14:paraId="3B7689DB" w14:textId="77777777" w:rsidTr="006F42DC">
        <w:trPr>
          <w:trHeight w:val="567"/>
        </w:trPr>
        <w:tc>
          <w:tcPr>
            <w:tcW w:w="11171" w:type="dxa"/>
            <w:shd w:val="clear" w:color="auto" w:fill="F2F2F2" w:themeFill="background1" w:themeFillShade="F2"/>
            <w:vAlign w:val="center"/>
          </w:tcPr>
          <w:p w14:paraId="18EF9D69" w14:textId="77777777" w:rsidR="006F42DC" w:rsidRDefault="006F42DC" w:rsidP="00143F31">
            <w:pPr>
              <w:rPr>
                <w:rFonts w:cstheme="minorHAnsi"/>
                <w:b/>
                <w:noProof/>
                <w:lang w:eastAsia="en-GB"/>
              </w:rPr>
            </w:pPr>
            <w:r>
              <w:rPr>
                <w:rFonts w:cstheme="minorHAnsi"/>
                <w:b/>
                <w:noProof/>
                <w:lang w:eastAsia="en-GB"/>
              </w:rPr>
              <w:t>Purchase Orders</w:t>
            </w:r>
          </w:p>
        </w:tc>
      </w:tr>
      <w:tr w:rsidR="006F42DC" w:rsidRPr="009263D3" w14:paraId="5D103DEB" w14:textId="77777777" w:rsidTr="006F42DC">
        <w:trPr>
          <w:trHeight w:val="567"/>
        </w:trPr>
        <w:tc>
          <w:tcPr>
            <w:tcW w:w="11171" w:type="dxa"/>
            <w:shd w:val="clear" w:color="auto" w:fill="F2F2F2" w:themeFill="background1" w:themeFillShade="F2"/>
            <w:vAlign w:val="center"/>
          </w:tcPr>
          <w:p w14:paraId="4D935FB0" w14:textId="77777777" w:rsidR="006F42DC" w:rsidRPr="006F42DC" w:rsidRDefault="006F42DC" w:rsidP="006F42DC">
            <w:pPr>
              <w:shd w:val="clear" w:color="auto" w:fill="FFFFFF" w:themeFill="background1"/>
              <w:rPr>
                <w:rFonts w:cstheme="minorHAnsi"/>
                <w:noProof/>
                <w:lang w:eastAsia="en-GB"/>
              </w:rPr>
            </w:pPr>
            <w:r w:rsidRPr="006F42DC">
              <w:rPr>
                <w:rFonts w:cstheme="minorHAnsi"/>
                <w:noProof/>
                <w:lang w:eastAsia="en-GB"/>
              </w:rPr>
              <w:t xml:space="preserve">All University Purchase Orders must be raised on People and Money. </w:t>
            </w:r>
          </w:p>
          <w:p w14:paraId="29CAC791" w14:textId="77777777" w:rsidR="006F42DC" w:rsidRPr="006F42DC" w:rsidRDefault="006F42DC" w:rsidP="006F42DC">
            <w:pPr>
              <w:shd w:val="clear" w:color="auto" w:fill="FFFFFF" w:themeFill="background1"/>
              <w:rPr>
                <w:rFonts w:cstheme="minorHAnsi"/>
                <w:noProof/>
                <w:lang w:eastAsia="en-GB"/>
              </w:rPr>
            </w:pPr>
          </w:p>
          <w:p w14:paraId="6356DD57" w14:textId="77777777" w:rsidR="006F42DC" w:rsidRPr="006F42DC" w:rsidRDefault="006F42DC" w:rsidP="006F42DC">
            <w:pPr>
              <w:shd w:val="clear" w:color="auto" w:fill="FFFFFF" w:themeFill="background1"/>
              <w:rPr>
                <w:rFonts w:cstheme="minorHAnsi"/>
                <w:noProof/>
                <w:lang w:eastAsia="en-GB"/>
              </w:rPr>
            </w:pPr>
            <w:r w:rsidRPr="006F42DC">
              <w:rPr>
                <w:rFonts w:cstheme="minorHAnsi"/>
                <w:noProof/>
                <w:lang w:eastAsia="en-GB"/>
              </w:rPr>
              <w:t>People and Money purchase orders will be raise</w:t>
            </w:r>
            <w:r w:rsidR="00ED580C">
              <w:rPr>
                <w:rFonts w:cstheme="minorHAnsi"/>
                <w:noProof/>
                <w:lang w:eastAsia="en-GB"/>
              </w:rPr>
              <w:t>d</w:t>
            </w:r>
            <w:r w:rsidRPr="006F42DC">
              <w:rPr>
                <w:rFonts w:cstheme="minorHAnsi"/>
                <w:noProof/>
                <w:lang w:eastAsia="en-GB"/>
              </w:rPr>
              <w:t xml:space="preserve"> by Procurement.</w:t>
            </w:r>
          </w:p>
          <w:p w14:paraId="16764061" w14:textId="77777777" w:rsidR="006F42DC" w:rsidRPr="006F42DC" w:rsidRDefault="006F42DC" w:rsidP="006F42DC">
            <w:pPr>
              <w:shd w:val="clear" w:color="auto" w:fill="FFFFFF" w:themeFill="background1"/>
              <w:rPr>
                <w:rFonts w:cstheme="minorHAnsi"/>
                <w:noProof/>
                <w:lang w:eastAsia="en-GB"/>
              </w:rPr>
            </w:pPr>
          </w:p>
          <w:p w14:paraId="519080AF" w14:textId="68A53F0D" w:rsidR="006F42DC" w:rsidRDefault="00C07BA9" w:rsidP="006F42DC">
            <w:pPr>
              <w:shd w:val="clear" w:color="auto" w:fill="FFFFFF" w:themeFill="background1"/>
              <w:rPr>
                <w:rFonts w:cstheme="minorHAnsi"/>
                <w:noProof/>
                <w:lang w:eastAsia="en-GB"/>
              </w:rPr>
            </w:pPr>
            <w:r>
              <w:rPr>
                <w:rFonts w:cstheme="minorHAnsi"/>
                <w:noProof/>
                <w:lang w:eastAsia="en-GB"/>
              </w:rPr>
              <w:t xml:space="preserve">No </w:t>
            </w:r>
            <w:r w:rsidR="006F42DC" w:rsidRPr="006F42DC">
              <w:rPr>
                <w:rFonts w:cstheme="minorHAnsi"/>
                <w:noProof/>
                <w:lang w:eastAsia="en-GB"/>
              </w:rPr>
              <w:t>commitment should be given to a third</w:t>
            </w:r>
            <w:r w:rsidR="00C946E7">
              <w:rPr>
                <w:rFonts w:cstheme="minorHAnsi"/>
                <w:noProof/>
                <w:lang w:eastAsia="en-GB"/>
              </w:rPr>
              <w:t>-</w:t>
            </w:r>
            <w:r w:rsidR="006F42DC" w:rsidRPr="006F42DC">
              <w:rPr>
                <w:rFonts w:cstheme="minorHAnsi"/>
                <w:noProof/>
                <w:lang w:eastAsia="en-GB"/>
              </w:rPr>
              <w:t>party supplier without a valid People and Money Purchase Order</w:t>
            </w:r>
            <w:r w:rsidR="005305E0">
              <w:rPr>
                <w:rFonts w:cstheme="minorHAnsi"/>
                <w:noProof/>
                <w:lang w:eastAsia="en-GB"/>
              </w:rPr>
              <w:t>.</w:t>
            </w:r>
          </w:p>
          <w:p w14:paraId="2FA5A34D" w14:textId="77777777" w:rsidR="00A61597" w:rsidRPr="00C07BA9" w:rsidRDefault="00A61597" w:rsidP="006F42DC">
            <w:pPr>
              <w:shd w:val="clear" w:color="auto" w:fill="FFFFFF" w:themeFill="background1"/>
              <w:rPr>
                <w:rFonts w:cstheme="minorHAnsi"/>
                <w:noProof/>
                <w:lang w:eastAsia="en-GB"/>
              </w:rPr>
            </w:pPr>
          </w:p>
          <w:p w14:paraId="00767FC4" w14:textId="77777777" w:rsidR="00A61597" w:rsidRDefault="00A61597" w:rsidP="00C07BA9">
            <w:pPr>
              <w:shd w:val="clear" w:color="auto" w:fill="FFFFFF" w:themeFill="background1"/>
              <w:rPr>
                <w:rFonts w:cstheme="minorHAnsi"/>
                <w:b/>
                <w:noProof/>
                <w:lang w:eastAsia="en-GB"/>
              </w:rPr>
            </w:pPr>
            <w:r w:rsidRPr="00C07BA9">
              <w:rPr>
                <w:rFonts w:cstheme="minorHAnsi"/>
                <w:noProof/>
                <w:lang w:eastAsia="en-GB"/>
              </w:rPr>
              <w:t>In the case of an out</w:t>
            </w:r>
            <w:r w:rsidR="00277529" w:rsidRPr="00C07BA9">
              <w:rPr>
                <w:rFonts w:cstheme="minorHAnsi"/>
                <w:noProof/>
                <w:lang w:eastAsia="en-GB"/>
              </w:rPr>
              <w:t>-</w:t>
            </w:r>
            <w:r w:rsidRPr="00C07BA9">
              <w:rPr>
                <w:rFonts w:cstheme="minorHAnsi"/>
                <w:noProof/>
                <w:lang w:eastAsia="en-GB"/>
              </w:rPr>
              <w:t>of</w:t>
            </w:r>
            <w:r w:rsidR="00277529" w:rsidRPr="00C07BA9">
              <w:rPr>
                <w:rFonts w:cstheme="minorHAnsi"/>
                <w:noProof/>
                <w:lang w:eastAsia="en-GB"/>
              </w:rPr>
              <w:t>-</w:t>
            </w:r>
            <w:r w:rsidRPr="00C07BA9">
              <w:rPr>
                <w:rFonts w:cstheme="minorHAnsi"/>
                <w:noProof/>
                <w:lang w:eastAsia="en-GB"/>
              </w:rPr>
              <w:t>normal</w:t>
            </w:r>
            <w:r w:rsidR="00277529" w:rsidRPr="00C07BA9">
              <w:rPr>
                <w:rFonts w:cstheme="minorHAnsi"/>
                <w:noProof/>
                <w:lang w:eastAsia="en-GB"/>
              </w:rPr>
              <w:t>-</w:t>
            </w:r>
            <w:r w:rsidRPr="00C07BA9">
              <w:rPr>
                <w:rFonts w:cstheme="minorHAnsi"/>
                <w:noProof/>
                <w:lang w:eastAsia="en-GB"/>
              </w:rPr>
              <w:t>working</w:t>
            </w:r>
            <w:r w:rsidR="00277529" w:rsidRPr="00C07BA9">
              <w:rPr>
                <w:rFonts w:cstheme="minorHAnsi"/>
                <w:noProof/>
                <w:lang w:eastAsia="en-GB"/>
              </w:rPr>
              <w:t>-</w:t>
            </w:r>
            <w:r w:rsidRPr="00C07BA9">
              <w:rPr>
                <w:rFonts w:cstheme="minorHAnsi"/>
                <w:noProof/>
                <w:lang w:eastAsia="en-GB"/>
              </w:rPr>
              <w:t>hours situation where an emergency commitment needs to be given to a supplier</w:t>
            </w:r>
            <w:r w:rsidR="005305E0">
              <w:rPr>
                <w:rFonts w:cstheme="minorHAnsi"/>
                <w:noProof/>
                <w:lang w:eastAsia="en-GB"/>
              </w:rPr>
              <w:t>,</w:t>
            </w:r>
            <w:r w:rsidRPr="00C07BA9">
              <w:rPr>
                <w:rFonts w:cstheme="minorHAnsi"/>
                <w:noProof/>
                <w:lang w:eastAsia="en-GB"/>
              </w:rPr>
              <w:t xml:space="preserve"> this can be done and the appropriate requ</w:t>
            </w:r>
            <w:r w:rsidR="005305E0">
              <w:rPr>
                <w:rFonts w:cstheme="minorHAnsi"/>
                <w:noProof/>
                <w:lang w:eastAsia="en-GB"/>
              </w:rPr>
              <w:t>i</w:t>
            </w:r>
            <w:r w:rsidRPr="00C07BA9">
              <w:rPr>
                <w:rFonts w:cstheme="minorHAnsi"/>
                <w:noProof/>
                <w:lang w:eastAsia="en-GB"/>
              </w:rPr>
              <w:t xml:space="preserve">sition needs to be completed </w:t>
            </w:r>
            <w:r w:rsidR="00277529" w:rsidRPr="00C07BA9">
              <w:rPr>
                <w:rFonts w:cstheme="minorHAnsi"/>
                <w:noProof/>
                <w:lang w:eastAsia="en-GB"/>
              </w:rPr>
              <w:t xml:space="preserve">in People and Money </w:t>
            </w:r>
            <w:r w:rsidRPr="00C07BA9">
              <w:rPr>
                <w:rFonts w:cstheme="minorHAnsi"/>
                <w:noProof/>
                <w:lang w:eastAsia="en-GB"/>
              </w:rPr>
              <w:t>the next working da</w:t>
            </w:r>
            <w:r w:rsidR="00D64687" w:rsidRPr="00C07BA9">
              <w:rPr>
                <w:rFonts w:cstheme="minorHAnsi"/>
                <w:noProof/>
                <w:lang w:eastAsia="en-GB"/>
              </w:rPr>
              <w:t>y</w:t>
            </w:r>
            <w:r w:rsidRPr="00C07BA9">
              <w:rPr>
                <w:rFonts w:cstheme="minorHAnsi"/>
                <w:noProof/>
                <w:lang w:eastAsia="en-GB"/>
              </w:rPr>
              <w:t xml:space="preserve"> to cover this retrospective commitment</w:t>
            </w:r>
            <w:r w:rsidR="00277529" w:rsidRPr="00C07BA9">
              <w:rPr>
                <w:rFonts w:cstheme="minorHAnsi"/>
                <w:noProof/>
                <w:lang w:eastAsia="en-GB"/>
              </w:rPr>
              <w:t xml:space="preserve"> which is then, retrospectively,</w:t>
            </w:r>
            <w:r w:rsidR="002353BC" w:rsidRPr="00C07BA9">
              <w:rPr>
                <w:rFonts w:cstheme="minorHAnsi"/>
                <w:noProof/>
                <w:lang w:eastAsia="en-GB"/>
              </w:rPr>
              <w:t xml:space="preserve"> subject to the usual approval and the raising of a retrospective purchase order to the supplier to invoice against.</w:t>
            </w:r>
          </w:p>
        </w:tc>
      </w:tr>
      <w:tr w:rsidR="009D1603" w:rsidRPr="009263D3" w14:paraId="3443B3EE" w14:textId="77777777" w:rsidTr="006F42DC">
        <w:trPr>
          <w:trHeight w:val="567"/>
        </w:trPr>
        <w:tc>
          <w:tcPr>
            <w:tcW w:w="11171" w:type="dxa"/>
            <w:shd w:val="clear" w:color="auto" w:fill="F2F2F2" w:themeFill="background1" w:themeFillShade="F2"/>
            <w:vAlign w:val="center"/>
          </w:tcPr>
          <w:p w14:paraId="532457A8" w14:textId="77777777" w:rsidR="009D1603" w:rsidRDefault="009D1603" w:rsidP="00143F31">
            <w:pPr>
              <w:rPr>
                <w:rFonts w:cstheme="minorHAnsi"/>
                <w:b/>
                <w:noProof/>
                <w:lang w:eastAsia="en-GB"/>
              </w:rPr>
            </w:pPr>
            <w:r>
              <w:rPr>
                <w:rFonts w:cstheme="minorHAnsi"/>
                <w:b/>
                <w:noProof/>
                <w:lang w:eastAsia="en-GB"/>
              </w:rPr>
              <w:t>Financial Approval</w:t>
            </w:r>
          </w:p>
        </w:tc>
      </w:tr>
      <w:tr w:rsidR="009D1603" w:rsidRPr="009263D3" w14:paraId="2B9A1DD3" w14:textId="77777777" w:rsidTr="006F42DC">
        <w:trPr>
          <w:trHeight w:val="567"/>
        </w:trPr>
        <w:tc>
          <w:tcPr>
            <w:tcW w:w="11171" w:type="dxa"/>
            <w:shd w:val="clear" w:color="auto" w:fill="FFFFFF" w:themeFill="background1"/>
            <w:vAlign w:val="center"/>
          </w:tcPr>
          <w:p w14:paraId="245A7A85" w14:textId="77777777" w:rsidR="009D1603" w:rsidRPr="009D1603" w:rsidRDefault="009D1603" w:rsidP="009D1603">
            <w:r w:rsidRPr="009D1603">
              <w:t>The Procurement of Goods, Services and</w:t>
            </w:r>
            <w:r w:rsidR="00C07BA9">
              <w:t xml:space="preserve"> </w:t>
            </w:r>
            <w:r w:rsidRPr="009D1603">
              <w:t>W</w:t>
            </w:r>
            <w:r w:rsidR="00C07BA9">
              <w:t xml:space="preserve">orks </w:t>
            </w:r>
            <w:r w:rsidRPr="009D1603">
              <w:t xml:space="preserve">is committed on behalf of the legal entity the University Court of the University of Edinburgh and financial approvals must be in accordance with the University </w:t>
            </w:r>
            <w:hyperlink r:id="rId17" w:history="1">
              <w:r w:rsidRPr="009D1603">
                <w:t>Delegated Authorisation Schedule</w:t>
              </w:r>
            </w:hyperlink>
            <w:r w:rsidRPr="009D1603">
              <w:t>, or the equivalent for subsidiary companies.</w:t>
            </w:r>
          </w:p>
          <w:p w14:paraId="3E1AF79D" w14:textId="77777777" w:rsidR="009D1603" w:rsidRDefault="009D1603" w:rsidP="00143F31">
            <w:pPr>
              <w:rPr>
                <w:rFonts w:cstheme="minorHAnsi"/>
                <w:b/>
                <w:noProof/>
                <w:lang w:eastAsia="en-GB"/>
              </w:rPr>
            </w:pPr>
          </w:p>
        </w:tc>
      </w:tr>
      <w:tr w:rsidR="009D1603" w:rsidRPr="009263D3" w14:paraId="37AF90E8" w14:textId="77777777" w:rsidTr="006F42DC">
        <w:trPr>
          <w:trHeight w:val="567"/>
        </w:trPr>
        <w:tc>
          <w:tcPr>
            <w:tcW w:w="11171" w:type="dxa"/>
            <w:shd w:val="clear" w:color="auto" w:fill="F2F2F2" w:themeFill="background1" w:themeFillShade="F2"/>
            <w:vAlign w:val="center"/>
          </w:tcPr>
          <w:p w14:paraId="5276EEAF" w14:textId="77777777" w:rsidR="009D1603" w:rsidRPr="009263D3" w:rsidRDefault="009D1603" w:rsidP="00143F31">
            <w:pPr>
              <w:rPr>
                <w:rFonts w:cstheme="minorHAnsi"/>
                <w:b/>
                <w:noProof/>
                <w:lang w:eastAsia="en-GB"/>
              </w:rPr>
            </w:pPr>
            <w:r>
              <w:rPr>
                <w:rFonts w:cstheme="minorHAnsi"/>
                <w:b/>
                <w:noProof/>
                <w:lang w:eastAsia="en-GB"/>
              </w:rPr>
              <w:t>Roles and Responsibilities</w:t>
            </w:r>
          </w:p>
        </w:tc>
      </w:tr>
      <w:tr w:rsidR="009D1603" w:rsidRPr="009263D3" w14:paraId="6FB0E78B" w14:textId="77777777" w:rsidTr="006F42DC">
        <w:trPr>
          <w:trHeight w:val="567"/>
        </w:trPr>
        <w:tc>
          <w:tcPr>
            <w:tcW w:w="11171" w:type="dxa"/>
            <w:shd w:val="clear" w:color="auto" w:fill="FFFFFF" w:themeFill="background1"/>
            <w:vAlign w:val="center"/>
          </w:tcPr>
          <w:tbl>
            <w:tblPr>
              <w:tblStyle w:val="TableGrid"/>
              <w:tblW w:w="10945" w:type="dxa"/>
              <w:tblLook w:val="04A0" w:firstRow="1" w:lastRow="0" w:firstColumn="1" w:lastColumn="0" w:noHBand="0" w:noVBand="1"/>
            </w:tblPr>
            <w:tblGrid>
              <w:gridCol w:w="2156"/>
              <w:gridCol w:w="8789"/>
            </w:tblGrid>
            <w:tr w:rsidR="006F42DC" w14:paraId="6BC626C7" w14:textId="77777777" w:rsidTr="006F42DC">
              <w:tc>
                <w:tcPr>
                  <w:tcW w:w="2156" w:type="dxa"/>
                  <w:tcBorders>
                    <w:top w:val="single" w:sz="4" w:space="0" w:color="auto"/>
                    <w:left w:val="single" w:sz="4" w:space="0" w:color="auto"/>
                    <w:bottom w:val="single" w:sz="4" w:space="0" w:color="auto"/>
                    <w:right w:val="single" w:sz="4" w:space="0" w:color="auto"/>
                  </w:tcBorders>
                  <w:hideMark/>
                </w:tcPr>
                <w:p w14:paraId="6556EC3F" w14:textId="77777777" w:rsidR="006F42DC" w:rsidRPr="006F42DC" w:rsidRDefault="006F42DC" w:rsidP="006F42DC">
                  <w:pPr>
                    <w:jc w:val="both"/>
                    <w:rPr>
                      <w:b/>
                    </w:rPr>
                  </w:pPr>
                  <w:r w:rsidRPr="006F42DC">
                    <w:rPr>
                      <w:b/>
                    </w:rPr>
                    <w:t>University Court</w:t>
                  </w:r>
                </w:p>
              </w:tc>
              <w:tc>
                <w:tcPr>
                  <w:tcW w:w="8789" w:type="dxa"/>
                  <w:tcBorders>
                    <w:top w:val="single" w:sz="4" w:space="0" w:color="auto"/>
                    <w:left w:val="single" w:sz="4" w:space="0" w:color="auto"/>
                    <w:bottom w:val="single" w:sz="4" w:space="0" w:color="auto"/>
                    <w:right w:val="single" w:sz="4" w:space="0" w:color="auto"/>
                  </w:tcBorders>
                  <w:hideMark/>
                </w:tcPr>
                <w:p w14:paraId="52B2102A" w14:textId="77777777" w:rsidR="006F42DC" w:rsidRDefault="006F42DC" w:rsidP="006F42DC">
                  <w:pPr>
                    <w:pStyle w:val="ListParagraph"/>
                    <w:numPr>
                      <w:ilvl w:val="0"/>
                      <w:numId w:val="13"/>
                    </w:numPr>
                    <w:jc w:val="both"/>
                  </w:pPr>
                  <w:r>
                    <w:t>Delegates financial authorisation</w:t>
                  </w:r>
                </w:p>
                <w:p w14:paraId="14230EF3" w14:textId="77777777" w:rsidR="006F42DC" w:rsidRDefault="006F42DC" w:rsidP="006F42DC">
                  <w:pPr>
                    <w:pStyle w:val="ListParagraph"/>
                    <w:numPr>
                      <w:ilvl w:val="0"/>
                      <w:numId w:val="13"/>
                    </w:numPr>
                    <w:jc w:val="both"/>
                  </w:pPr>
                  <w:r>
                    <w:t>Approves the University Delegated Authorisation Schedule</w:t>
                  </w:r>
                </w:p>
                <w:p w14:paraId="20014524" w14:textId="77777777" w:rsidR="006F42DC" w:rsidRDefault="006F42DC" w:rsidP="006F42DC">
                  <w:pPr>
                    <w:pStyle w:val="ListParagraph"/>
                    <w:numPr>
                      <w:ilvl w:val="0"/>
                      <w:numId w:val="13"/>
                    </w:numPr>
                    <w:jc w:val="both"/>
                  </w:pPr>
                  <w:r>
                    <w:t>Approves the University Procurement Policy</w:t>
                  </w:r>
                </w:p>
              </w:tc>
            </w:tr>
            <w:tr w:rsidR="006F42DC" w14:paraId="035D5A22" w14:textId="77777777" w:rsidTr="006F42DC">
              <w:tc>
                <w:tcPr>
                  <w:tcW w:w="2156" w:type="dxa"/>
                  <w:tcBorders>
                    <w:top w:val="single" w:sz="4" w:space="0" w:color="auto"/>
                    <w:left w:val="single" w:sz="4" w:space="0" w:color="auto"/>
                    <w:bottom w:val="single" w:sz="4" w:space="0" w:color="auto"/>
                    <w:right w:val="single" w:sz="4" w:space="0" w:color="auto"/>
                  </w:tcBorders>
                  <w:hideMark/>
                </w:tcPr>
                <w:p w14:paraId="2BCAA30B" w14:textId="77777777" w:rsidR="006F42DC" w:rsidRPr="006F42DC" w:rsidRDefault="006F42DC" w:rsidP="006F42DC">
                  <w:pPr>
                    <w:jc w:val="both"/>
                    <w:rPr>
                      <w:b/>
                    </w:rPr>
                  </w:pPr>
                  <w:r w:rsidRPr="006F42DC">
                    <w:rPr>
                      <w:b/>
                    </w:rPr>
                    <w:t>Procurement Director</w:t>
                  </w:r>
                </w:p>
              </w:tc>
              <w:tc>
                <w:tcPr>
                  <w:tcW w:w="8789" w:type="dxa"/>
                  <w:tcBorders>
                    <w:top w:val="single" w:sz="4" w:space="0" w:color="auto"/>
                    <w:left w:val="single" w:sz="4" w:space="0" w:color="auto"/>
                    <w:bottom w:val="single" w:sz="4" w:space="0" w:color="auto"/>
                    <w:right w:val="single" w:sz="4" w:space="0" w:color="auto"/>
                  </w:tcBorders>
                  <w:hideMark/>
                </w:tcPr>
                <w:p w14:paraId="17DDB57D" w14:textId="77777777" w:rsidR="006F42DC" w:rsidRDefault="006F42DC" w:rsidP="006F42DC">
                  <w:pPr>
                    <w:pStyle w:val="ListParagraph"/>
                    <w:numPr>
                      <w:ilvl w:val="0"/>
                      <w:numId w:val="14"/>
                    </w:numPr>
                    <w:jc w:val="both"/>
                  </w:pPr>
                  <w:r>
                    <w:t>Responsib</w:t>
                  </w:r>
                  <w:r w:rsidR="002672CE">
                    <w:t>le</w:t>
                  </w:r>
                  <w:r>
                    <w:t xml:space="preserve"> for University Procurement Strategy</w:t>
                  </w:r>
                </w:p>
                <w:p w14:paraId="2F8843BE" w14:textId="77777777" w:rsidR="006F42DC" w:rsidRDefault="006F42DC" w:rsidP="006F42DC">
                  <w:pPr>
                    <w:pStyle w:val="ListParagraph"/>
                    <w:numPr>
                      <w:ilvl w:val="0"/>
                      <w:numId w:val="14"/>
                    </w:numPr>
                    <w:jc w:val="both"/>
                  </w:pPr>
                  <w:r>
                    <w:t>Responsib</w:t>
                  </w:r>
                  <w:r w:rsidR="002672CE">
                    <w:t>le</w:t>
                  </w:r>
                  <w:r>
                    <w:t xml:space="preserve"> for University Procurement Policy and Procedures</w:t>
                  </w:r>
                </w:p>
                <w:p w14:paraId="199BA6DE" w14:textId="77777777" w:rsidR="006F42DC" w:rsidRDefault="006F42DC" w:rsidP="002672CE">
                  <w:pPr>
                    <w:pStyle w:val="ListParagraph"/>
                    <w:numPr>
                      <w:ilvl w:val="0"/>
                      <w:numId w:val="14"/>
                    </w:numPr>
                    <w:jc w:val="both"/>
                  </w:pPr>
                  <w:r>
                    <w:t>Responsib</w:t>
                  </w:r>
                  <w:r w:rsidR="002672CE">
                    <w:t>le</w:t>
                  </w:r>
                  <w:r>
                    <w:t xml:space="preserve"> for University Procurement department and its operations </w:t>
                  </w:r>
                </w:p>
              </w:tc>
            </w:tr>
            <w:tr w:rsidR="006F42DC" w14:paraId="1FE588E3" w14:textId="77777777" w:rsidTr="006F42DC">
              <w:tc>
                <w:tcPr>
                  <w:tcW w:w="2156" w:type="dxa"/>
                  <w:tcBorders>
                    <w:top w:val="single" w:sz="4" w:space="0" w:color="auto"/>
                    <w:left w:val="single" w:sz="4" w:space="0" w:color="auto"/>
                    <w:bottom w:val="single" w:sz="4" w:space="0" w:color="auto"/>
                    <w:right w:val="single" w:sz="4" w:space="0" w:color="auto"/>
                  </w:tcBorders>
                  <w:hideMark/>
                </w:tcPr>
                <w:p w14:paraId="2F5788C5" w14:textId="77777777" w:rsidR="006F42DC" w:rsidRPr="006F42DC" w:rsidRDefault="006F42DC" w:rsidP="006F42DC">
                  <w:pPr>
                    <w:rPr>
                      <w:b/>
                    </w:rPr>
                  </w:pPr>
                  <w:r w:rsidRPr="006F42DC">
                    <w:rPr>
                      <w:b/>
                    </w:rPr>
                    <w:t xml:space="preserve">Specialist </w:t>
                  </w:r>
                  <w:r>
                    <w:rPr>
                      <w:b/>
                    </w:rPr>
                    <w:t>P</w:t>
                  </w:r>
                  <w:r w:rsidRPr="006F42DC">
                    <w:rPr>
                      <w:b/>
                    </w:rPr>
                    <w:t xml:space="preserve">rocurement staff in the Procurement department </w:t>
                  </w:r>
                </w:p>
                <w:p w14:paraId="4C26ACCE" w14:textId="77777777" w:rsidR="006F42DC" w:rsidRPr="006F42DC" w:rsidRDefault="006F42DC" w:rsidP="006F42DC">
                  <w:pPr>
                    <w:rPr>
                      <w:b/>
                    </w:rPr>
                  </w:pPr>
                  <w:r w:rsidRPr="006F42DC">
                    <w:rPr>
                      <w:b/>
                    </w:rPr>
                    <w:t>(</w:t>
                  </w:r>
                  <w:proofErr w:type="gramStart"/>
                  <w:r w:rsidRPr="006F42DC">
                    <w:rPr>
                      <w:b/>
                    </w:rPr>
                    <w:t>acting</w:t>
                  </w:r>
                  <w:proofErr w:type="gramEnd"/>
                  <w:r w:rsidRPr="006F42DC">
                    <w:rPr>
                      <w:b/>
                    </w:rPr>
                    <w:t xml:space="preserve"> within Policy)</w:t>
                  </w:r>
                </w:p>
              </w:tc>
              <w:tc>
                <w:tcPr>
                  <w:tcW w:w="8789" w:type="dxa"/>
                  <w:tcBorders>
                    <w:top w:val="single" w:sz="4" w:space="0" w:color="auto"/>
                    <w:left w:val="single" w:sz="4" w:space="0" w:color="auto"/>
                    <w:bottom w:val="single" w:sz="4" w:space="0" w:color="auto"/>
                    <w:right w:val="single" w:sz="4" w:space="0" w:color="auto"/>
                  </w:tcBorders>
                  <w:hideMark/>
                </w:tcPr>
                <w:p w14:paraId="02C0405E" w14:textId="77777777" w:rsidR="006F42DC" w:rsidRDefault="006F42DC" w:rsidP="006F42DC">
                  <w:pPr>
                    <w:pStyle w:val="ListParagraph"/>
                    <w:numPr>
                      <w:ilvl w:val="0"/>
                      <w:numId w:val="15"/>
                    </w:numPr>
                    <w:jc w:val="both"/>
                  </w:pPr>
                  <w:r>
                    <w:t>Leads procurement and sourcing activity on behalf of the University</w:t>
                  </w:r>
                </w:p>
                <w:p w14:paraId="24720E59" w14:textId="77777777" w:rsidR="006F42DC" w:rsidRDefault="00565AC9" w:rsidP="006F42DC">
                  <w:pPr>
                    <w:pStyle w:val="ListParagraph"/>
                    <w:numPr>
                      <w:ilvl w:val="0"/>
                      <w:numId w:val="15"/>
                    </w:numPr>
                    <w:jc w:val="both"/>
                  </w:pPr>
                  <w:r>
                    <w:t>Leads</w:t>
                  </w:r>
                  <w:r w:rsidR="006F42DC">
                    <w:t xml:space="preserve"> supplier due diligence</w:t>
                  </w:r>
                </w:p>
                <w:p w14:paraId="469D28A7" w14:textId="77777777" w:rsidR="006F42DC" w:rsidRDefault="006F42DC" w:rsidP="006F42DC">
                  <w:pPr>
                    <w:pStyle w:val="ListParagraph"/>
                    <w:numPr>
                      <w:ilvl w:val="0"/>
                      <w:numId w:val="15"/>
                    </w:numPr>
                    <w:jc w:val="both"/>
                  </w:pPr>
                  <w:r>
                    <w:t>Leads the negotiation, agreement and adoption of contracts and framework agreements</w:t>
                  </w:r>
                  <w:r w:rsidR="00ED580C">
                    <w:t xml:space="preserve"> </w:t>
                  </w:r>
                </w:p>
                <w:p w14:paraId="162D619E" w14:textId="77777777" w:rsidR="006F42DC" w:rsidRDefault="006F42DC" w:rsidP="006F42DC">
                  <w:pPr>
                    <w:pStyle w:val="ListParagraph"/>
                    <w:numPr>
                      <w:ilvl w:val="0"/>
                      <w:numId w:val="15"/>
                    </w:numPr>
                    <w:jc w:val="both"/>
                  </w:pPr>
                  <w:r>
                    <w:t>Develops sourcing category strategies and appointment of approved suppliers</w:t>
                  </w:r>
                </w:p>
                <w:p w14:paraId="6606A0CB" w14:textId="77777777" w:rsidR="006F42DC" w:rsidRDefault="006F42DC" w:rsidP="006F42DC">
                  <w:pPr>
                    <w:pStyle w:val="ListParagraph"/>
                    <w:numPr>
                      <w:ilvl w:val="0"/>
                      <w:numId w:val="15"/>
                    </w:numPr>
                    <w:jc w:val="both"/>
                  </w:pPr>
                  <w:r>
                    <w:t>Manage</w:t>
                  </w:r>
                  <w:r w:rsidR="002672CE">
                    <w:t>s</w:t>
                  </w:r>
                  <w:r>
                    <w:t xml:space="preserve"> key contracts</w:t>
                  </w:r>
                </w:p>
                <w:p w14:paraId="27538701" w14:textId="77777777" w:rsidR="006F42DC" w:rsidRDefault="006F42DC" w:rsidP="006F42DC">
                  <w:pPr>
                    <w:pStyle w:val="ListParagraph"/>
                    <w:numPr>
                      <w:ilvl w:val="0"/>
                      <w:numId w:val="15"/>
                    </w:numPr>
                    <w:jc w:val="both"/>
                  </w:pPr>
                  <w:r>
                    <w:t>Rais</w:t>
                  </w:r>
                  <w:r w:rsidR="002672CE">
                    <w:t>es</w:t>
                  </w:r>
                  <w:r>
                    <w:t xml:space="preserve"> purchase orders</w:t>
                  </w:r>
                </w:p>
                <w:p w14:paraId="4A6F037C" w14:textId="77777777" w:rsidR="00565AC9" w:rsidRDefault="00565AC9" w:rsidP="00C07BA9">
                  <w:pPr>
                    <w:jc w:val="both"/>
                  </w:pPr>
                </w:p>
              </w:tc>
            </w:tr>
            <w:tr w:rsidR="006F42DC" w14:paraId="16762E55" w14:textId="77777777" w:rsidTr="006F42DC">
              <w:tc>
                <w:tcPr>
                  <w:tcW w:w="2156" w:type="dxa"/>
                  <w:tcBorders>
                    <w:top w:val="single" w:sz="4" w:space="0" w:color="auto"/>
                    <w:left w:val="single" w:sz="4" w:space="0" w:color="auto"/>
                    <w:bottom w:val="single" w:sz="4" w:space="0" w:color="auto"/>
                    <w:right w:val="single" w:sz="4" w:space="0" w:color="auto"/>
                  </w:tcBorders>
                  <w:hideMark/>
                </w:tcPr>
                <w:p w14:paraId="43C121F7" w14:textId="77777777" w:rsidR="006F42DC" w:rsidRPr="006F42DC" w:rsidRDefault="006F42DC" w:rsidP="006F42DC">
                  <w:pPr>
                    <w:rPr>
                      <w:b/>
                    </w:rPr>
                  </w:pPr>
                  <w:r w:rsidRPr="006F42DC">
                    <w:rPr>
                      <w:b/>
                    </w:rPr>
                    <w:lastRenderedPageBreak/>
                    <w:t xml:space="preserve">Schools and Departments Staff </w:t>
                  </w:r>
                </w:p>
                <w:p w14:paraId="6340CEBB" w14:textId="77777777" w:rsidR="006F42DC" w:rsidRPr="006F42DC" w:rsidRDefault="006F42DC" w:rsidP="006F42DC">
                  <w:pPr>
                    <w:rPr>
                      <w:b/>
                    </w:rPr>
                  </w:pPr>
                  <w:r w:rsidRPr="006F42DC">
                    <w:rPr>
                      <w:b/>
                    </w:rPr>
                    <w:t>(</w:t>
                  </w:r>
                  <w:proofErr w:type="gramStart"/>
                  <w:r w:rsidRPr="006F42DC">
                    <w:rPr>
                      <w:b/>
                    </w:rPr>
                    <w:t>acting</w:t>
                  </w:r>
                  <w:proofErr w:type="gramEnd"/>
                  <w:r w:rsidRPr="006F42DC">
                    <w:rPr>
                      <w:b/>
                    </w:rPr>
                    <w:t xml:space="preserve"> within Policy)</w:t>
                  </w:r>
                </w:p>
              </w:tc>
              <w:tc>
                <w:tcPr>
                  <w:tcW w:w="8789" w:type="dxa"/>
                  <w:tcBorders>
                    <w:top w:val="single" w:sz="4" w:space="0" w:color="auto"/>
                    <w:left w:val="single" w:sz="4" w:space="0" w:color="auto"/>
                    <w:bottom w:val="single" w:sz="4" w:space="0" w:color="auto"/>
                    <w:right w:val="single" w:sz="4" w:space="0" w:color="auto"/>
                  </w:tcBorders>
                  <w:hideMark/>
                </w:tcPr>
                <w:p w14:paraId="4847B925" w14:textId="77777777" w:rsidR="006F42DC" w:rsidRDefault="006F42DC" w:rsidP="006F42DC">
                  <w:pPr>
                    <w:pStyle w:val="ListParagraph"/>
                    <w:numPr>
                      <w:ilvl w:val="0"/>
                      <w:numId w:val="16"/>
                    </w:numPr>
                    <w:jc w:val="both"/>
                  </w:pPr>
                  <w:r>
                    <w:t xml:space="preserve">Identifies purchase, lease, </w:t>
                  </w:r>
                  <w:proofErr w:type="gramStart"/>
                  <w:r>
                    <w:t>licence</w:t>
                  </w:r>
                  <w:proofErr w:type="gramEnd"/>
                  <w:r>
                    <w:t xml:space="preserve"> or commissioning requirements</w:t>
                  </w:r>
                </w:p>
                <w:p w14:paraId="029698C9" w14:textId="77777777" w:rsidR="00A61597" w:rsidRDefault="00A61597" w:rsidP="006F42DC">
                  <w:pPr>
                    <w:pStyle w:val="ListParagraph"/>
                    <w:numPr>
                      <w:ilvl w:val="0"/>
                      <w:numId w:val="16"/>
                    </w:numPr>
                    <w:jc w:val="both"/>
                  </w:pPr>
                  <w:r>
                    <w:t xml:space="preserve">Provides </w:t>
                  </w:r>
                  <w:r w:rsidR="00D727B5">
                    <w:t xml:space="preserve">technical input and </w:t>
                  </w:r>
                  <w:r>
                    <w:t xml:space="preserve">subject </w:t>
                  </w:r>
                  <w:r w:rsidR="00D727B5">
                    <w:t xml:space="preserve">matter expertise to support sourcing and tender activity including bid assessment </w:t>
                  </w:r>
                  <w:r w:rsidR="00D64687">
                    <w:t xml:space="preserve">contract negotiation </w:t>
                  </w:r>
                  <w:r w:rsidR="00D727B5">
                    <w:t>and supplier due diligence</w:t>
                  </w:r>
                </w:p>
                <w:p w14:paraId="6670106A" w14:textId="3A04F7D1" w:rsidR="006F42DC" w:rsidRPr="00BF3F8E" w:rsidRDefault="006F42DC" w:rsidP="006F42DC">
                  <w:pPr>
                    <w:pStyle w:val="ListParagraph"/>
                    <w:numPr>
                      <w:ilvl w:val="0"/>
                      <w:numId w:val="16"/>
                    </w:numPr>
                    <w:jc w:val="both"/>
                  </w:pPr>
                  <w:r>
                    <w:t>Obtains necessary budgets</w:t>
                  </w:r>
                  <w:r w:rsidR="00EA492B">
                    <w:t xml:space="preserve"> </w:t>
                  </w:r>
                  <w:r>
                    <w:t xml:space="preserve">/ funding / </w:t>
                  </w:r>
                  <w:r w:rsidRPr="00BF3F8E">
                    <w:t xml:space="preserve">business cases </w:t>
                  </w:r>
                  <w:r w:rsidR="008F6CC5">
                    <w:t xml:space="preserve">and </w:t>
                  </w:r>
                  <w:r w:rsidR="00277529">
                    <w:t xml:space="preserve">any </w:t>
                  </w:r>
                  <w:r w:rsidR="008F6CC5">
                    <w:t xml:space="preserve">governance which is </w:t>
                  </w:r>
                  <w:proofErr w:type="gramStart"/>
                  <w:r w:rsidR="008F6CC5">
                    <w:t xml:space="preserve">required  </w:t>
                  </w:r>
                  <w:r w:rsidR="005305E0">
                    <w:t>(</w:t>
                  </w:r>
                  <w:proofErr w:type="gramEnd"/>
                  <w:r w:rsidR="00277529">
                    <w:t xml:space="preserve">e.g. </w:t>
                  </w:r>
                  <w:r w:rsidR="005305E0">
                    <w:t>E</w:t>
                  </w:r>
                  <w:r w:rsidR="00277529">
                    <w:t xml:space="preserve">states </w:t>
                  </w:r>
                  <w:r w:rsidR="005305E0">
                    <w:t>C</w:t>
                  </w:r>
                  <w:r w:rsidR="00277529">
                    <w:t xml:space="preserve">ommittee, </w:t>
                  </w:r>
                  <w:r w:rsidR="005305E0">
                    <w:t>K</w:t>
                  </w:r>
                  <w:r w:rsidR="00277529">
                    <w:t xml:space="preserve">nowledge </w:t>
                  </w:r>
                  <w:r w:rsidR="005305E0">
                    <w:t>S</w:t>
                  </w:r>
                  <w:r w:rsidR="00277529">
                    <w:t xml:space="preserve">trategy </w:t>
                  </w:r>
                  <w:r w:rsidR="005305E0">
                    <w:t>C</w:t>
                  </w:r>
                  <w:r w:rsidR="00277529">
                    <w:t>ommittee</w:t>
                  </w:r>
                  <w:r w:rsidR="005305E0">
                    <w:t>)</w:t>
                  </w:r>
                </w:p>
                <w:p w14:paraId="74329197" w14:textId="77777777" w:rsidR="006F42DC" w:rsidRDefault="006F42DC" w:rsidP="006F42DC">
                  <w:pPr>
                    <w:pStyle w:val="ListParagraph"/>
                    <w:numPr>
                      <w:ilvl w:val="0"/>
                      <w:numId w:val="16"/>
                    </w:numPr>
                    <w:jc w:val="both"/>
                  </w:pPr>
                  <w:r>
                    <w:t>Engages p</w:t>
                  </w:r>
                  <w:r w:rsidRPr="00BF3F8E">
                    <w:t xml:space="preserve">rocurement </w:t>
                  </w:r>
                  <w:r>
                    <w:t>s</w:t>
                  </w:r>
                  <w:r w:rsidRPr="00BF3F8E">
                    <w:t>taff</w:t>
                  </w:r>
                  <w:r>
                    <w:t xml:space="preserve"> in advance of any sourcing activity commencing</w:t>
                  </w:r>
                </w:p>
                <w:p w14:paraId="530851F4" w14:textId="77777777" w:rsidR="006F42DC" w:rsidRDefault="006F42DC" w:rsidP="006F42DC">
                  <w:pPr>
                    <w:pStyle w:val="ListParagraph"/>
                    <w:numPr>
                      <w:ilvl w:val="0"/>
                      <w:numId w:val="16"/>
                    </w:numPr>
                    <w:jc w:val="both"/>
                  </w:pPr>
                  <w:r>
                    <w:t>Uses University approved suppliers</w:t>
                  </w:r>
                </w:p>
                <w:p w14:paraId="013CE07A" w14:textId="77777777" w:rsidR="006F42DC" w:rsidRDefault="006F42DC" w:rsidP="006F42DC">
                  <w:pPr>
                    <w:pStyle w:val="ListParagraph"/>
                    <w:numPr>
                      <w:ilvl w:val="0"/>
                      <w:numId w:val="16"/>
                    </w:numPr>
                    <w:jc w:val="both"/>
                  </w:pPr>
                  <w:r w:rsidRPr="004D16D0">
                    <w:t>Undertakes University obligations within contracts</w:t>
                  </w:r>
                </w:p>
                <w:p w14:paraId="177C4BD7" w14:textId="6BA3D9A6" w:rsidR="00A61597" w:rsidRDefault="00361E69" w:rsidP="00ED580C">
                  <w:pPr>
                    <w:pStyle w:val="ListParagraph"/>
                    <w:numPr>
                      <w:ilvl w:val="0"/>
                      <w:numId w:val="16"/>
                    </w:numPr>
                    <w:jc w:val="both"/>
                  </w:pPr>
                  <w:r>
                    <w:t xml:space="preserve">Takes the lead on </w:t>
                  </w:r>
                  <w:r w:rsidR="00EA492B">
                    <w:t xml:space="preserve">the </w:t>
                  </w:r>
                  <w:r>
                    <w:t xml:space="preserve">development of sourcing strategies, due diligence and management of </w:t>
                  </w:r>
                  <w:r w:rsidR="00277529">
                    <w:t xml:space="preserve">specific </w:t>
                  </w:r>
                  <w:r w:rsidR="00A61597">
                    <w:t xml:space="preserve">key contracts where previously agreed </w:t>
                  </w:r>
                  <w:r>
                    <w:t xml:space="preserve">in writing </w:t>
                  </w:r>
                  <w:r w:rsidR="00A61597">
                    <w:t>by the Procurement Director</w:t>
                  </w:r>
                  <w:r w:rsidR="00ED580C">
                    <w:t>, with support from Procurement.</w:t>
                  </w:r>
                </w:p>
              </w:tc>
            </w:tr>
          </w:tbl>
          <w:p w14:paraId="4EDC2CD6" w14:textId="77777777" w:rsidR="009D1603" w:rsidRPr="009D1603" w:rsidRDefault="009D1603" w:rsidP="00143F31">
            <w:pPr>
              <w:rPr>
                <w:rFonts w:cstheme="minorHAnsi"/>
                <w:noProof/>
                <w:lang w:eastAsia="en-GB"/>
              </w:rPr>
            </w:pPr>
          </w:p>
        </w:tc>
      </w:tr>
      <w:tr w:rsidR="009D1603" w:rsidRPr="009263D3" w14:paraId="1CBC9CDB" w14:textId="77777777" w:rsidTr="006F42DC">
        <w:trPr>
          <w:trHeight w:val="567"/>
        </w:trPr>
        <w:tc>
          <w:tcPr>
            <w:tcW w:w="11171" w:type="dxa"/>
            <w:shd w:val="clear" w:color="auto" w:fill="F2F2F2" w:themeFill="background1" w:themeFillShade="F2"/>
            <w:vAlign w:val="center"/>
          </w:tcPr>
          <w:p w14:paraId="70AFA0E6" w14:textId="77777777" w:rsidR="009D1603" w:rsidRPr="009263D3" w:rsidRDefault="009D1603" w:rsidP="00143F31">
            <w:pPr>
              <w:rPr>
                <w:rFonts w:cstheme="minorHAnsi"/>
                <w:b/>
                <w:noProof/>
                <w:lang w:eastAsia="en-GB"/>
              </w:rPr>
            </w:pPr>
            <w:r>
              <w:rPr>
                <w:rFonts w:cstheme="minorHAnsi"/>
                <w:b/>
                <w:noProof/>
                <w:lang w:eastAsia="en-GB"/>
              </w:rPr>
              <w:lastRenderedPageBreak/>
              <w:t>Exceptions</w:t>
            </w:r>
          </w:p>
        </w:tc>
      </w:tr>
      <w:tr w:rsidR="009D1603" w:rsidRPr="009263D3" w14:paraId="37DD7A12" w14:textId="77777777" w:rsidTr="006F42DC">
        <w:trPr>
          <w:trHeight w:val="567"/>
        </w:trPr>
        <w:tc>
          <w:tcPr>
            <w:tcW w:w="11171" w:type="dxa"/>
            <w:shd w:val="clear" w:color="auto" w:fill="FFFFFF" w:themeFill="background1"/>
            <w:vAlign w:val="center"/>
          </w:tcPr>
          <w:p w14:paraId="0ADA366F" w14:textId="78FD0DF8" w:rsidR="009D1603" w:rsidRPr="009D1603" w:rsidRDefault="009D1603" w:rsidP="009D1603">
            <w:pPr>
              <w:rPr>
                <w:rFonts w:cstheme="minorHAnsi"/>
                <w:noProof/>
                <w:lang w:eastAsia="en-GB"/>
              </w:rPr>
            </w:pPr>
            <w:r w:rsidRPr="009D1603">
              <w:rPr>
                <w:rFonts w:cstheme="minorHAnsi"/>
                <w:noProof/>
                <w:lang w:eastAsia="en-GB"/>
              </w:rPr>
              <w:t>Requests for any exception to specific elements of this Policy must be made to the Procurement Director and must be agreed in writing in advance. Any agreed exceptions will be time</w:t>
            </w:r>
            <w:r w:rsidR="00EA492B">
              <w:rPr>
                <w:rFonts w:cstheme="minorHAnsi"/>
                <w:noProof/>
                <w:lang w:eastAsia="en-GB"/>
              </w:rPr>
              <w:t>-</w:t>
            </w:r>
            <w:r w:rsidRPr="009D1603">
              <w:rPr>
                <w:rFonts w:cstheme="minorHAnsi"/>
                <w:noProof/>
                <w:lang w:eastAsia="en-GB"/>
              </w:rPr>
              <w:t>limited and subject to periodic review.</w:t>
            </w:r>
          </w:p>
          <w:p w14:paraId="7066EEA1" w14:textId="77777777" w:rsidR="009D1603" w:rsidRPr="009263D3" w:rsidRDefault="009D1603" w:rsidP="00143F31">
            <w:pPr>
              <w:rPr>
                <w:rFonts w:cstheme="minorHAnsi"/>
                <w:b/>
                <w:noProof/>
                <w:lang w:eastAsia="en-GB"/>
              </w:rPr>
            </w:pPr>
          </w:p>
        </w:tc>
      </w:tr>
      <w:tr w:rsidR="009D1603" w:rsidRPr="009263D3" w14:paraId="2110687C" w14:textId="77777777" w:rsidTr="006F42DC">
        <w:trPr>
          <w:trHeight w:val="567"/>
        </w:trPr>
        <w:tc>
          <w:tcPr>
            <w:tcW w:w="11171" w:type="dxa"/>
            <w:shd w:val="clear" w:color="auto" w:fill="F2F2F2" w:themeFill="background1" w:themeFillShade="F2"/>
            <w:vAlign w:val="center"/>
          </w:tcPr>
          <w:p w14:paraId="46A0C773" w14:textId="77777777" w:rsidR="009D1603" w:rsidRPr="009263D3" w:rsidRDefault="008117E4" w:rsidP="00143F31">
            <w:pPr>
              <w:rPr>
                <w:rFonts w:cstheme="minorHAnsi"/>
                <w:b/>
                <w:noProof/>
                <w:lang w:eastAsia="en-GB"/>
              </w:rPr>
            </w:pPr>
            <w:r w:rsidRPr="009263D3">
              <w:rPr>
                <w:rFonts w:cstheme="minorHAnsi"/>
                <w:b/>
              </w:rPr>
              <w:t>Audit and Review</w:t>
            </w:r>
          </w:p>
        </w:tc>
      </w:tr>
      <w:tr w:rsidR="009D1603" w:rsidRPr="009263D3" w14:paraId="41EAD84E" w14:textId="77777777" w:rsidTr="006F42DC">
        <w:trPr>
          <w:trHeight w:val="567"/>
        </w:trPr>
        <w:tc>
          <w:tcPr>
            <w:tcW w:w="11171" w:type="dxa"/>
            <w:shd w:val="clear" w:color="auto" w:fill="FFFFFF" w:themeFill="background1"/>
            <w:vAlign w:val="center"/>
          </w:tcPr>
          <w:p w14:paraId="0D85317F" w14:textId="77777777" w:rsidR="008117E4" w:rsidRPr="008117E4" w:rsidRDefault="008117E4" w:rsidP="008117E4">
            <w:pPr>
              <w:rPr>
                <w:rFonts w:cstheme="minorHAnsi"/>
                <w:noProof/>
                <w:lang w:eastAsia="en-GB"/>
              </w:rPr>
            </w:pPr>
            <w:r w:rsidRPr="008117E4">
              <w:rPr>
                <w:rFonts w:cstheme="minorHAnsi"/>
                <w:noProof/>
                <w:lang w:eastAsia="en-GB"/>
              </w:rPr>
              <w:t xml:space="preserve">The </w:t>
            </w:r>
            <w:r>
              <w:rPr>
                <w:rFonts w:cstheme="minorHAnsi"/>
                <w:noProof/>
                <w:lang w:eastAsia="en-GB"/>
              </w:rPr>
              <w:t>Procurement Support team w</w:t>
            </w:r>
            <w:r w:rsidRPr="008117E4">
              <w:rPr>
                <w:rFonts w:cstheme="minorHAnsi"/>
                <w:noProof/>
                <w:lang w:eastAsia="en-GB"/>
              </w:rPr>
              <w:t xml:space="preserve">ill review </w:t>
            </w:r>
            <w:r>
              <w:rPr>
                <w:rFonts w:cstheme="minorHAnsi"/>
                <w:noProof/>
                <w:lang w:eastAsia="en-GB"/>
              </w:rPr>
              <w:t xml:space="preserve">procurement activity, supplier spend and purchase orders </w:t>
            </w:r>
            <w:r w:rsidRPr="008117E4">
              <w:rPr>
                <w:rFonts w:cstheme="minorHAnsi"/>
                <w:noProof/>
                <w:lang w:eastAsia="en-GB"/>
              </w:rPr>
              <w:t xml:space="preserve">for compliance with the </w:t>
            </w:r>
            <w:r w:rsidR="008F6CC5">
              <w:rPr>
                <w:rFonts w:cstheme="minorHAnsi"/>
                <w:noProof/>
                <w:lang w:eastAsia="en-GB"/>
              </w:rPr>
              <w:t>Procurement Policy</w:t>
            </w:r>
            <w:r w:rsidRPr="008117E4">
              <w:rPr>
                <w:rFonts w:cstheme="minorHAnsi"/>
                <w:noProof/>
                <w:lang w:eastAsia="en-GB"/>
              </w:rPr>
              <w:t>. Any unusual or significant items will be investigated</w:t>
            </w:r>
            <w:r w:rsidR="002672CE">
              <w:rPr>
                <w:rFonts w:cstheme="minorHAnsi"/>
                <w:noProof/>
                <w:lang w:eastAsia="en-GB"/>
              </w:rPr>
              <w:t xml:space="preserve"> and followed up</w:t>
            </w:r>
            <w:r w:rsidRPr="008117E4">
              <w:rPr>
                <w:rFonts w:cstheme="minorHAnsi"/>
                <w:noProof/>
                <w:lang w:eastAsia="en-GB"/>
              </w:rPr>
              <w:t xml:space="preserve">. </w:t>
            </w:r>
          </w:p>
          <w:p w14:paraId="49C87D73" w14:textId="77777777" w:rsidR="008117E4" w:rsidRPr="008117E4" w:rsidRDefault="008117E4" w:rsidP="008117E4">
            <w:pPr>
              <w:rPr>
                <w:rFonts w:cstheme="minorHAnsi"/>
                <w:noProof/>
                <w:lang w:eastAsia="en-GB"/>
              </w:rPr>
            </w:pPr>
          </w:p>
          <w:p w14:paraId="2B8173FA" w14:textId="77777777" w:rsidR="008117E4" w:rsidRPr="008117E4" w:rsidRDefault="008117E4" w:rsidP="008117E4">
            <w:pPr>
              <w:rPr>
                <w:rFonts w:cstheme="minorHAnsi"/>
                <w:noProof/>
                <w:lang w:eastAsia="en-GB"/>
              </w:rPr>
            </w:pPr>
            <w:r w:rsidRPr="008117E4">
              <w:rPr>
                <w:rFonts w:cstheme="minorHAnsi"/>
                <w:noProof/>
                <w:lang w:eastAsia="en-GB"/>
              </w:rPr>
              <w:t>The University is a charity and receives public funds. All University spend is subject to scrutiny and audit by government agencies, internal and external auditors, funders and their auditors and other sponsors.</w:t>
            </w:r>
          </w:p>
          <w:p w14:paraId="204B1770" w14:textId="77777777" w:rsidR="008117E4" w:rsidRPr="008117E4" w:rsidRDefault="008117E4" w:rsidP="008117E4">
            <w:pPr>
              <w:rPr>
                <w:rFonts w:cstheme="minorHAnsi"/>
                <w:noProof/>
                <w:lang w:eastAsia="en-GB"/>
              </w:rPr>
            </w:pPr>
          </w:p>
          <w:p w14:paraId="7BCEE073" w14:textId="77777777" w:rsidR="008117E4" w:rsidRPr="008117E4" w:rsidRDefault="008117E4" w:rsidP="008117E4">
            <w:pPr>
              <w:rPr>
                <w:rFonts w:cstheme="minorHAnsi"/>
                <w:noProof/>
                <w:lang w:eastAsia="en-GB"/>
              </w:rPr>
            </w:pPr>
            <w:r w:rsidRPr="008117E4">
              <w:rPr>
                <w:rFonts w:cstheme="minorHAnsi"/>
                <w:noProof/>
                <w:lang w:eastAsia="en-GB"/>
              </w:rPr>
              <w:t xml:space="preserve">University expenditure is also subject to scrutiny under FOI requests that can include </w:t>
            </w:r>
            <w:r>
              <w:rPr>
                <w:rFonts w:cstheme="minorHAnsi"/>
                <w:noProof/>
                <w:lang w:eastAsia="en-GB"/>
              </w:rPr>
              <w:t xml:space="preserve">supplier spend and tendering activity </w:t>
            </w:r>
            <w:r w:rsidRPr="008117E4">
              <w:rPr>
                <w:rFonts w:cstheme="minorHAnsi"/>
                <w:noProof/>
                <w:lang w:eastAsia="en-GB"/>
              </w:rPr>
              <w:t xml:space="preserve">All </w:t>
            </w:r>
            <w:r>
              <w:rPr>
                <w:rFonts w:cstheme="minorHAnsi"/>
                <w:noProof/>
                <w:lang w:eastAsia="en-GB"/>
              </w:rPr>
              <w:t>Procurement activity must be conducted in a manner which is</w:t>
            </w:r>
            <w:r w:rsidRPr="008117E4">
              <w:rPr>
                <w:rFonts w:cstheme="minorHAnsi"/>
                <w:noProof/>
                <w:lang w:eastAsia="en-GB"/>
              </w:rPr>
              <w:t xml:space="preserve"> justifiable, legitimate and will not risk the University’s reputation.</w:t>
            </w:r>
          </w:p>
          <w:p w14:paraId="4A85A7E5" w14:textId="77777777" w:rsidR="008117E4" w:rsidRPr="008117E4" w:rsidRDefault="008117E4" w:rsidP="008117E4">
            <w:pPr>
              <w:rPr>
                <w:rFonts w:cstheme="minorHAnsi"/>
                <w:noProof/>
                <w:lang w:eastAsia="en-GB"/>
              </w:rPr>
            </w:pPr>
          </w:p>
          <w:p w14:paraId="0486C972" w14:textId="77777777" w:rsidR="009D1603" w:rsidRPr="009263D3" w:rsidRDefault="008117E4" w:rsidP="008117E4">
            <w:pPr>
              <w:rPr>
                <w:rFonts w:cstheme="minorHAnsi"/>
                <w:b/>
                <w:noProof/>
                <w:lang w:eastAsia="en-GB"/>
              </w:rPr>
            </w:pPr>
            <w:r w:rsidRPr="008117E4">
              <w:rPr>
                <w:rFonts w:cstheme="minorHAnsi"/>
                <w:noProof/>
                <w:lang w:eastAsia="en-GB"/>
              </w:rPr>
              <w:t xml:space="preserve">The University is committed to the prevention of bribery and to observing the provisions of the Bribery Act 2010, and will not tolerate bribery or other improper conduct either inside the UK or abroad, by staff or other individuals or organisations who perform services for or on behalf of the University. </w:t>
            </w:r>
          </w:p>
        </w:tc>
      </w:tr>
    </w:tbl>
    <w:p w14:paraId="69790385" w14:textId="77777777" w:rsidR="007651E7" w:rsidRDefault="007651E7">
      <w:pPr>
        <w:rPr>
          <w:rFonts w:cstheme="minorHAnsi"/>
        </w:rPr>
      </w:pPr>
    </w:p>
    <w:tbl>
      <w:tblPr>
        <w:tblStyle w:val="TableGrid"/>
        <w:tblW w:w="11058" w:type="dxa"/>
        <w:tblInd w:w="-998" w:type="dxa"/>
        <w:tblLook w:val="04A0" w:firstRow="1" w:lastRow="0" w:firstColumn="1" w:lastColumn="0" w:noHBand="0" w:noVBand="1"/>
      </w:tblPr>
      <w:tblGrid>
        <w:gridCol w:w="2127"/>
        <w:gridCol w:w="8931"/>
      </w:tblGrid>
      <w:tr w:rsidR="00A7609B" w:rsidRPr="009263D3" w14:paraId="11B21222" w14:textId="77777777" w:rsidTr="3483F08E">
        <w:tc>
          <w:tcPr>
            <w:tcW w:w="2127" w:type="dxa"/>
          </w:tcPr>
          <w:p w14:paraId="628907B1" w14:textId="77777777" w:rsidR="00A7609B" w:rsidRPr="00897D70" w:rsidRDefault="007651E7" w:rsidP="00897D70">
            <w:pPr>
              <w:rPr>
                <w:rFonts w:cstheme="minorHAnsi"/>
                <w:b/>
                <w:bCs/>
              </w:rPr>
            </w:pPr>
            <w:r>
              <w:rPr>
                <w:rFonts w:cstheme="minorHAnsi"/>
              </w:rPr>
              <w:br w:type="page"/>
            </w:r>
            <w:r w:rsidR="00897D70" w:rsidRPr="00897D70">
              <w:rPr>
                <w:rFonts w:cstheme="minorHAnsi"/>
                <w:b/>
              </w:rPr>
              <w:t>E</w:t>
            </w:r>
            <w:r w:rsidR="00A7609B" w:rsidRPr="00897D70">
              <w:rPr>
                <w:rFonts w:cstheme="minorHAnsi"/>
                <w:b/>
                <w:bCs/>
              </w:rPr>
              <w:t>quality and Diversity</w:t>
            </w:r>
          </w:p>
        </w:tc>
        <w:tc>
          <w:tcPr>
            <w:tcW w:w="8931" w:type="dxa"/>
          </w:tcPr>
          <w:p w14:paraId="3DF8ED3D" w14:textId="77777777" w:rsidR="00A7609B" w:rsidRPr="00A7609B" w:rsidRDefault="00A7609B" w:rsidP="00D81A31">
            <w:pPr>
              <w:rPr>
                <w:rFonts w:eastAsia="SimSun" w:cs="Arial"/>
              </w:rPr>
            </w:pPr>
            <w:r w:rsidRPr="00D102BA">
              <w:rPr>
                <w:rFonts w:eastAsia="SimSun" w:cs="Arial"/>
              </w:rPr>
              <w:t>The</w:t>
            </w:r>
            <w:r>
              <w:rPr>
                <w:rFonts w:eastAsia="SimSun" w:cs="Arial"/>
              </w:rPr>
              <w:t xml:space="preserve"> Equality Impact Assessment has been completed and addresses any </w:t>
            </w:r>
            <w:r w:rsidRPr="00D102BA">
              <w:rPr>
                <w:rFonts w:eastAsia="SimSun" w:cs="Arial"/>
              </w:rPr>
              <w:t>equality and d</w:t>
            </w:r>
            <w:r>
              <w:rPr>
                <w:rFonts w:eastAsia="SimSun" w:cs="Arial"/>
              </w:rPr>
              <w:t xml:space="preserve">iversity impacts of this policy </w:t>
            </w:r>
          </w:p>
        </w:tc>
      </w:tr>
      <w:tr w:rsidR="00200758" w:rsidRPr="00037F19" w14:paraId="6F3F516B" w14:textId="77777777" w:rsidTr="3483F08E">
        <w:tc>
          <w:tcPr>
            <w:tcW w:w="2127" w:type="dxa"/>
          </w:tcPr>
          <w:p w14:paraId="776E5513" w14:textId="77777777" w:rsidR="00200758" w:rsidRPr="00BC6A94" w:rsidRDefault="00D81A31">
            <w:pPr>
              <w:rPr>
                <w:rFonts w:cstheme="minorHAnsi"/>
                <w:b/>
              </w:rPr>
            </w:pPr>
            <w:r w:rsidRPr="004A6077">
              <w:rPr>
                <w:rFonts w:cstheme="minorHAnsi"/>
                <w:b/>
                <w:bCs/>
              </w:rPr>
              <w:t>Further Information/Queries</w:t>
            </w:r>
          </w:p>
        </w:tc>
        <w:tc>
          <w:tcPr>
            <w:tcW w:w="8931" w:type="dxa"/>
          </w:tcPr>
          <w:p w14:paraId="5EC2B8FB" w14:textId="77777777" w:rsidR="00200758" w:rsidRPr="00A65A2E" w:rsidRDefault="00037F19" w:rsidP="00897D70">
            <w:pPr>
              <w:spacing w:after="120"/>
              <w:rPr>
                <w:rFonts w:eastAsia="SimSun" w:cstheme="minorHAnsi"/>
              </w:rPr>
            </w:pPr>
            <w:r w:rsidRPr="00835EBC">
              <w:rPr>
                <w:rFonts w:eastAsia="SimSun" w:cstheme="minorHAnsi"/>
              </w:rPr>
              <w:t xml:space="preserve">Please contact </w:t>
            </w:r>
            <w:r w:rsidR="00897D70">
              <w:rPr>
                <w:rFonts w:eastAsia="SimSun" w:cstheme="minorHAnsi"/>
              </w:rPr>
              <w:t>the Procurement Director for furt</w:t>
            </w:r>
            <w:r w:rsidRPr="00835EBC">
              <w:rPr>
                <w:rFonts w:eastAsia="SimSun" w:cstheme="minorHAnsi"/>
              </w:rPr>
              <w:t>her information</w:t>
            </w:r>
            <w:r>
              <w:rPr>
                <w:rFonts w:eastAsia="SimSun" w:cstheme="minorHAnsi"/>
              </w:rPr>
              <w:t xml:space="preserve"> or if you require this policy in an alternative format</w:t>
            </w:r>
            <w:r w:rsidRPr="00835EBC">
              <w:rPr>
                <w:rFonts w:eastAsia="SimSun" w:cstheme="minorHAnsi"/>
              </w:rPr>
              <w:t xml:space="preserve">. </w:t>
            </w:r>
          </w:p>
        </w:tc>
      </w:tr>
      <w:tr w:rsidR="00C636D5" w:rsidRPr="009263D3" w14:paraId="041120CD" w14:textId="77777777" w:rsidTr="3483F08E">
        <w:tc>
          <w:tcPr>
            <w:tcW w:w="2127" w:type="dxa"/>
          </w:tcPr>
          <w:p w14:paraId="6B2366B6" w14:textId="77777777" w:rsidR="00C636D5" w:rsidRDefault="004B2CA8">
            <w:pPr>
              <w:rPr>
                <w:b/>
              </w:rPr>
            </w:pPr>
            <w:r w:rsidRPr="689E0C65">
              <w:rPr>
                <w:b/>
              </w:rPr>
              <w:t>Useful links</w:t>
            </w:r>
          </w:p>
        </w:tc>
        <w:tc>
          <w:tcPr>
            <w:tcW w:w="8931" w:type="dxa"/>
          </w:tcPr>
          <w:p w14:paraId="4828433C" w14:textId="77777777" w:rsidR="009B7351" w:rsidRPr="007230FC" w:rsidRDefault="00000000" w:rsidP="00A65A2E">
            <w:pPr>
              <w:rPr>
                <w:rFonts w:eastAsia="SimSun" w:cs="Arial"/>
                <w:color w:val="0070C0"/>
                <w:u w:val="single"/>
              </w:rPr>
            </w:pPr>
            <w:hyperlink r:id="rId18" w:history="1">
              <w:r w:rsidR="009B7351" w:rsidRPr="007230FC">
                <w:rPr>
                  <w:rFonts w:eastAsia="SimSun" w:cs="Arial"/>
                  <w:color w:val="0070C0"/>
                  <w:u w:val="single"/>
                </w:rPr>
                <w:t>Finance Policies and procedures</w:t>
              </w:r>
            </w:hyperlink>
          </w:p>
          <w:p w14:paraId="4BA83D06" w14:textId="77777777" w:rsidR="004B2CA8" w:rsidRPr="007230FC" w:rsidRDefault="00000000" w:rsidP="00A65A2E">
            <w:pPr>
              <w:rPr>
                <w:rStyle w:val="Hyperlink"/>
                <w:rFonts w:cstheme="minorHAnsi"/>
                <w:color w:val="0070C0"/>
              </w:rPr>
            </w:pPr>
            <w:hyperlink r:id="rId19" w:history="1">
              <w:r w:rsidR="004B2CA8" w:rsidRPr="007230FC">
                <w:rPr>
                  <w:rStyle w:val="Hyperlink"/>
                  <w:rFonts w:cstheme="minorHAnsi"/>
                  <w:color w:val="0070C0"/>
                </w:rPr>
                <w:t>Sustainable Travel Policy</w:t>
              </w:r>
            </w:hyperlink>
          </w:p>
          <w:p w14:paraId="1039DC0F" w14:textId="77777777" w:rsidR="007230FC" w:rsidRPr="007230FC" w:rsidRDefault="00000000" w:rsidP="00A65A2E">
            <w:pPr>
              <w:rPr>
                <w:rStyle w:val="Hyperlink"/>
                <w:rFonts w:eastAsia="SimSun" w:cs="Arial"/>
                <w:color w:val="0070C0"/>
              </w:rPr>
            </w:pPr>
            <w:hyperlink r:id="rId20" w:history="1">
              <w:r w:rsidR="007230FC" w:rsidRPr="007230FC">
                <w:rPr>
                  <w:rStyle w:val="Hyperlink"/>
                  <w:color w:val="0070C0"/>
                </w:rPr>
                <w:t>Gifts and Hospitality Policy</w:t>
              </w:r>
            </w:hyperlink>
          </w:p>
          <w:p w14:paraId="16BBECDD" w14:textId="77777777" w:rsidR="00897D70" w:rsidRPr="007230FC" w:rsidRDefault="00000000" w:rsidP="00897D70">
            <w:pPr>
              <w:ind w:right="159"/>
              <w:rPr>
                <w:i/>
                <w:color w:val="0070C0"/>
              </w:rPr>
            </w:pPr>
            <w:hyperlink r:id="rId21" w:history="1">
              <w:r w:rsidR="00BB556B" w:rsidRPr="007230FC">
                <w:rPr>
                  <w:rStyle w:val="Hyperlink"/>
                  <w:rFonts w:cstheme="minorHAnsi"/>
                  <w:color w:val="0070C0"/>
                </w:rPr>
                <w:t>Powers of Delegation | The University of Edinburgh</w:t>
              </w:r>
            </w:hyperlink>
          </w:p>
          <w:p w14:paraId="427AA3B7" w14:textId="77777777" w:rsidR="00897D70" w:rsidRPr="007230FC" w:rsidRDefault="00000000" w:rsidP="00897D70">
            <w:pPr>
              <w:rPr>
                <w:rStyle w:val="Hyperlink"/>
                <w:color w:val="0070C0"/>
              </w:rPr>
            </w:pPr>
            <w:hyperlink r:id="rId22" w:history="1">
              <w:r w:rsidR="00897D70" w:rsidRPr="007230FC">
                <w:rPr>
                  <w:rStyle w:val="Hyperlink"/>
                  <w:color w:val="0070C0"/>
                </w:rPr>
                <w:t>University Procurement Strategy and Annual Report</w:t>
              </w:r>
            </w:hyperlink>
          </w:p>
          <w:p w14:paraId="75E77D9E" w14:textId="77777777" w:rsidR="00A61597" w:rsidRPr="007230FC" w:rsidRDefault="00A61597" w:rsidP="00A61597">
            <w:pPr>
              <w:rPr>
                <w:color w:val="0070C0"/>
                <w:u w:val="single"/>
              </w:rPr>
            </w:pPr>
            <w:r w:rsidRPr="007230FC">
              <w:rPr>
                <w:color w:val="0070C0"/>
                <w:u w:val="single"/>
              </w:rPr>
              <w:t xml:space="preserve">Public Contracts (Scotland) Regulations 2015 </w:t>
            </w:r>
          </w:p>
          <w:p w14:paraId="4CCB03F1" w14:textId="77777777" w:rsidR="002672CE" w:rsidRPr="007230FC" w:rsidRDefault="00A61597" w:rsidP="00A61597">
            <w:pPr>
              <w:rPr>
                <w:color w:val="0070C0"/>
                <w:u w:val="single"/>
              </w:rPr>
            </w:pPr>
            <w:r w:rsidRPr="007230FC">
              <w:rPr>
                <w:color w:val="0070C0"/>
                <w:u w:val="single"/>
              </w:rPr>
              <w:t>Procurement Reform (Scotland) Act 2014</w:t>
            </w:r>
          </w:p>
          <w:p w14:paraId="236323F9" w14:textId="77777777" w:rsidR="007230FC" w:rsidRDefault="00000000" w:rsidP="00A61597">
            <w:pPr>
              <w:rPr>
                <w:color w:val="0070C0"/>
              </w:rPr>
            </w:pPr>
            <w:hyperlink r:id="rId23" w:history="1">
              <w:r w:rsidR="007230FC" w:rsidRPr="007230FC">
                <w:rPr>
                  <w:color w:val="0070C0"/>
                  <w:u w:val="single"/>
                </w:rPr>
                <w:t xml:space="preserve">Bribery Act 2010 </w:t>
              </w:r>
            </w:hyperlink>
          </w:p>
          <w:p w14:paraId="2D67BEC1" w14:textId="77777777" w:rsidR="007230FC" w:rsidRDefault="00000000" w:rsidP="00A61597">
            <w:pPr>
              <w:rPr>
                <w:color w:val="0070C0"/>
              </w:rPr>
            </w:pPr>
            <w:hyperlink r:id="rId24" w:history="1">
              <w:r w:rsidR="007230FC" w:rsidRPr="007230FC">
                <w:rPr>
                  <w:color w:val="0070C0"/>
                  <w:u w:val="single"/>
                </w:rPr>
                <w:t xml:space="preserve">Scottish Procurement Policy Notes </w:t>
              </w:r>
            </w:hyperlink>
          </w:p>
          <w:p w14:paraId="000DCDE8" w14:textId="77777777" w:rsidR="00C07BA9" w:rsidRPr="007230FC" w:rsidRDefault="00000000" w:rsidP="007230FC">
            <w:pPr>
              <w:rPr>
                <w:rFonts w:cstheme="minorHAnsi"/>
                <w:noProof/>
                <w:color w:val="0070C0"/>
                <w:lang w:eastAsia="en-GB"/>
              </w:rPr>
            </w:pPr>
            <w:hyperlink r:id="rId25" w:history="1">
              <w:r w:rsidR="007230FC" w:rsidRPr="007230FC">
                <w:rPr>
                  <w:color w:val="0070C0"/>
                  <w:u w:val="single"/>
                </w:rPr>
                <w:t>Public sector procurement Scotland</w:t>
              </w:r>
            </w:hyperlink>
          </w:p>
          <w:p w14:paraId="2CA0DDF4" w14:textId="77777777" w:rsidR="00897D70" w:rsidRPr="00897D70" w:rsidRDefault="00897D70" w:rsidP="00897D70">
            <w:pPr>
              <w:rPr>
                <w:u w:val="single"/>
              </w:rPr>
            </w:pPr>
          </w:p>
          <w:p w14:paraId="326F949D" w14:textId="77777777" w:rsidR="00897D70" w:rsidRPr="00897D70" w:rsidRDefault="00897D70" w:rsidP="00897D70">
            <w:pPr>
              <w:rPr>
                <w:b/>
              </w:rPr>
            </w:pPr>
            <w:r w:rsidRPr="00897D70">
              <w:rPr>
                <w:b/>
              </w:rPr>
              <w:t>Policies related to ethical and sustainable business:</w:t>
            </w:r>
          </w:p>
          <w:p w14:paraId="7DA50A45" w14:textId="77777777" w:rsidR="00897D70" w:rsidRPr="007230FC" w:rsidRDefault="00000000" w:rsidP="00897D70">
            <w:pPr>
              <w:rPr>
                <w:color w:val="0070C0"/>
                <w:u w:val="single"/>
              </w:rPr>
            </w:pPr>
            <w:hyperlink r:id="rId26" w:history="1">
              <w:r w:rsidR="00897D70" w:rsidRPr="007230FC">
                <w:rPr>
                  <w:rStyle w:val="Hyperlink"/>
                  <w:color w:val="0070C0"/>
                </w:rPr>
                <w:t>Anti-Bribery and Corruption Policy</w:t>
              </w:r>
            </w:hyperlink>
          </w:p>
          <w:p w14:paraId="3F8804F5" w14:textId="77777777" w:rsidR="00897D70" w:rsidRPr="007230FC" w:rsidRDefault="00000000" w:rsidP="00897D70">
            <w:pPr>
              <w:rPr>
                <w:color w:val="0070C0"/>
                <w:u w:val="single"/>
              </w:rPr>
            </w:pPr>
            <w:hyperlink r:id="rId27" w:history="1">
              <w:r w:rsidR="00897D70" w:rsidRPr="007230FC">
                <w:rPr>
                  <w:rStyle w:val="Hyperlink"/>
                  <w:color w:val="0070C0"/>
                </w:rPr>
                <w:t>Conflict of Interest Policy</w:t>
              </w:r>
            </w:hyperlink>
          </w:p>
          <w:p w14:paraId="603309A3" w14:textId="77777777" w:rsidR="00C636D5" w:rsidRPr="007230FC" w:rsidRDefault="00000000" w:rsidP="00897D70">
            <w:pPr>
              <w:rPr>
                <w:rStyle w:val="Hyperlink"/>
                <w:color w:val="0070C0"/>
              </w:rPr>
            </w:pPr>
            <w:hyperlink r:id="rId28" w:history="1">
              <w:r w:rsidR="00897D70" w:rsidRPr="007230FC">
                <w:rPr>
                  <w:rStyle w:val="Hyperlink"/>
                  <w:color w:val="0070C0"/>
                </w:rPr>
                <w:t>Anti-Money Laundering Policy</w:t>
              </w:r>
            </w:hyperlink>
          </w:p>
          <w:p w14:paraId="21059BDE" w14:textId="77777777" w:rsidR="005379B3" w:rsidRPr="007230FC" w:rsidRDefault="00000000" w:rsidP="00897D70">
            <w:pPr>
              <w:rPr>
                <w:rStyle w:val="Hyperlink"/>
                <w:color w:val="0070C0"/>
              </w:rPr>
            </w:pPr>
            <w:hyperlink r:id="rId29" w:history="1">
              <w:r w:rsidR="007230FC" w:rsidRPr="007230FC">
                <w:rPr>
                  <w:rStyle w:val="Hyperlink"/>
                  <w:color w:val="0070C0"/>
                </w:rPr>
                <w:t>Fraud Policy</w:t>
              </w:r>
            </w:hyperlink>
          </w:p>
          <w:p w14:paraId="6F394B78" w14:textId="77777777" w:rsidR="005379B3" w:rsidRDefault="005379B3" w:rsidP="00897D70"/>
        </w:tc>
      </w:tr>
    </w:tbl>
    <w:p w14:paraId="202402A9" w14:textId="77777777" w:rsidR="002017F8" w:rsidRDefault="002017F8" w:rsidP="003D0DC8">
      <w:pPr>
        <w:tabs>
          <w:tab w:val="left" w:pos="2394"/>
        </w:tabs>
        <w:rPr>
          <w:rFonts w:cstheme="minorHAnsi"/>
        </w:rPr>
      </w:pPr>
    </w:p>
    <w:p w14:paraId="2086CAFD" w14:textId="77777777" w:rsidR="00482967" w:rsidRDefault="00482967" w:rsidP="003D0DC8">
      <w:pPr>
        <w:tabs>
          <w:tab w:val="left" w:pos="2394"/>
        </w:tabs>
        <w:rPr>
          <w:rFonts w:cstheme="minorHAnsi"/>
        </w:rPr>
      </w:pPr>
    </w:p>
    <w:p w14:paraId="6E260B39" w14:textId="77777777" w:rsidR="00482967" w:rsidRDefault="00482967" w:rsidP="003D0DC8">
      <w:pPr>
        <w:tabs>
          <w:tab w:val="left" w:pos="2394"/>
        </w:tabs>
        <w:rPr>
          <w:rFonts w:cstheme="minorHAnsi"/>
        </w:rPr>
      </w:pPr>
    </w:p>
    <w:p w14:paraId="44897634" w14:textId="77777777" w:rsidR="00482967" w:rsidRDefault="00482967" w:rsidP="003D0DC8">
      <w:pPr>
        <w:tabs>
          <w:tab w:val="left" w:pos="2394"/>
        </w:tabs>
        <w:rPr>
          <w:rFonts w:cstheme="minorHAnsi"/>
        </w:rPr>
      </w:pPr>
    </w:p>
    <w:p w14:paraId="68888354" w14:textId="77777777" w:rsidR="00482967" w:rsidRDefault="00482967" w:rsidP="003D0DC8">
      <w:pPr>
        <w:tabs>
          <w:tab w:val="left" w:pos="2394"/>
        </w:tabs>
        <w:rPr>
          <w:rFonts w:cstheme="minorHAnsi"/>
        </w:rPr>
      </w:pPr>
    </w:p>
    <w:p w14:paraId="58231092" w14:textId="77777777" w:rsidR="00482967" w:rsidRDefault="00482967" w:rsidP="003D0DC8">
      <w:pPr>
        <w:tabs>
          <w:tab w:val="left" w:pos="2394"/>
        </w:tabs>
        <w:rPr>
          <w:rFonts w:cstheme="minorHAnsi"/>
        </w:rPr>
      </w:pPr>
    </w:p>
    <w:p w14:paraId="543F8FD3" w14:textId="77777777" w:rsidR="00482967" w:rsidRDefault="00482967" w:rsidP="003D0DC8">
      <w:pPr>
        <w:tabs>
          <w:tab w:val="left" w:pos="2394"/>
        </w:tabs>
        <w:rPr>
          <w:rFonts w:cstheme="minorHAnsi"/>
        </w:rPr>
      </w:pPr>
    </w:p>
    <w:p w14:paraId="257D62E0" w14:textId="77777777" w:rsidR="00482967" w:rsidRDefault="00482967" w:rsidP="003D0DC8">
      <w:pPr>
        <w:tabs>
          <w:tab w:val="left" w:pos="2394"/>
        </w:tabs>
        <w:rPr>
          <w:rFonts w:cstheme="minorHAnsi"/>
        </w:rPr>
      </w:pPr>
    </w:p>
    <w:p w14:paraId="56470151" w14:textId="77777777" w:rsidR="00482967" w:rsidRDefault="00482967" w:rsidP="003D0DC8">
      <w:pPr>
        <w:tabs>
          <w:tab w:val="left" w:pos="2394"/>
        </w:tabs>
        <w:rPr>
          <w:rFonts w:cstheme="minorHAnsi"/>
        </w:rPr>
      </w:pPr>
    </w:p>
    <w:tbl>
      <w:tblPr>
        <w:tblStyle w:val="TableGrid"/>
        <w:tblW w:w="11058" w:type="dxa"/>
        <w:tblInd w:w="-998" w:type="dxa"/>
        <w:tblLook w:val="04A0" w:firstRow="1" w:lastRow="0" w:firstColumn="1" w:lastColumn="0" w:noHBand="0" w:noVBand="1"/>
      </w:tblPr>
      <w:tblGrid>
        <w:gridCol w:w="5506"/>
        <w:gridCol w:w="5552"/>
      </w:tblGrid>
      <w:tr w:rsidR="000222C1" w:rsidRPr="00D46A7E" w14:paraId="132CBDBF" w14:textId="77777777" w:rsidTr="51AC5954">
        <w:trPr>
          <w:trHeight w:val="624"/>
        </w:trPr>
        <w:tc>
          <w:tcPr>
            <w:tcW w:w="11058" w:type="dxa"/>
            <w:gridSpan w:val="2"/>
            <w:shd w:val="clear" w:color="auto" w:fill="F2F2F2" w:themeFill="background1" w:themeFillShade="F2"/>
            <w:vAlign w:val="center"/>
          </w:tcPr>
          <w:p w14:paraId="7D0A6760" w14:textId="77777777" w:rsidR="000222C1" w:rsidRPr="00A65A2E" w:rsidRDefault="00D46A7E" w:rsidP="00482967">
            <w:pPr>
              <w:pStyle w:val="ListParagraph"/>
              <w:tabs>
                <w:tab w:val="left" w:pos="2394"/>
              </w:tabs>
              <w:ind w:left="0"/>
              <w:rPr>
                <w:rFonts w:cstheme="minorHAnsi"/>
                <w:b/>
              </w:rPr>
            </w:pPr>
            <w:r w:rsidRPr="00A65A2E">
              <w:rPr>
                <w:rFonts w:cstheme="minorHAnsi"/>
                <w:b/>
              </w:rPr>
              <w:t xml:space="preserve">Approval </w:t>
            </w:r>
            <w:r w:rsidR="003E0EFF" w:rsidRPr="00A65A2E">
              <w:rPr>
                <w:rFonts w:cstheme="minorHAnsi"/>
                <w:b/>
              </w:rPr>
              <w:t>and Review</w:t>
            </w:r>
          </w:p>
        </w:tc>
      </w:tr>
      <w:tr w:rsidR="003E0EFF" w:rsidRPr="00D46A7E" w14:paraId="20D2FFAE" w14:textId="77777777" w:rsidTr="51AC5954">
        <w:tc>
          <w:tcPr>
            <w:tcW w:w="5506" w:type="dxa"/>
          </w:tcPr>
          <w:p w14:paraId="36780335" w14:textId="77777777" w:rsidR="003E0EFF" w:rsidRPr="00D46A7E" w:rsidRDefault="003E0EFF" w:rsidP="003E0EFF">
            <w:pPr>
              <w:tabs>
                <w:tab w:val="left" w:pos="2394"/>
              </w:tabs>
              <w:rPr>
                <w:rFonts w:cstheme="minorHAnsi"/>
              </w:rPr>
            </w:pPr>
            <w:r w:rsidRPr="00835EBC">
              <w:rPr>
                <w:rFonts w:cstheme="minorHAnsi"/>
              </w:rPr>
              <w:t>Date policy approved</w:t>
            </w:r>
          </w:p>
        </w:tc>
        <w:tc>
          <w:tcPr>
            <w:tcW w:w="5552" w:type="dxa"/>
          </w:tcPr>
          <w:p w14:paraId="351FD249" w14:textId="500793E0" w:rsidR="003E0EFF" w:rsidRPr="00D46A7E" w:rsidRDefault="51AC5954" w:rsidP="51AC5954">
            <w:pPr>
              <w:tabs>
                <w:tab w:val="left" w:pos="2394"/>
              </w:tabs>
            </w:pPr>
            <w:r w:rsidRPr="51AC5954">
              <w:t>5 April 2022</w:t>
            </w:r>
          </w:p>
        </w:tc>
      </w:tr>
      <w:tr w:rsidR="003E0EFF" w:rsidRPr="00D46A7E" w14:paraId="6BC2096E" w14:textId="77777777" w:rsidTr="51AC5954">
        <w:tc>
          <w:tcPr>
            <w:tcW w:w="5506" w:type="dxa"/>
          </w:tcPr>
          <w:p w14:paraId="59A782C9" w14:textId="77777777" w:rsidR="003E0EFF" w:rsidRPr="00D46A7E" w:rsidRDefault="003E0EFF" w:rsidP="003E0EFF">
            <w:pPr>
              <w:tabs>
                <w:tab w:val="left" w:pos="2394"/>
              </w:tabs>
              <w:rPr>
                <w:rFonts w:cstheme="minorHAnsi"/>
              </w:rPr>
            </w:pPr>
            <w:r w:rsidRPr="00835EBC">
              <w:rPr>
                <w:rFonts w:cstheme="minorHAnsi"/>
              </w:rPr>
              <w:t>Final approval by</w:t>
            </w:r>
          </w:p>
        </w:tc>
        <w:tc>
          <w:tcPr>
            <w:tcW w:w="5552" w:type="dxa"/>
          </w:tcPr>
          <w:p w14:paraId="0A514B4A" w14:textId="2E21792B" w:rsidR="003E0EFF" w:rsidRPr="00D46A7E" w:rsidRDefault="51AC5954" w:rsidP="51AC5954">
            <w:pPr>
              <w:tabs>
                <w:tab w:val="left" w:pos="2394"/>
              </w:tabs>
            </w:pPr>
            <w:r w:rsidRPr="51AC5954">
              <w:t>University Executive</w:t>
            </w:r>
          </w:p>
        </w:tc>
      </w:tr>
      <w:tr w:rsidR="003E0EFF" w:rsidRPr="00D46A7E" w14:paraId="126A7A79" w14:textId="77777777" w:rsidTr="51AC5954">
        <w:tc>
          <w:tcPr>
            <w:tcW w:w="5506" w:type="dxa"/>
          </w:tcPr>
          <w:p w14:paraId="0DF0BFF8" w14:textId="77777777" w:rsidR="003E0EFF" w:rsidRPr="00D46A7E" w:rsidRDefault="003E0EFF" w:rsidP="003E0EFF">
            <w:pPr>
              <w:tabs>
                <w:tab w:val="left" w:pos="2394"/>
              </w:tabs>
              <w:rPr>
                <w:rFonts w:cstheme="minorHAnsi"/>
              </w:rPr>
            </w:pPr>
            <w:r w:rsidRPr="00835EBC">
              <w:rPr>
                <w:rFonts w:cstheme="minorHAnsi"/>
              </w:rPr>
              <w:t>Consultations held</w:t>
            </w:r>
          </w:p>
        </w:tc>
        <w:tc>
          <w:tcPr>
            <w:tcW w:w="5552" w:type="dxa"/>
          </w:tcPr>
          <w:p w14:paraId="68013C12" w14:textId="478AC67A" w:rsidR="003E0EFF" w:rsidRPr="00D46A7E" w:rsidRDefault="51AC5954" w:rsidP="51AC5954">
            <w:pPr>
              <w:tabs>
                <w:tab w:val="left" w:pos="2394"/>
              </w:tabs>
            </w:pPr>
            <w:r w:rsidRPr="51AC5954">
              <w:t>Finance Operations and Technical Group</w:t>
            </w:r>
          </w:p>
        </w:tc>
      </w:tr>
      <w:tr w:rsidR="003E0EFF" w:rsidRPr="00D46A7E" w14:paraId="07E249C2" w14:textId="77777777" w:rsidTr="51AC5954">
        <w:tc>
          <w:tcPr>
            <w:tcW w:w="5506" w:type="dxa"/>
          </w:tcPr>
          <w:p w14:paraId="19E93812" w14:textId="77777777" w:rsidR="003E0EFF" w:rsidRPr="00D46A7E" w:rsidRDefault="003E0EFF" w:rsidP="003E0EFF">
            <w:pPr>
              <w:tabs>
                <w:tab w:val="left" w:pos="2394"/>
              </w:tabs>
              <w:rPr>
                <w:rFonts w:cstheme="minorHAnsi"/>
              </w:rPr>
            </w:pPr>
            <w:r w:rsidRPr="00835EBC">
              <w:rPr>
                <w:rFonts w:cstheme="minorHAnsi"/>
              </w:rPr>
              <w:t>Date of commencement of policy</w:t>
            </w:r>
          </w:p>
        </w:tc>
        <w:tc>
          <w:tcPr>
            <w:tcW w:w="5552" w:type="dxa"/>
          </w:tcPr>
          <w:p w14:paraId="2318C24A" w14:textId="3480040F" w:rsidR="003E0EFF" w:rsidRPr="00D46A7E" w:rsidRDefault="51AC5954" w:rsidP="51AC5954">
            <w:pPr>
              <w:tabs>
                <w:tab w:val="left" w:pos="2394"/>
              </w:tabs>
            </w:pPr>
            <w:r w:rsidRPr="51AC5954">
              <w:t>August 2022</w:t>
            </w:r>
          </w:p>
        </w:tc>
      </w:tr>
      <w:tr w:rsidR="003E0EFF" w:rsidRPr="00D46A7E" w14:paraId="584AFFFF" w14:textId="77777777" w:rsidTr="51AC5954">
        <w:tc>
          <w:tcPr>
            <w:tcW w:w="5506" w:type="dxa"/>
          </w:tcPr>
          <w:p w14:paraId="0F3445C9" w14:textId="77777777" w:rsidR="003E0EFF" w:rsidRPr="00835EBC" w:rsidRDefault="003E0EFF" w:rsidP="003E0EFF">
            <w:pPr>
              <w:tabs>
                <w:tab w:val="left" w:pos="2394"/>
              </w:tabs>
              <w:rPr>
                <w:rFonts w:cstheme="minorHAnsi"/>
              </w:rPr>
            </w:pPr>
            <w:r w:rsidRPr="00835EBC">
              <w:rPr>
                <w:rFonts w:cstheme="minorHAnsi"/>
              </w:rPr>
              <w:t>Date for review of policy</w:t>
            </w:r>
          </w:p>
        </w:tc>
        <w:tc>
          <w:tcPr>
            <w:tcW w:w="5552" w:type="dxa"/>
          </w:tcPr>
          <w:p w14:paraId="6365ED3C" w14:textId="5A865E0B" w:rsidR="003E0EFF" w:rsidRPr="00A65A2E" w:rsidRDefault="51AC5954" w:rsidP="51AC5954">
            <w:pPr>
              <w:tabs>
                <w:tab w:val="left" w:pos="2394"/>
              </w:tabs>
            </w:pPr>
            <w:r w:rsidRPr="51AC5954">
              <w:t>September 2023</w:t>
            </w:r>
          </w:p>
        </w:tc>
      </w:tr>
      <w:tr w:rsidR="003E0EFF" w:rsidRPr="00D46A7E" w14:paraId="3A18805A" w14:textId="77777777" w:rsidTr="51AC5954">
        <w:tc>
          <w:tcPr>
            <w:tcW w:w="5506" w:type="dxa"/>
          </w:tcPr>
          <w:p w14:paraId="504BB460" w14:textId="77777777" w:rsidR="003E0EFF" w:rsidRPr="00D46A7E" w:rsidRDefault="003E0EFF" w:rsidP="003E0EFF">
            <w:pPr>
              <w:tabs>
                <w:tab w:val="left" w:pos="2394"/>
              </w:tabs>
              <w:rPr>
                <w:rFonts w:cstheme="minorHAnsi"/>
              </w:rPr>
            </w:pPr>
            <w:r w:rsidRPr="00835EBC">
              <w:rPr>
                <w:rFonts w:cstheme="minorHAnsi"/>
              </w:rPr>
              <w:t>Policy review by</w:t>
            </w:r>
          </w:p>
        </w:tc>
        <w:tc>
          <w:tcPr>
            <w:tcW w:w="5552" w:type="dxa"/>
          </w:tcPr>
          <w:p w14:paraId="03539F72" w14:textId="01171C10" w:rsidR="003E0EFF" w:rsidRPr="00D46A7E" w:rsidRDefault="51AC5954" w:rsidP="51AC5954">
            <w:pPr>
              <w:tabs>
                <w:tab w:val="left" w:pos="2394"/>
              </w:tabs>
            </w:pPr>
            <w:r w:rsidRPr="51AC5954">
              <w:t>Director of Procurement</w:t>
            </w:r>
          </w:p>
        </w:tc>
      </w:tr>
      <w:tr w:rsidR="003E0EFF" w:rsidRPr="00D46A7E" w14:paraId="2A685020" w14:textId="77777777" w:rsidTr="51AC5954">
        <w:tc>
          <w:tcPr>
            <w:tcW w:w="5506" w:type="dxa"/>
          </w:tcPr>
          <w:p w14:paraId="5900CF6B" w14:textId="77777777" w:rsidR="003E0EFF" w:rsidRPr="00D46A7E" w:rsidRDefault="003E0EFF" w:rsidP="003E0EFF">
            <w:pPr>
              <w:tabs>
                <w:tab w:val="left" w:pos="2394"/>
              </w:tabs>
              <w:rPr>
                <w:rFonts w:cstheme="minorHAnsi"/>
              </w:rPr>
            </w:pPr>
          </w:p>
        </w:tc>
        <w:tc>
          <w:tcPr>
            <w:tcW w:w="5552" w:type="dxa"/>
          </w:tcPr>
          <w:p w14:paraId="0F221ABC" w14:textId="77777777" w:rsidR="003E0EFF" w:rsidRPr="00D46A7E" w:rsidRDefault="003E0EFF" w:rsidP="003E0EFF">
            <w:pPr>
              <w:tabs>
                <w:tab w:val="left" w:pos="2394"/>
              </w:tabs>
              <w:rPr>
                <w:rFonts w:cstheme="minorHAnsi"/>
              </w:rPr>
            </w:pPr>
          </w:p>
        </w:tc>
      </w:tr>
      <w:tr w:rsidR="0010579C" w:rsidRPr="00D46A7E" w14:paraId="0CC8D5BE" w14:textId="77777777" w:rsidTr="51AC5954">
        <w:tc>
          <w:tcPr>
            <w:tcW w:w="11058" w:type="dxa"/>
            <w:gridSpan w:val="2"/>
          </w:tcPr>
          <w:p w14:paraId="7ED6AD71" w14:textId="77777777" w:rsidR="0010579C" w:rsidRPr="00A65A2E" w:rsidRDefault="0010579C" w:rsidP="003E0EFF">
            <w:pPr>
              <w:tabs>
                <w:tab w:val="left" w:pos="2394"/>
              </w:tabs>
              <w:rPr>
                <w:rFonts w:cstheme="minorHAnsi"/>
              </w:rPr>
            </w:pPr>
          </w:p>
        </w:tc>
      </w:tr>
    </w:tbl>
    <w:p w14:paraId="0FBCA016" w14:textId="77777777" w:rsidR="00EF29AD" w:rsidRDefault="00EF29AD" w:rsidP="003D0DC8">
      <w:pPr>
        <w:tabs>
          <w:tab w:val="left" w:pos="2394"/>
        </w:tabs>
        <w:rPr>
          <w:rFonts w:cstheme="minorHAnsi"/>
          <w:b/>
        </w:rPr>
      </w:pPr>
    </w:p>
    <w:p w14:paraId="52561919" w14:textId="77777777" w:rsidR="000222C1" w:rsidRDefault="000222C1" w:rsidP="003D0DC8">
      <w:pPr>
        <w:tabs>
          <w:tab w:val="left" w:pos="2394"/>
        </w:tabs>
        <w:rPr>
          <w:rFonts w:cstheme="minorHAnsi"/>
          <w:b/>
        </w:rPr>
      </w:pPr>
    </w:p>
    <w:p w14:paraId="4C0DBB42" w14:textId="77777777" w:rsidR="00482967" w:rsidRDefault="00482967" w:rsidP="003D0DC8">
      <w:pPr>
        <w:tabs>
          <w:tab w:val="left" w:pos="2394"/>
        </w:tabs>
        <w:rPr>
          <w:rFonts w:cstheme="minorHAnsi"/>
          <w:b/>
        </w:rPr>
      </w:pPr>
    </w:p>
    <w:p w14:paraId="45D5B163" w14:textId="77777777" w:rsidR="00482967" w:rsidRPr="00D46A7E" w:rsidRDefault="00482967" w:rsidP="003D0DC8">
      <w:pPr>
        <w:tabs>
          <w:tab w:val="left" w:pos="2394"/>
        </w:tabs>
        <w:rPr>
          <w:rFonts w:cstheme="minorHAnsi"/>
          <w:b/>
        </w:rPr>
      </w:pPr>
    </w:p>
    <w:tbl>
      <w:tblPr>
        <w:tblStyle w:val="TableGrid"/>
        <w:tblW w:w="11058" w:type="dxa"/>
        <w:tblInd w:w="-998" w:type="dxa"/>
        <w:tblLook w:val="04A0" w:firstRow="1" w:lastRow="0" w:firstColumn="1" w:lastColumn="0" w:noHBand="0" w:noVBand="1"/>
      </w:tblPr>
      <w:tblGrid>
        <w:gridCol w:w="1419"/>
        <w:gridCol w:w="3260"/>
        <w:gridCol w:w="2268"/>
        <w:gridCol w:w="4111"/>
      </w:tblGrid>
      <w:tr w:rsidR="003E0EFF" w:rsidRPr="00D46A7E" w14:paraId="36E5C54E" w14:textId="77777777" w:rsidTr="00A65A2E">
        <w:trPr>
          <w:trHeight w:val="624"/>
        </w:trPr>
        <w:tc>
          <w:tcPr>
            <w:tcW w:w="11058" w:type="dxa"/>
            <w:gridSpan w:val="4"/>
            <w:shd w:val="clear" w:color="auto" w:fill="F2F2F2" w:themeFill="background1" w:themeFillShade="F2"/>
            <w:vAlign w:val="center"/>
          </w:tcPr>
          <w:p w14:paraId="3202F7B6" w14:textId="77777777" w:rsidR="003E0EFF" w:rsidRPr="00D46A7E" w:rsidRDefault="003E0EFF" w:rsidP="00B92B5E">
            <w:pPr>
              <w:tabs>
                <w:tab w:val="left" w:pos="2394"/>
              </w:tabs>
              <w:rPr>
                <w:rFonts w:cstheme="minorHAnsi"/>
                <w:b/>
              </w:rPr>
            </w:pPr>
            <w:r w:rsidRPr="00D46A7E">
              <w:rPr>
                <w:rFonts w:cstheme="minorHAnsi"/>
                <w:b/>
              </w:rPr>
              <w:t>Version control</w:t>
            </w:r>
          </w:p>
        </w:tc>
      </w:tr>
      <w:tr w:rsidR="003E0EFF" w:rsidRPr="00D46A7E" w14:paraId="49080DDC" w14:textId="77777777" w:rsidTr="0C6B08FD">
        <w:tc>
          <w:tcPr>
            <w:tcW w:w="1419" w:type="dxa"/>
          </w:tcPr>
          <w:p w14:paraId="27CF000D" w14:textId="77777777" w:rsidR="003E0EFF" w:rsidRPr="00D46A7E" w:rsidRDefault="003E0EFF" w:rsidP="003E0EFF">
            <w:pPr>
              <w:tabs>
                <w:tab w:val="left" w:pos="2394"/>
              </w:tabs>
              <w:rPr>
                <w:rFonts w:cstheme="minorHAnsi"/>
                <w:b/>
              </w:rPr>
            </w:pPr>
            <w:r w:rsidRPr="00D46A7E">
              <w:rPr>
                <w:rFonts w:cstheme="minorHAnsi"/>
                <w:b/>
              </w:rPr>
              <w:t>Version</w:t>
            </w:r>
          </w:p>
        </w:tc>
        <w:tc>
          <w:tcPr>
            <w:tcW w:w="3260" w:type="dxa"/>
          </w:tcPr>
          <w:p w14:paraId="4B41CDD6" w14:textId="77777777" w:rsidR="003E0EFF" w:rsidRPr="00D46A7E" w:rsidRDefault="003E0EFF" w:rsidP="003E0EFF">
            <w:pPr>
              <w:tabs>
                <w:tab w:val="left" w:pos="2394"/>
              </w:tabs>
              <w:rPr>
                <w:rFonts w:cstheme="minorHAnsi"/>
                <w:b/>
              </w:rPr>
            </w:pPr>
            <w:r w:rsidRPr="00D46A7E">
              <w:rPr>
                <w:rFonts w:cstheme="minorHAnsi"/>
                <w:b/>
              </w:rPr>
              <w:t>Amendment made</w:t>
            </w:r>
          </w:p>
        </w:tc>
        <w:tc>
          <w:tcPr>
            <w:tcW w:w="2268" w:type="dxa"/>
          </w:tcPr>
          <w:p w14:paraId="36825FC9" w14:textId="77777777" w:rsidR="003E0EFF" w:rsidRPr="00D46A7E" w:rsidRDefault="003E0EFF" w:rsidP="003E0EFF">
            <w:pPr>
              <w:tabs>
                <w:tab w:val="left" w:pos="2394"/>
              </w:tabs>
              <w:rPr>
                <w:rFonts w:cstheme="minorHAnsi"/>
                <w:b/>
              </w:rPr>
            </w:pPr>
            <w:r w:rsidRPr="00D46A7E">
              <w:rPr>
                <w:rFonts w:cstheme="minorHAnsi"/>
                <w:b/>
              </w:rPr>
              <w:t>Approval date</w:t>
            </w:r>
          </w:p>
        </w:tc>
        <w:tc>
          <w:tcPr>
            <w:tcW w:w="4111" w:type="dxa"/>
          </w:tcPr>
          <w:p w14:paraId="42A18214" w14:textId="77777777" w:rsidR="003E0EFF" w:rsidRPr="00D46A7E" w:rsidRDefault="003E0EFF" w:rsidP="003E0EFF">
            <w:pPr>
              <w:tabs>
                <w:tab w:val="left" w:pos="2394"/>
              </w:tabs>
              <w:rPr>
                <w:rFonts w:cstheme="minorHAnsi"/>
                <w:b/>
              </w:rPr>
            </w:pPr>
            <w:r w:rsidRPr="00D46A7E">
              <w:rPr>
                <w:rFonts w:cstheme="minorHAnsi"/>
                <w:b/>
              </w:rPr>
              <w:t>Approved by</w:t>
            </w:r>
          </w:p>
        </w:tc>
      </w:tr>
      <w:tr w:rsidR="003E0EFF" w:rsidRPr="00D46A7E" w14:paraId="73412D8C" w14:textId="77777777" w:rsidTr="0C6B08FD">
        <w:tc>
          <w:tcPr>
            <w:tcW w:w="1419" w:type="dxa"/>
          </w:tcPr>
          <w:p w14:paraId="55088D88" w14:textId="77777777" w:rsidR="003E0EFF" w:rsidRPr="00D46A7E" w:rsidRDefault="003E0EFF" w:rsidP="003D0DC8">
            <w:pPr>
              <w:tabs>
                <w:tab w:val="left" w:pos="2394"/>
              </w:tabs>
              <w:rPr>
                <w:rFonts w:cstheme="minorHAnsi"/>
              </w:rPr>
            </w:pPr>
          </w:p>
        </w:tc>
        <w:tc>
          <w:tcPr>
            <w:tcW w:w="3260" w:type="dxa"/>
          </w:tcPr>
          <w:p w14:paraId="442A87BA" w14:textId="77777777" w:rsidR="003E0EFF" w:rsidRPr="00D46A7E" w:rsidRDefault="003E0EFF" w:rsidP="003D0DC8">
            <w:pPr>
              <w:tabs>
                <w:tab w:val="left" w:pos="2394"/>
              </w:tabs>
              <w:rPr>
                <w:rFonts w:cstheme="minorHAnsi"/>
              </w:rPr>
            </w:pPr>
          </w:p>
        </w:tc>
        <w:tc>
          <w:tcPr>
            <w:tcW w:w="2268" w:type="dxa"/>
          </w:tcPr>
          <w:p w14:paraId="2EA5C4EF" w14:textId="77777777" w:rsidR="003E0EFF" w:rsidRPr="00D46A7E" w:rsidRDefault="003E0EFF" w:rsidP="003D0DC8">
            <w:pPr>
              <w:tabs>
                <w:tab w:val="left" w:pos="2394"/>
              </w:tabs>
              <w:rPr>
                <w:rFonts w:cstheme="minorHAnsi"/>
              </w:rPr>
            </w:pPr>
          </w:p>
        </w:tc>
        <w:tc>
          <w:tcPr>
            <w:tcW w:w="4111" w:type="dxa"/>
          </w:tcPr>
          <w:p w14:paraId="2880E0EA" w14:textId="77777777" w:rsidR="003E0EFF" w:rsidRPr="00D46A7E" w:rsidRDefault="003E0EFF" w:rsidP="003D0DC8">
            <w:pPr>
              <w:tabs>
                <w:tab w:val="left" w:pos="2394"/>
              </w:tabs>
              <w:rPr>
                <w:rFonts w:cstheme="minorHAnsi"/>
              </w:rPr>
            </w:pPr>
          </w:p>
        </w:tc>
      </w:tr>
      <w:tr w:rsidR="003E0EFF" w:rsidRPr="00D46A7E" w14:paraId="6B5FBBC2" w14:textId="77777777" w:rsidTr="0C6B08FD">
        <w:tc>
          <w:tcPr>
            <w:tcW w:w="1419" w:type="dxa"/>
          </w:tcPr>
          <w:p w14:paraId="267D4B12" w14:textId="77777777" w:rsidR="003E0EFF" w:rsidRPr="00D46A7E" w:rsidRDefault="003E0EFF" w:rsidP="003D0DC8">
            <w:pPr>
              <w:tabs>
                <w:tab w:val="left" w:pos="2394"/>
              </w:tabs>
              <w:rPr>
                <w:rFonts w:cstheme="minorHAnsi"/>
              </w:rPr>
            </w:pPr>
          </w:p>
        </w:tc>
        <w:tc>
          <w:tcPr>
            <w:tcW w:w="3260" w:type="dxa"/>
          </w:tcPr>
          <w:p w14:paraId="2FB5CB14" w14:textId="77777777" w:rsidR="003E0EFF" w:rsidRPr="00D46A7E" w:rsidRDefault="003E0EFF" w:rsidP="003D0DC8">
            <w:pPr>
              <w:tabs>
                <w:tab w:val="left" w:pos="2394"/>
              </w:tabs>
              <w:rPr>
                <w:rFonts w:cstheme="minorHAnsi"/>
              </w:rPr>
            </w:pPr>
          </w:p>
        </w:tc>
        <w:tc>
          <w:tcPr>
            <w:tcW w:w="2268" w:type="dxa"/>
          </w:tcPr>
          <w:p w14:paraId="6C3C9A6D" w14:textId="77777777" w:rsidR="003E0EFF" w:rsidRPr="00D46A7E" w:rsidRDefault="003E0EFF" w:rsidP="003D0DC8">
            <w:pPr>
              <w:tabs>
                <w:tab w:val="left" w:pos="2394"/>
              </w:tabs>
              <w:rPr>
                <w:rFonts w:cstheme="minorHAnsi"/>
              </w:rPr>
            </w:pPr>
          </w:p>
        </w:tc>
        <w:tc>
          <w:tcPr>
            <w:tcW w:w="4111" w:type="dxa"/>
          </w:tcPr>
          <w:p w14:paraId="6BFD3178" w14:textId="77777777" w:rsidR="003E0EFF" w:rsidRPr="00D46A7E" w:rsidRDefault="003E0EFF" w:rsidP="003D0DC8">
            <w:pPr>
              <w:tabs>
                <w:tab w:val="left" w:pos="2394"/>
              </w:tabs>
              <w:rPr>
                <w:rFonts w:cstheme="minorHAnsi"/>
              </w:rPr>
            </w:pPr>
          </w:p>
        </w:tc>
      </w:tr>
      <w:tr w:rsidR="003E0EFF" w:rsidRPr="00D46A7E" w14:paraId="379257B7" w14:textId="77777777" w:rsidTr="0C6B08FD">
        <w:tc>
          <w:tcPr>
            <w:tcW w:w="1419" w:type="dxa"/>
          </w:tcPr>
          <w:p w14:paraId="52B2E25C" w14:textId="77777777" w:rsidR="003E0EFF" w:rsidRPr="00835EBC" w:rsidRDefault="003E0EFF" w:rsidP="0C6B08FD">
            <w:pPr>
              <w:tabs>
                <w:tab w:val="left" w:pos="2394"/>
              </w:tabs>
              <w:spacing w:line="259" w:lineRule="auto"/>
              <w:rPr>
                <w:rFonts w:cstheme="minorHAnsi"/>
              </w:rPr>
            </w:pPr>
          </w:p>
        </w:tc>
        <w:tc>
          <w:tcPr>
            <w:tcW w:w="3260" w:type="dxa"/>
          </w:tcPr>
          <w:p w14:paraId="33A2B804" w14:textId="77777777" w:rsidR="003E0EFF" w:rsidRPr="00A65A2E" w:rsidRDefault="003E0EFF" w:rsidP="0C6B08FD">
            <w:pPr>
              <w:tabs>
                <w:tab w:val="left" w:pos="2394"/>
              </w:tabs>
              <w:rPr>
                <w:rFonts w:cstheme="minorHAnsi"/>
              </w:rPr>
            </w:pPr>
          </w:p>
        </w:tc>
        <w:tc>
          <w:tcPr>
            <w:tcW w:w="2268" w:type="dxa"/>
          </w:tcPr>
          <w:p w14:paraId="047A4E12" w14:textId="77777777" w:rsidR="003E0EFF" w:rsidRPr="00D46A7E" w:rsidRDefault="003E0EFF" w:rsidP="003D0DC8">
            <w:pPr>
              <w:tabs>
                <w:tab w:val="left" w:pos="2394"/>
              </w:tabs>
              <w:rPr>
                <w:rFonts w:cstheme="minorHAnsi"/>
              </w:rPr>
            </w:pPr>
          </w:p>
        </w:tc>
        <w:tc>
          <w:tcPr>
            <w:tcW w:w="4111" w:type="dxa"/>
          </w:tcPr>
          <w:p w14:paraId="6311A922" w14:textId="77777777" w:rsidR="003E0EFF" w:rsidRPr="00D46A7E" w:rsidRDefault="003E0EFF" w:rsidP="003D0DC8">
            <w:pPr>
              <w:tabs>
                <w:tab w:val="left" w:pos="2394"/>
              </w:tabs>
              <w:rPr>
                <w:rFonts w:cstheme="minorHAnsi"/>
              </w:rPr>
            </w:pPr>
          </w:p>
        </w:tc>
      </w:tr>
    </w:tbl>
    <w:p w14:paraId="043BE392" w14:textId="77777777" w:rsidR="003D0DC8" w:rsidRPr="003D0DC8" w:rsidRDefault="003D0DC8" w:rsidP="003D0DC8">
      <w:pPr>
        <w:tabs>
          <w:tab w:val="left" w:pos="2394"/>
        </w:tabs>
        <w:rPr>
          <w:rFonts w:cstheme="minorHAnsi"/>
        </w:rPr>
      </w:pPr>
    </w:p>
    <w:sectPr w:rsidR="003D0DC8" w:rsidRPr="003D0DC8" w:rsidSect="00A65A2E">
      <w:headerReference w:type="default" r:id="rId30"/>
      <w:footerReference w:type="default" r:id="rId31"/>
      <w:pgSz w:w="11906" w:h="16838"/>
      <w:pgMar w:top="426" w:right="1440" w:bottom="142"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7508" w14:textId="77777777" w:rsidR="00903F2C" w:rsidRDefault="00903F2C" w:rsidP="00490D8B">
      <w:pPr>
        <w:spacing w:after="0" w:line="240" w:lineRule="auto"/>
      </w:pPr>
      <w:r>
        <w:separator/>
      </w:r>
    </w:p>
  </w:endnote>
  <w:endnote w:type="continuationSeparator" w:id="0">
    <w:p w14:paraId="0885AD5B" w14:textId="77777777" w:rsidR="00903F2C" w:rsidRDefault="00903F2C" w:rsidP="00490D8B">
      <w:pPr>
        <w:spacing w:after="0" w:line="240" w:lineRule="auto"/>
      </w:pPr>
      <w:r>
        <w:continuationSeparator/>
      </w:r>
    </w:p>
  </w:endnote>
  <w:endnote w:type="continuationNotice" w:id="1">
    <w:p w14:paraId="4F4FE185" w14:textId="77777777" w:rsidR="00903F2C" w:rsidRDefault="00903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72857"/>
      <w:docPartObj>
        <w:docPartGallery w:val="Page Numbers (Bottom of Page)"/>
        <w:docPartUnique/>
      </w:docPartObj>
    </w:sdtPr>
    <w:sdtContent>
      <w:p w14:paraId="0E17598B" w14:textId="77777777" w:rsidR="009D1603" w:rsidRPr="00490D8B" w:rsidRDefault="00C07BA9">
        <w:pPr>
          <w:pStyle w:val="Footer"/>
          <w:jc w:val="right"/>
          <w:rPr>
            <w:color w:val="A6A6A6" w:themeColor="background1" w:themeShade="A6"/>
          </w:rPr>
        </w:pPr>
        <w:r>
          <w:t>17</w:t>
        </w:r>
        <w:r w:rsidR="00361E69">
          <w:t xml:space="preserve"> </w:t>
        </w:r>
        <w:r w:rsidR="00A61597">
          <w:t xml:space="preserve">March </w:t>
        </w:r>
        <w:r>
          <w:t>2</w:t>
        </w:r>
        <w:r w:rsidR="006F42DC">
          <w:t>022</w:t>
        </w:r>
      </w:p>
      <w:p w14:paraId="30D2E8A9" w14:textId="05B32ABF" w:rsidR="009D1603" w:rsidRDefault="00000000" w:rsidP="00490D8B">
        <w:pPr>
          <w:pStyle w:val="Footer"/>
          <w:jc w:val="center"/>
        </w:pPr>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9D1603">
              <w:t xml:space="preserve">Page </w:t>
            </w:r>
            <w:r w:rsidR="009D1603">
              <w:rPr>
                <w:b/>
                <w:bCs/>
                <w:color w:val="2B579A"/>
                <w:sz w:val="24"/>
                <w:szCs w:val="24"/>
                <w:shd w:val="clear" w:color="auto" w:fill="E6E6E6"/>
              </w:rPr>
              <w:fldChar w:fldCharType="begin"/>
            </w:r>
            <w:r w:rsidR="009D1603">
              <w:rPr>
                <w:b/>
                <w:bCs/>
              </w:rPr>
              <w:instrText xml:space="preserve"> PAGE </w:instrText>
            </w:r>
            <w:r w:rsidR="009D1603">
              <w:rPr>
                <w:b/>
                <w:bCs/>
                <w:color w:val="2B579A"/>
                <w:sz w:val="24"/>
                <w:szCs w:val="24"/>
                <w:shd w:val="clear" w:color="auto" w:fill="E6E6E6"/>
              </w:rPr>
              <w:fldChar w:fldCharType="separate"/>
            </w:r>
            <w:r w:rsidR="00FE2FCD">
              <w:rPr>
                <w:b/>
                <w:bCs/>
                <w:noProof/>
              </w:rPr>
              <w:t>5</w:t>
            </w:r>
            <w:r w:rsidR="009D1603">
              <w:rPr>
                <w:b/>
                <w:bCs/>
                <w:color w:val="2B579A"/>
                <w:sz w:val="24"/>
                <w:szCs w:val="24"/>
                <w:shd w:val="clear" w:color="auto" w:fill="E6E6E6"/>
              </w:rPr>
              <w:fldChar w:fldCharType="end"/>
            </w:r>
            <w:r w:rsidR="009D1603">
              <w:t xml:space="preserve"> of </w:t>
            </w:r>
            <w:r w:rsidR="009D1603">
              <w:rPr>
                <w:b/>
                <w:bCs/>
                <w:color w:val="2B579A"/>
                <w:sz w:val="24"/>
                <w:szCs w:val="24"/>
                <w:shd w:val="clear" w:color="auto" w:fill="E6E6E6"/>
              </w:rPr>
              <w:fldChar w:fldCharType="begin"/>
            </w:r>
            <w:r w:rsidR="009D1603">
              <w:rPr>
                <w:b/>
                <w:bCs/>
              </w:rPr>
              <w:instrText xml:space="preserve"> NUMPAGES  </w:instrText>
            </w:r>
            <w:r w:rsidR="009D1603">
              <w:rPr>
                <w:b/>
                <w:bCs/>
                <w:color w:val="2B579A"/>
                <w:sz w:val="24"/>
                <w:szCs w:val="24"/>
                <w:shd w:val="clear" w:color="auto" w:fill="E6E6E6"/>
              </w:rPr>
              <w:fldChar w:fldCharType="separate"/>
            </w:r>
            <w:r w:rsidR="00FE2FCD">
              <w:rPr>
                <w:b/>
                <w:bCs/>
                <w:noProof/>
              </w:rPr>
              <w:t>5</w:t>
            </w:r>
            <w:r w:rsidR="009D1603">
              <w:rPr>
                <w:b/>
                <w:bCs/>
                <w:color w:val="2B579A"/>
                <w:sz w:val="24"/>
                <w:szCs w:val="24"/>
                <w:shd w:val="clear" w:color="auto" w:fill="E6E6E6"/>
              </w:rPr>
              <w:fldChar w:fldCharType="end"/>
            </w:r>
          </w:sdtContent>
        </w:sdt>
      </w:p>
    </w:sdtContent>
  </w:sdt>
  <w:p w14:paraId="263479F5" w14:textId="77777777" w:rsidR="009D1603" w:rsidRDefault="009D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B5AB" w14:textId="77777777" w:rsidR="00903F2C" w:rsidRDefault="00903F2C" w:rsidP="00490D8B">
      <w:pPr>
        <w:spacing w:after="0" w:line="240" w:lineRule="auto"/>
      </w:pPr>
      <w:r>
        <w:separator/>
      </w:r>
    </w:p>
  </w:footnote>
  <w:footnote w:type="continuationSeparator" w:id="0">
    <w:p w14:paraId="741A870B" w14:textId="77777777" w:rsidR="00903F2C" w:rsidRDefault="00903F2C" w:rsidP="00490D8B">
      <w:pPr>
        <w:spacing w:after="0" w:line="240" w:lineRule="auto"/>
      </w:pPr>
      <w:r>
        <w:continuationSeparator/>
      </w:r>
    </w:p>
  </w:footnote>
  <w:footnote w:type="continuationNotice" w:id="1">
    <w:p w14:paraId="10146B1C" w14:textId="77777777" w:rsidR="00903F2C" w:rsidRDefault="00903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F87A" w14:textId="16E919C8" w:rsidR="009D1603" w:rsidRDefault="009D1603">
    <w:pPr>
      <w:pStyle w:val="Header"/>
    </w:pPr>
  </w:p>
  <w:p w14:paraId="3C744EFD" w14:textId="77777777" w:rsidR="009D1603" w:rsidRDefault="009D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CC"/>
    <w:multiLevelType w:val="hybridMultilevel"/>
    <w:tmpl w:val="1E9A80AA"/>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163D"/>
    <w:multiLevelType w:val="hybridMultilevel"/>
    <w:tmpl w:val="004E1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17BC"/>
    <w:multiLevelType w:val="hybridMultilevel"/>
    <w:tmpl w:val="9C6C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C6B04"/>
    <w:multiLevelType w:val="hybridMultilevel"/>
    <w:tmpl w:val="71B6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6785C"/>
    <w:multiLevelType w:val="hybridMultilevel"/>
    <w:tmpl w:val="C96CEC98"/>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1105E"/>
    <w:multiLevelType w:val="hybridMultilevel"/>
    <w:tmpl w:val="5022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6E0B26"/>
    <w:multiLevelType w:val="hybridMultilevel"/>
    <w:tmpl w:val="41164916"/>
    <w:lvl w:ilvl="0" w:tplc="5F245766">
      <w:start w:val="4"/>
      <w:numFmt w:val="decimal"/>
      <w:lvlText w:val="%1"/>
      <w:lvlJc w:val="left"/>
      <w:pPr>
        <w:ind w:left="1080" w:hanging="360"/>
      </w:pPr>
      <w:rPr>
        <w:rFonts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0614BD"/>
    <w:multiLevelType w:val="hybridMultilevel"/>
    <w:tmpl w:val="EB1C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412F8"/>
    <w:multiLevelType w:val="hybridMultilevel"/>
    <w:tmpl w:val="F336E62E"/>
    <w:lvl w:ilvl="0" w:tplc="77B03E2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6D749F"/>
    <w:multiLevelType w:val="hybridMultilevel"/>
    <w:tmpl w:val="725EF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A4D1B"/>
    <w:multiLevelType w:val="hybridMultilevel"/>
    <w:tmpl w:val="B13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74D10"/>
    <w:multiLevelType w:val="hybridMultilevel"/>
    <w:tmpl w:val="61D6D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220D6"/>
    <w:multiLevelType w:val="hybridMultilevel"/>
    <w:tmpl w:val="DE749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03E19"/>
    <w:multiLevelType w:val="hybridMultilevel"/>
    <w:tmpl w:val="EF4AA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C6197"/>
    <w:multiLevelType w:val="hybridMultilevel"/>
    <w:tmpl w:val="6CD2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8769E"/>
    <w:multiLevelType w:val="hybridMultilevel"/>
    <w:tmpl w:val="77F21620"/>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300107">
    <w:abstractNumId w:val="12"/>
  </w:num>
  <w:num w:numId="2" w16cid:durableId="202719174">
    <w:abstractNumId w:val="1"/>
  </w:num>
  <w:num w:numId="3" w16cid:durableId="1387097212">
    <w:abstractNumId w:val="7"/>
  </w:num>
  <w:num w:numId="4" w16cid:durableId="570118838">
    <w:abstractNumId w:val="4"/>
  </w:num>
  <w:num w:numId="5" w16cid:durableId="765079235">
    <w:abstractNumId w:val="2"/>
  </w:num>
  <w:num w:numId="6" w16cid:durableId="1003320988">
    <w:abstractNumId w:val="15"/>
  </w:num>
  <w:num w:numId="7" w16cid:durableId="1898278280">
    <w:abstractNumId w:val="10"/>
  </w:num>
  <w:num w:numId="8" w16cid:durableId="1806584006">
    <w:abstractNumId w:val="0"/>
  </w:num>
  <w:num w:numId="9" w16cid:durableId="279460026">
    <w:abstractNumId w:val="6"/>
  </w:num>
  <w:num w:numId="10" w16cid:durableId="193346243">
    <w:abstractNumId w:val="8"/>
  </w:num>
  <w:num w:numId="11" w16cid:durableId="309597563">
    <w:abstractNumId w:val="5"/>
  </w:num>
  <w:num w:numId="12" w16cid:durableId="1352608646">
    <w:abstractNumId w:val="13"/>
  </w:num>
  <w:num w:numId="13" w16cid:durableId="131412405">
    <w:abstractNumId w:val="11"/>
  </w:num>
  <w:num w:numId="14" w16cid:durableId="1000889679">
    <w:abstractNumId w:val="3"/>
  </w:num>
  <w:num w:numId="15" w16cid:durableId="2015959638">
    <w:abstractNumId w:val="9"/>
  </w:num>
  <w:num w:numId="16" w16cid:durableId="30409367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tjQyNTEzMbEwsDBX0lEKTi0uzszPAykwrAUAVyHDNiwAAAA="/>
  </w:docVars>
  <w:rsids>
    <w:rsidRoot w:val="00143F31"/>
    <w:rsid w:val="000008DE"/>
    <w:rsid w:val="000122A2"/>
    <w:rsid w:val="00014985"/>
    <w:rsid w:val="000222C1"/>
    <w:rsid w:val="00022CB6"/>
    <w:rsid w:val="00030E17"/>
    <w:rsid w:val="0003141E"/>
    <w:rsid w:val="00032CFE"/>
    <w:rsid w:val="00037F19"/>
    <w:rsid w:val="00044C4A"/>
    <w:rsid w:val="000645D2"/>
    <w:rsid w:val="00065ADA"/>
    <w:rsid w:val="00066095"/>
    <w:rsid w:val="00072210"/>
    <w:rsid w:val="000730A3"/>
    <w:rsid w:val="000867FF"/>
    <w:rsid w:val="00087610"/>
    <w:rsid w:val="00090529"/>
    <w:rsid w:val="00094216"/>
    <w:rsid w:val="00094860"/>
    <w:rsid w:val="00095EBC"/>
    <w:rsid w:val="000978CE"/>
    <w:rsid w:val="000A0523"/>
    <w:rsid w:val="000A150A"/>
    <w:rsid w:val="000A20EB"/>
    <w:rsid w:val="000A266B"/>
    <w:rsid w:val="000A59A2"/>
    <w:rsid w:val="000B32EE"/>
    <w:rsid w:val="000B3C1D"/>
    <w:rsid w:val="000B7FAA"/>
    <w:rsid w:val="000C0B94"/>
    <w:rsid w:val="000D6A8F"/>
    <w:rsid w:val="000E596E"/>
    <w:rsid w:val="000F757F"/>
    <w:rsid w:val="00100B17"/>
    <w:rsid w:val="001026DC"/>
    <w:rsid w:val="00103EBC"/>
    <w:rsid w:val="0010579C"/>
    <w:rsid w:val="00107E11"/>
    <w:rsid w:val="001164AB"/>
    <w:rsid w:val="001167E0"/>
    <w:rsid w:val="00121691"/>
    <w:rsid w:val="001226F5"/>
    <w:rsid w:val="00130B67"/>
    <w:rsid w:val="00135EB6"/>
    <w:rsid w:val="00136CCF"/>
    <w:rsid w:val="00137002"/>
    <w:rsid w:val="00141CF1"/>
    <w:rsid w:val="00143F31"/>
    <w:rsid w:val="00144953"/>
    <w:rsid w:val="00150917"/>
    <w:rsid w:val="00151252"/>
    <w:rsid w:val="001512AD"/>
    <w:rsid w:val="00156F66"/>
    <w:rsid w:val="001640ED"/>
    <w:rsid w:val="00165859"/>
    <w:rsid w:val="00176009"/>
    <w:rsid w:val="001776D1"/>
    <w:rsid w:val="00192D41"/>
    <w:rsid w:val="001A2D74"/>
    <w:rsid w:val="001A54AB"/>
    <w:rsid w:val="001A59C5"/>
    <w:rsid w:val="001B0A87"/>
    <w:rsid w:val="001B29EA"/>
    <w:rsid w:val="001B4CF3"/>
    <w:rsid w:val="001BB971"/>
    <w:rsid w:val="001C3E51"/>
    <w:rsid w:val="001C400F"/>
    <w:rsid w:val="001C5133"/>
    <w:rsid w:val="001D3632"/>
    <w:rsid w:val="001E0DDD"/>
    <w:rsid w:val="001E428B"/>
    <w:rsid w:val="001E6024"/>
    <w:rsid w:val="001F04B1"/>
    <w:rsid w:val="001F082F"/>
    <w:rsid w:val="001F1603"/>
    <w:rsid w:val="001F4423"/>
    <w:rsid w:val="001F5A99"/>
    <w:rsid w:val="00200758"/>
    <w:rsid w:val="002017F8"/>
    <w:rsid w:val="00201934"/>
    <w:rsid w:val="00201D8B"/>
    <w:rsid w:val="0020282C"/>
    <w:rsid w:val="002127B7"/>
    <w:rsid w:val="00221BE7"/>
    <w:rsid w:val="00233DFE"/>
    <w:rsid w:val="002353BC"/>
    <w:rsid w:val="00240B17"/>
    <w:rsid w:val="00241771"/>
    <w:rsid w:val="00241BAB"/>
    <w:rsid w:val="00241DBC"/>
    <w:rsid w:val="00241FBD"/>
    <w:rsid w:val="00244FFE"/>
    <w:rsid w:val="00246158"/>
    <w:rsid w:val="00246839"/>
    <w:rsid w:val="00246BEE"/>
    <w:rsid w:val="002518F4"/>
    <w:rsid w:val="00253284"/>
    <w:rsid w:val="002638A1"/>
    <w:rsid w:val="002672CE"/>
    <w:rsid w:val="00267DED"/>
    <w:rsid w:val="00277529"/>
    <w:rsid w:val="002817EF"/>
    <w:rsid w:val="002824CC"/>
    <w:rsid w:val="00295D85"/>
    <w:rsid w:val="002A0D31"/>
    <w:rsid w:val="002A50AD"/>
    <w:rsid w:val="002B2FB6"/>
    <w:rsid w:val="002B5A38"/>
    <w:rsid w:val="002C036F"/>
    <w:rsid w:val="002C24B2"/>
    <w:rsid w:val="002C76C0"/>
    <w:rsid w:val="002E1DDA"/>
    <w:rsid w:val="002E381E"/>
    <w:rsid w:val="002E3AAA"/>
    <w:rsid w:val="002E40C7"/>
    <w:rsid w:val="002E6934"/>
    <w:rsid w:val="002E6DAE"/>
    <w:rsid w:val="002F04B5"/>
    <w:rsid w:val="002F2CB7"/>
    <w:rsid w:val="003024A0"/>
    <w:rsid w:val="00302F86"/>
    <w:rsid w:val="00307861"/>
    <w:rsid w:val="00316C96"/>
    <w:rsid w:val="00321E04"/>
    <w:rsid w:val="00326315"/>
    <w:rsid w:val="003310E5"/>
    <w:rsid w:val="0033172D"/>
    <w:rsid w:val="00342096"/>
    <w:rsid w:val="003439D1"/>
    <w:rsid w:val="003454BC"/>
    <w:rsid w:val="0034769C"/>
    <w:rsid w:val="00352BD2"/>
    <w:rsid w:val="003552F4"/>
    <w:rsid w:val="00361E69"/>
    <w:rsid w:val="00362C31"/>
    <w:rsid w:val="00380BE8"/>
    <w:rsid w:val="003824B5"/>
    <w:rsid w:val="0038647A"/>
    <w:rsid w:val="003A447F"/>
    <w:rsid w:val="003B4113"/>
    <w:rsid w:val="003B425F"/>
    <w:rsid w:val="003B4644"/>
    <w:rsid w:val="003C3AB8"/>
    <w:rsid w:val="003C72FB"/>
    <w:rsid w:val="003D0DC8"/>
    <w:rsid w:val="003D4DF8"/>
    <w:rsid w:val="003D58AF"/>
    <w:rsid w:val="003D5BA2"/>
    <w:rsid w:val="003E0EFF"/>
    <w:rsid w:val="003E59B8"/>
    <w:rsid w:val="00411C07"/>
    <w:rsid w:val="004226DC"/>
    <w:rsid w:val="00422DE6"/>
    <w:rsid w:val="00425250"/>
    <w:rsid w:val="00426C63"/>
    <w:rsid w:val="00433096"/>
    <w:rsid w:val="00433D90"/>
    <w:rsid w:val="00435280"/>
    <w:rsid w:val="004357BB"/>
    <w:rsid w:val="00436C48"/>
    <w:rsid w:val="00440977"/>
    <w:rsid w:val="004474C4"/>
    <w:rsid w:val="004522CF"/>
    <w:rsid w:val="0045674B"/>
    <w:rsid w:val="00457C61"/>
    <w:rsid w:val="00465374"/>
    <w:rsid w:val="00482967"/>
    <w:rsid w:val="004862EE"/>
    <w:rsid w:val="0048661C"/>
    <w:rsid w:val="0049097E"/>
    <w:rsid w:val="00490D8B"/>
    <w:rsid w:val="004A5FFF"/>
    <w:rsid w:val="004B2CA8"/>
    <w:rsid w:val="004B3AC8"/>
    <w:rsid w:val="004B41C8"/>
    <w:rsid w:val="004B75FB"/>
    <w:rsid w:val="004C3D96"/>
    <w:rsid w:val="004D3EF6"/>
    <w:rsid w:val="004E244A"/>
    <w:rsid w:val="004E5A80"/>
    <w:rsid w:val="004F1693"/>
    <w:rsid w:val="004F6F1D"/>
    <w:rsid w:val="00501745"/>
    <w:rsid w:val="00512057"/>
    <w:rsid w:val="00514AD9"/>
    <w:rsid w:val="0051560D"/>
    <w:rsid w:val="005159F7"/>
    <w:rsid w:val="005222B7"/>
    <w:rsid w:val="005263C4"/>
    <w:rsid w:val="005305E0"/>
    <w:rsid w:val="005325B0"/>
    <w:rsid w:val="005328BF"/>
    <w:rsid w:val="005379B3"/>
    <w:rsid w:val="00541F3C"/>
    <w:rsid w:val="00545066"/>
    <w:rsid w:val="00546566"/>
    <w:rsid w:val="00561008"/>
    <w:rsid w:val="00562F0E"/>
    <w:rsid w:val="005634D1"/>
    <w:rsid w:val="00563D36"/>
    <w:rsid w:val="00565AC9"/>
    <w:rsid w:val="00582D1C"/>
    <w:rsid w:val="0059591A"/>
    <w:rsid w:val="005A24C0"/>
    <w:rsid w:val="005A2551"/>
    <w:rsid w:val="005A6A2E"/>
    <w:rsid w:val="005B3FB2"/>
    <w:rsid w:val="005B5222"/>
    <w:rsid w:val="005B5F8D"/>
    <w:rsid w:val="005B7799"/>
    <w:rsid w:val="005C43A8"/>
    <w:rsid w:val="005C4A83"/>
    <w:rsid w:val="005C56A5"/>
    <w:rsid w:val="005C5AF8"/>
    <w:rsid w:val="005D6F3B"/>
    <w:rsid w:val="005E34A2"/>
    <w:rsid w:val="005F0868"/>
    <w:rsid w:val="005F10E4"/>
    <w:rsid w:val="005F2459"/>
    <w:rsid w:val="00605CD4"/>
    <w:rsid w:val="00606868"/>
    <w:rsid w:val="00610CFA"/>
    <w:rsid w:val="0061276F"/>
    <w:rsid w:val="00615121"/>
    <w:rsid w:val="00624014"/>
    <w:rsid w:val="006276AD"/>
    <w:rsid w:val="006334DB"/>
    <w:rsid w:val="0064113A"/>
    <w:rsid w:val="00642778"/>
    <w:rsid w:val="006555AC"/>
    <w:rsid w:val="00660ADA"/>
    <w:rsid w:val="006622C2"/>
    <w:rsid w:val="0066744A"/>
    <w:rsid w:val="00670CDE"/>
    <w:rsid w:val="0067138B"/>
    <w:rsid w:val="00676BEC"/>
    <w:rsid w:val="00676C89"/>
    <w:rsid w:val="00690587"/>
    <w:rsid w:val="00696C91"/>
    <w:rsid w:val="00696FED"/>
    <w:rsid w:val="006A11EF"/>
    <w:rsid w:val="006A694D"/>
    <w:rsid w:val="006B0CF5"/>
    <w:rsid w:val="006C04D7"/>
    <w:rsid w:val="006D1A63"/>
    <w:rsid w:val="006D1EB2"/>
    <w:rsid w:val="006E019A"/>
    <w:rsid w:val="006E2922"/>
    <w:rsid w:val="006E3631"/>
    <w:rsid w:val="006E3AA6"/>
    <w:rsid w:val="006F3DE4"/>
    <w:rsid w:val="006F42DC"/>
    <w:rsid w:val="006F455F"/>
    <w:rsid w:val="006F63FA"/>
    <w:rsid w:val="00700D74"/>
    <w:rsid w:val="00704B4A"/>
    <w:rsid w:val="00704FFF"/>
    <w:rsid w:val="0071461B"/>
    <w:rsid w:val="00714CCB"/>
    <w:rsid w:val="00721CB5"/>
    <w:rsid w:val="007230FC"/>
    <w:rsid w:val="00727A3F"/>
    <w:rsid w:val="007416AF"/>
    <w:rsid w:val="0074428C"/>
    <w:rsid w:val="00744385"/>
    <w:rsid w:val="00752681"/>
    <w:rsid w:val="00756419"/>
    <w:rsid w:val="00757D10"/>
    <w:rsid w:val="00761599"/>
    <w:rsid w:val="00761B68"/>
    <w:rsid w:val="00764149"/>
    <w:rsid w:val="007651E7"/>
    <w:rsid w:val="007705EA"/>
    <w:rsid w:val="007714A2"/>
    <w:rsid w:val="00785367"/>
    <w:rsid w:val="00787AC5"/>
    <w:rsid w:val="00793B38"/>
    <w:rsid w:val="00794900"/>
    <w:rsid w:val="007A2C80"/>
    <w:rsid w:val="007B189A"/>
    <w:rsid w:val="007B25D3"/>
    <w:rsid w:val="007B45BD"/>
    <w:rsid w:val="007C1D8D"/>
    <w:rsid w:val="007C1DEB"/>
    <w:rsid w:val="007C6359"/>
    <w:rsid w:val="007D11E8"/>
    <w:rsid w:val="007D1548"/>
    <w:rsid w:val="007D25EB"/>
    <w:rsid w:val="007D3C4B"/>
    <w:rsid w:val="007F443C"/>
    <w:rsid w:val="007F4958"/>
    <w:rsid w:val="007F5642"/>
    <w:rsid w:val="00802E1F"/>
    <w:rsid w:val="008042A5"/>
    <w:rsid w:val="008073F1"/>
    <w:rsid w:val="008117E4"/>
    <w:rsid w:val="00813C87"/>
    <w:rsid w:val="00813ED3"/>
    <w:rsid w:val="008149E0"/>
    <w:rsid w:val="00820EA2"/>
    <w:rsid w:val="008215A1"/>
    <w:rsid w:val="008274F5"/>
    <w:rsid w:val="00831228"/>
    <w:rsid w:val="0083460E"/>
    <w:rsid w:val="0083478A"/>
    <w:rsid w:val="00835EBC"/>
    <w:rsid w:val="00840800"/>
    <w:rsid w:val="00846781"/>
    <w:rsid w:val="00862E59"/>
    <w:rsid w:val="00865F60"/>
    <w:rsid w:val="00870FCC"/>
    <w:rsid w:val="00885CF2"/>
    <w:rsid w:val="00886081"/>
    <w:rsid w:val="00886577"/>
    <w:rsid w:val="00886783"/>
    <w:rsid w:val="00887080"/>
    <w:rsid w:val="008905CF"/>
    <w:rsid w:val="00890CBC"/>
    <w:rsid w:val="008945F5"/>
    <w:rsid w:val="008951B4"/>
    <w:rsid w:val="00897090"/>
    <w:rsid w:val="00897D70"/>
    <w:rsid w:val="008A3D98"/>
    <w:rsid w:val="008A5ECF"/>
    <w:rsid w:val="008B05AD"/>
    <w:rsid w:val="008B78B3"/>
    <w:rsid w:val="008C5ABB"/>
    <w:rsid w:val="008D2AE4"/>
    <w:rsid w:val="008E37B7"/>
    <w:rsid w:val="008F0537"/>
    <w:rsid w:val="008F6CC5"/>
    <w:rsid w:val="008F6EC3"/>
    <w:rsid w:val="00903F2C"/>
    <w:rsid w:val="00905424"/>
    <w:rsid w:val="0091061C"/>
    <w:rsid w:val="009263D3"/>
    <w:rsid w:val="00934D52"/>
    <w:rsid w:val="0094338C"/>
    <w:rsid w:val="00946E3E"/>
    <w:rsid w:val="009479E5"/>
    <w:rsid w:val="00952102"/>
    <w:rsid w:val="00957E06"/>
    <w:rsid w:val="00964255"/>
    <w:rsid w:val="00981B4A"/>
    <w:rsid w:val="0098329D"/>
    <w:rsid w:val="009865CA"/>
    <w:rsid w:val="00986820"/>
    <w:rsid w:val="00991639"/>
    <w:rsid w:val="009B6708"/>
    <w:rsid w:val="009B7351"/>
    <w:rsid w:val="009C14AD"/>
    <w:rsid w:val="009C5DCF"/>
    <w:rsid w:val="009C5F9C"/>
    <w:rsid w:val="009C7FF5"/>
    <w:rsid w:val="009D0605"/>
    <w:rsid w:val="009D1603"/>
    <w:rsid w:val="009D36FB"/>
    <w:rsid w:val="009E2461"/>
    <w:rsid w:val="00A003E8"/>
    <w:rsid w:val="00A006FA"/>
    <w:rsid w:val="00A03A37"/>
    <w:rsid w:val="00A06F61"/>
    <w:rsid w:val="00A15942"/>
    <w:rsid w:val="00A254A5"/>
    <w:rsid w:val="00A25550"/>
    <w:rsid w:val="00A25BB6"/>
    <w:rsid w:val="00A27286"/>
    <w:rsid w:val="00A344EF"/>
    <w:rsid w:val="00A42BD8"/>
    <w:rsid w:val="00A44F3A"/>
    <w:rsid w:val="00A46AB4"/>
    <w:rsid w:val="00A50652"/>
    <w:rsid w:val="00A57B6D"/>
    <w:rsid w:val="00A61597"/>
    <w:rsid w:val="00A61E10"/>
    <w:rsid w:val="00A651D7"/>
    <w:rsid w:val="00A65A2E"/>
    <w:rsid w:val="00A65DD7"/>
    <w:rsid w:val="00A66BBD"/>
    <w:rsid w:val="00A72D62"/>
    <w:rsid w:val="00A741B2"/>
    <w:rsid w:val="00A7609B"/>
    <w:rsid w:val="00A801CA"/>
    <w:rsid w:val="00A81057"/>
    <w:rsid w:val="00A85120"/>
    <w:rsid w:val="00A87366"/>
    <w:rsid w:val="00A91D66"/>
    <w:rsid w:val="00A95315"/>
    <w:rsid w:val="00A96AAA"/>
    <w:rsid w:val="00AA0A2D"/>
    <w:rsid w:val="00AA110D"/>
    <w:rsid w:val="00AA1A55"/>
    <w:rsid w:val="00AA7EBE"/>
    <w:rsid w:val="00AB0BB8"/>
    <w:rsid w:val="00AB1E90"/>
    <w:rsid w:val="00AB256B"/>
    <w:rsid w:val="00AC2D6F"/>
    <w:rsid w:val="00AD0A1B"/>
    <w:rsid w:val="00AD13E9"/>
    <w:rsid w:val="00AD65CE"/>
    <w:rsid w:val="00AE1AC6"/>
    <w:rsid w:val="00AE4102"/>
    <w:rsid w:val="00AE4FB2"/>
    <w:rsid w:val="00AE5907"/>
    <w:rsid w:val="00AE6748"/>
    <w:rsid w:val="00AF16F6"/>
    <w:rsid w:val="00B05D85"/>
    <w:rsid w:val="00B064DB"/>
    <w:rsid w:val="00B07B1D"/>
    <w:rsid w:val="00B13BA0"/>
    <w:rsid w:val="00B156A1"/>
    <w:rsid w:val="00B22DC0"/>
    <w:rsid w:val="00B33B85"/>
    <w:rsid w:val="00B37E5F"/>
    <w:rsid w:val="00B451A8"/>
    <w:rsid w:val="00B5187F"/>
    <w:rsid w:val="00B51E17"/>
    <w:rsid w:val="00B60CD3"/>
    <w:rsid w:val="00B60EC8"/>
    <w:rsid w:val="00B6225B"/>
    <w:rsid w:val="00B67585"/>
    <w:rsid w:val="00B701F0"/>
    <w:rsid w:val="00B728D8"/>
    <w:rsid w:val="00B75B82"/>
    <w:rsid w:val="00B83F77"/>
    <w:rsid w:val="00B86AA4"/>
    <w:rsid w:val="00B878FE"/>
    <w:rsid w:val="00B92B5E"/>
    <w:rsid w:val="00B939EA"/>
    <w:rsid w:val="00BA0BD2"/>
    <w:rsid w:val="00BA1D3D"/>
    <w:rsid w:val="00BA245E"/>
    <w:rsid w:val="00BB556B"/>
    <w:rsid w:val="00BC0EE1"/>
    <w:rsid w:val="00BC204B"/>
    <w:rsid w:val="00BC6A94"/>
    <w:rsid w:val="00BD2B8E"/>
    <w:rsid w:val="00BE1A7C"/>
    <w:rsid w:val="00BE7C1D"/>
    <w:rsid w:val="00BF0399"/>
    <w:rsid w:val="00BF2E89"/>
    <w:rsid w:val="00BF30D2"/>
    <w:rsid w:val="00C038C8"/>
    <w:rsid w:val="00C03A64"/>
    <w:rsid w:val="00C05C0C"/>
    <w:rsid w:val="00C07BA9"/>
    <w:rsid w:val="00C1302E"/>
    <w:rsid w:val="00C20710"/>
    <w:rsid w:val="00C208E5"/>
    <w:rsid w:val="00C22C0B"/>
    <w:rsid w:val="00C24FBD"/>
    <w:rsid w:val="00C407A7"/>
    <w:rsid w:val="00C52B08"/>
    <w:rsid w:val="00C53DC3"/>
    <w:rsid w:val="00C57C8A"/>
    <w:rsid w:val="00C61580"/>
    <w:rsid w:val="00C636D5"/>
    <w:rsid w:val="00C645E9"/>
    <w:rsid w:val="00C65AB1"/>
    <w:rsid w:val="00C67349"/>
    <w:rsid w:val="00C67BEA"/>
    <w:rsid w:val="00C70AC6"/>
    <w:rsid w:val="00C71701"/>
    <w:rsid w:val="00C946E7"/>
    <w:rsid w:val="00C94757"/>
    <w:rsid w:val="00C94D1F"/>
    <w:rsid w:val="00CA2B45"/>
    <w:rsid w:val="00CB105F"/>
    <w:rsid w:val="00CB6A68"/>
    <w:rsid w:val="00CC337D"/>
    <w:rsid w:val="00CC55A2"/>
    <w:rsid w:val="00CD164C"/>
    <w:rsid w:val="00CD3B04"/>
    <w:rsid w:val="00CE160B"/>
    <w:rsid w:val="00CE34AC"/>
    <w:rsid w:val="00CE4111"/>
    <w:rsid w:val="00CF5F4D"/>
    <w:rsid w:val="00D00156"/>
    <w:rsid w:val="00D00A85"/>
    <w:rsid w:val="00D00D6B"/>
    <w:rsid w:val="00D01B25"/>
    <w:rsid w:val="00D04A66"/>
    <w:rsid w:val="00D04E64"/>
    <w:rsid w:val="00D1165E"/>
    <w:rsid w:val="00D14FDF"/>
    <w:rsid w:val="00D154CC"/>
    <w:rsid w:val="00D1615A"/>
    <w:rsid w:val="00D26749"/>
    <w:rsid w:val="00D32E5F"/>
    <w:rsid w:val="00D403D6"/>
    <w:rsid w:val="00D42C42"/>
    <w:rsid w:val="00D446CC"/>
    <w:rsid w:val="00D46A7E"/>
    <w:rsid w:val="00D55C7A"/>
    <w:rsid w:val="00D565DF"/>
    <w:rsid w:val="00D5704A"/>
    <w:rsid w:val="00D63E26"/>
    <w:rsid w:val="00D64687"/>
    <w:rsid w:val="00D6490F"/>
    <w:rsid w:val="00D6793C"/>
    <w:rsid w:val="00D727B5"/>
    <w:rsid w:val="00D73687"/>
    <w:rsid w:val="00D73836"/>
    <w:rsid w:val="00D768C0"/>
    <w:rsid w:val="00D76C72"/>
    <w:rsid w:val="00D81A31"/>
    <w:rsid w:val="00D821FD"/>
    <w:rsid w:val="00D90ED2"/>
    <w:rsid w:val="00D91909"/>
    <w:rsid w:val="00D928A9"/>
    <w:rsid w:val="00D93880"/>
    <w:rsid w:val="00D93C42"/>
    <w:rsid w:val="00D942A9"/>
    <w:rsid w:val="00D94E02"/>
    <w:rsid w:val="00D955F6"/>
    <w:rsid w:val="00DA0D0D"/>
    <w:rsid w:val="00DA0D9F"/>
    <w:rsid w:val="00DA3D6E"/>
    <w:rsid w:val="00DB14BD"/>
    <w:rsid w:val="00DC4089"/>
    <w:rsid w:val="00DC418D"/>
    <w:rsid w:val="00DC5A4C"/>
    <w:rsid w:val="00DC6A4B"/>
    <w:rsid w:val="00DD2FD5"/>
    <w:rsid w:val="00DD7345"/>
    <w:rsid w:val="00DD7D3E"/>
    <w:rsid w:val="00DE5016"/>
    <w:rsid w:val="00DE5B26"/>
    <w:rsid w:val="00DE62DC"/>
    <w:rsid w:val="00DE7A0D"/>
    <w:rsid w:val="00DF1B24"/>
    <w:rsid w:val="00DF450C"/>
    <w:rsid w:val="00DF6614"/>
    <w:rsid w:val="00DF67C6"/>
    <w:rsid w:val="00E13A7F"/>
    <w:rsid w:val="00E24A01"/>
    <w:rsid w:val="00E26BE0"/>
    <w:rsid w:val="00E27C38"/>
    <w:rsid w:val="00E3130E"/>
    <w:rsid w:val="00E438EB"/>
    <w:rsid w:val="00E52A89"/>
    <w:rsid w:val="00E540AB"/>
    <w:rsid w:val="00E64E9F"/>
    <w:rsid w:val="00E66888"/>
    <w:rsid w:val="00E67CB4"/>
    <w:rsid w:val="00E71A09"/>
    <w:rsid w:val="00E721A0"/>
    <w:rsid w:val="00E74FB1"/>
    <w:rsid w:val="00E753FB"/>
    <w:rsid w:val="00E82534"/>
    <w:rsid w:val="00E94C63"/>
    <w:rsid w:val="00EA3D6F"/>
    <w:rsid w:val="00EA492B"/>
    <w:rsid w:val="00EB4857"/>
    <w:rsid w:val="00EB5E52"/>
    <w:rsid w:val="00EC1B67"/>
    <w:rsid w:val="00EC1BF2"/>
    <w:rsid w:val="00ED33F6"/>
    <w:rsid w:val="00ED5263"/>
    <w:rsid w:val="00ED580C"/>
    <w:rsid w:val="00EE6C47"/>
    <w:rsid w:val="00EF2540"/>
    <w:rsid w:val="00EF29AD"/>
    <w:rsid w:val="00EF6CA6"/>
    <w:rsid w:val="00F03893"/>
    <w:rsid w:val="00F072E3"/>
    <w:rsid w:val="00F11B9E"/>
    <w:rsid w:val="00F13207"/>
    <w:rsid w:val="00F17026"/>
    <w:rsid w:val="00F266E4"/>
    <w:rsid w:val="00F41FCF"/>
    <w:rsid w:val="00F4212D"/>
    <w:rsid w:val="00F42255"/>
    <w:rsid w:val="00F46076"/>
    <w:rsid w:val="00F50E4F"/>
    <w:rsid w:val="00F5131A"/>
    <w:rsid w:val="00F51B47"/>
    <w:rsid w:val="00F55FBB"/>
    <w:rsid w:val="00F57BF7"/>
    <w:rsid w:val="00F62CF6"/>
    <w:rsid w:val="00F713AA"/>
    <w:rsid w:val="00F758EF"/>
    <w:rsid w:val="00F82A61"/>
    <w:rsid w:val="00F86F51"/>
    <w:rsid w:val="00F87099"/>
    <w:rsid w:val="00F900B5"/>
    <w:rsid w:val="00F92F66"/>
    <w:rsid w:val="00FA3135"/>
    <w:rsid w:val="00FB315E"/>
    <w:rsid w:val="00FC02CF"/>
    <w:rsid w:val="00FC63D6"/>
    <w:rsid w:val="00FC7016"/>
    <w:rsid w:val="00FD1542"/>
    <w:rsid w:val="00FD663E"/>
    <w:rsid w:val="00FE2A24"/>
    <w:rsid w:val="00FE2FCD"/>
    <w:rsid w:val="00FE6E95"/>
    <w:rsid w:val="00FF0501"/>
    <w:rsid w:val="01277C52"/>
    <w:rsid w:val="012EAAFD"/>
    <w:rsid w:val="013E85F4"/>
    <w:rsid w:val="01BFA861"/>
    <w:rsid w:val="03DCE48B"/>
    <w:rsid w:val="042A5E5C"/>
    <w:rsid w:val="047C5BAC"/>
    <w:rsid w:val="047CB27B"/>
    <w:rsid w:val="060F3AF9"/>
    <w:rsid w:val="06153D7C"/>
    <w:rsid w:val="06183F44"/>
    <w:rsid w:val="0671D3BD"/>
    <w:rsid w:val="0842996E"/>
    <w:rsid w:val="099394CE"/>
    <w:rsid w:val="0A78FD6D"/>
    <w:rsid w:val="0B53CD53"/>
    <w:rsid w:val="0BE730D8"/>
    <w:rsid w:val="0C23143C"/>
    <w:rsid w:val="0C6B08FD"/>
    <w:rsid w:val="0DC635A9"/>
    <w:rsid w:val="0E382743"/>
    <w:rsid w:val="0E76E700"/>
    <w:rsid w:val="0F629C09"/>
    <w:rsid w:val="0F765942"/>
    <w:rsid w:val="0FA60867"/>
    <w:rsid w:val="139745C8"/>
    <w:rsid w:val="13CDF5C2"/>
    <w:rsid w:val="14248BC1"/>
    <w:rsid w:val="144D0FFA"/>
    <w:rsid w:val="148AC47A"/>
    <w:rsid w:val="14CD0027"/>
    <w:rsid w:val="155568F2"/>
    <w:rsid w:val="156CF241"/>
    <w:rsid w:val="15F6E642"/>
    <w:rsid w:val="170140E1"/>
    <w:rsid w:val="17226348"/>
    <w:rsid w:val="1728C005"/>
    <w:rsid w:val="17343B61"/>
    <w:rsid w:val="176221CC"/>
    <w:rsid w:val="1898596E"/>
    <w:rsid w:val="18FE361F"/>
    <w:rsid w:val="190AB8CD"/>
    <w:rsid w:val="193867EE"/>
    <w:rsid w:val="197ADE80"/>
    <w:rsid w:val="19FA40BD"/>
    <w:rsid w:val="1BB0F832"/>
    <w:rsid w:val="1BF933EF"/>
    <w:rsid w:val="1C2EC33C"/>
    <w:rsid w:val="1C9C878F"/>
    <w:rsid w:val="1D37C6B1"/>
    <w:rsid w:val="1E52B571"/>
    <w:rsid w:val="1E90F34F"/>
    <w:rsid w:val="1EE19A82"/>
    <w:rsid w:val="1F98AA41"/>
    <w:rsid w:val="20BCD00D"/>
    <w:rsid w:val="2162FC15"/>
    <w:rsid w:val="21B35F5C"/>
    <w:rsid w:val="21BD0881"/>
    <w:rsid w:val="21F895C7"/>
    <w:rsid w:val="228057BD"/>
    <w:rsid w:val="22F3E451"/>
    <w:rsid w:val="22F73D16"/>
    <w:rsid w:val="2386C8F2"/>
    <w:rsid w:val="24A3176F"/>
    <w:rsid w:val="2535FA5D"/>
    <w:rsid w:val="25D662B5"/>
    <w:rsid w:val="2611554D"/>
    <w:rsid w:val="262C2000"/>
    <w:rsid w:val="265A73D5"/>
    <w:rsid w:val="26617DCF"/>
    <w:rsid w:val="2753B5AA"/>
    <w:rsid w:val="27B5E0CE"/>
    <w:rsid w:val="28845F9F"/>
    <w:rsid w:val="28CA30AA"/>
    <w:rsid w:val="29075D6B"/>
    <w:rsid w:val="29D309AF"/>
    <w:rsid w:val="2A26A432"/>
    <w:rsid w:val="2A27D4E1"/>
    <w:rsid w:val="2B2E60D6"/>
    <w:rsid w:val="2B6DC3A5"/>
    <w:rsid w:val="2BA7219F"/>
    <w:rsid w:val="2C44CEB1"/>
    <w:rsid w:val="2CFF3E79"/>
    <w:rsid w:val="2E483BAA"/>
    <w:rsid w:val="2E82697D"/>
    <w:rsid w:val="2F067503"/>
    <w:rsid w:val="3121B677"/>
    <w:rsid w:val="313518E0"/>
    <w:rsid w:val="31C2B6FE"/>
    <w:rsid w:val="32F9D38E"/>
    <w:rsid w:val="33AE9C9F"/>
    <w:rsid w:val="34392C0A"/>
    <w:rsid w:val="3483F08E"/>
    <w:rsid w:val="3494BAA5"/>
    <w:rsid w:val="3545E024"/>
    <w:rsid w:val="356F5411"/>
    <w:rsid w:val="3601AA1C"/>
    <w:rsid w:val="365E4A7B"/>
    <w:rsid w:val="3660644A"/>
    <w:rsid w:val="3756D49D"/>
    <w:rsid w:val="376008C0"/>
    <w:rsid w:val="380FEF08"/>
    <w:rsid w:val="389D3B2E"/>
    <w:rsid w:val="38FA8FEE"/>
    <w:rsid w:val="3AD1F3CF"/>
    <w:rsid w:val="3D44BEE3"/>
    <w:rsid w:val="3E49D950"/>
    <w:rsid w:val="3E6F40F9"/>
    <w:rsid w:val="3FC092C8"/>
    <w:rsid w:val="4039D97E"/>
    <w:rsid w:val="40922EF4"/>
    <w:rsid w:val="40C100F9"/>
    <w:rsid w:val="4129ACF2"/>
    <w:rsid w:val="41CCC9F5"/>
    <w:rsid w:val="423013CD"/>
    <w:rsid w:val="428677DC"/>
    <w:rsid w:val="4316FB94"/>
    <w:rsid w:val="433396C2"/>
    <w:rsid w:val="43AEEF32"/>
    <w:rsid w:val="43FF9881"/>
    <w:rsid w:val="46B68E38"/>
    <w:rsid w:val="4812780F"/>
    <w:rsid w:val="48401DB6"/>
    <w:rsid w:val="495FFDB4"/>
    <w:rsid w:val="4A6CE904"/>
    <w:rsid w:val="4B220D79"/>
    <w:rsid w:val="4C228D11"/>
    <w:rsid w:val="4C86615E"/>
    <w:rsid w:val="4CEF63D3"/>
    <w:rsid w:val="4CEF79A3"/>
    <w:rsid w:val="4D9B376E"/>
    <w:rsid w:val="4DBE4A5F"/>
    <w:rsid w:val="4DF0A16A"/>
    <w:rsid w:val="4DF4DC51"/>
    <w:rsid w:val="4ED03878"/>
    <w:rsid w:val="4FABF184"/>
    <w:rsid w:val="502FAFD0"/>
    <w:rsid w:val="50A08D18"/>
    <w:rsid w:val="50A932D2"/>
    <w:rsid w:val="50FF2CF0"/>
    <w:rsid w:val="51534C29"/>
    <w:rsid w:val="5183CF1B"/>
    <w:rsid w:val="518971A2"/>
    <w:rsid w:val="51AC5954"/>
    <w:rsid w:val="521C351A"/>
    <w:rsid w:val="52525951"/>
    <w:rsid w:val="53C2155B"/>
    <w:rsid w:val="54131568"/>
    <w:rsid w:val="550A9A3D"/>
    <w:rsid w:val="551EC69E"/>
    <w:rsid w:val="56BBB54C"/>
    <w:rsid w:val="56D28634"/>
    <w:rsid w:val="5723EB86"/>
    <w:rsid w:val="57E8AE9B"/>
    <w:rsid w:val="583F73CA"/>
    <w:rsid w:val="59B16739"/>
    <w:rsid w:val="5A7D96C1"/>
    <w:rsid w:val="5AD78D40"/>
    <w:rsid w:val="5B494186"/>
    <w:rsid w:val="5B63BA2F"/>
    <w:rsid w:val="5C6FB5E4"/>
    <w:rsid w:val="5D01937A"/>
    <w:rsid w:val="5E6DD3B9"/>
    <w:rsid w:val="5F100E3C"/>
    <w:rsid w:val="60BD7F54"/>
    <w:rsid w:val="615F93FE"/>
    <w:rsid w:val="625E2A8A"/>
    <w:rsid w:val="62933E79"/>
    <w:rsid w:val="63FCAE74"/>
    <w:rsid w:val="649DCABD"/>
    <w:rsid w:val="65C44ED0"/>
    <w:rsid w:val="66700C27"/>
    <w:rsid w:val="66982ACC"/>
    <w:rsid w:val="670A5B1D"/>
    <w:rsid w:val="673C21C5"/>
    <w:rsid w:val="676FDCE2"/>
    <w:rsid w:val="67874ED0"/>
    <w:rsid w:val="689E0C65"/>
    <w:rsid w:val="69544860"/>
    <w:rsid w:val="6B4877A8"/>
    <w:rsid w:val="6B5A0E3D"/>
    <w:rsid w:val="6BF38BFC"/>
    <w:rsid w:val="6E0B5037"/>
    <w:rsid w:val="6E17FBD1"/>
    <w:rsid w:val="6E35C62E"/>
    <w:rsid w:val="6E8661D0"/>
    <w:rsid w:val="6ECE63F0"/>
    <w:rsid w:val="6EFC5C57"/>
    <w:rsid w:val="702B95B0"/>
    <w:rsid w:val="7178B6BD"/>
    <w:rsid w:val="71C21D0A"/>
    <w:rsid w:val="72EF210A"/>
    <w:rsid w:val="72F1DF84"/>
    <w:rsid w:val="7448F9AF"/>
    <w:rsid w:val="74BE8215"/>
    <w:rsid w:val="75341699"/>
    <w:rsid w:val="767B4E56"/>
    <w:rsid w:val="7724A908"/>
    <w:rsid w:val="77592E6E"/>
    <w:rsid w:val="7760C3A7"/>
    <w:rsid w:val="7847FCF7"/>
    <w:rsid w:val="796595B7"/>
    <w:rsid w:val="79856720"/>
    <w:rsid w:val="7ACF3C19"/>
    <w:rsid w:val="7B0D0B13"/>
    <w:rsid w:val="7B215D4F"/>
    <w:rsid w:val="7BDE93FE"/>
    <w:rsid w:val="7D5A651D"/>
    <w:rsid w:val="7DBEEE81"/>
    <w:rsid w:val="7DD0FA46"/>
    <w:rsid w:val="7DFBD2C4"/>
    <w:rsid w:val="7E0A0DF1"/>
    <w:rsid w:val="7E9BF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53F05"/>
  <w15:chartTrackingRefBased/>
  <w15:docId w15:val="{0C0469D1-9A9C-4483-BEF5-F21FD961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3F31"/>
    <w:pPr>
      <w:ind w:left="720"/>
      <w:contextualSpacing/>
    </w:pPr>
  </w:style>
  <w:style w:type="character" w:styleId="Hyperlink">
    <w:name w:val="Hyperlink"/>
    <w:basedOn w:val="DefaultParagraphFont"/>
    <w:uiPriority w:val="99"/>
    <w:unhideWhenUsed/>
    <w:rsid w:val="00B939EA"/>
    <w:rPr>
      <w:color w:val="0563C1" w:themeColor="hyperlink"/>
      <w:u w:val="single"/>
    </w:rPr>
  </w:style>
  <w:style w:type="paragraph" w:styleId="BodyText">
    <w:name w:val="Body Text"/>
    <w:basedOn w:val="Normal"/>
    <w:link w:val="BodyTextChar"/>
    <w:uiPriority w:val="1"/>
    <w:qFormat/>
    <w:rsid w:val="005A6A2E"/>
    <w:pPr>
      <w:spacing w:after="120" w:line="480" w:lineRule="auto"/>
      <w:ind w:left="1020" w:right="159" w:hanging="663"/>
    </w:pPr>
    <w:rPr>
      <w:rFonts w:ascii="Calibri" w:eastAsia="Calibri" w:hAnsi="Calibri" w:cs="Calibri"/>
    </w:rPr>
  </w:style>
  <w:style w:type="character" w:customStyle="1" w:styleId="BodyTextChar">
    <w:name w:val="Body Text Char"/>
    <w:basedOn w:val="DefaultParagraphFont"/>
    <w:link w:val="BodyText"/>
    <w:uiPriority w:val="1"/>
    <w:rsid w:val="005A6A2E"/>
    <w:rPr>
      <w:rFonts w:ascii="Calibri" w:eastAsia="Calibri" w:hAnsi="Calibri" w:cs="Calibri"/>
    </w:rPr>
  </w:style>
  <w:style w:type="character" w:styleId="FollowedHyperlink">
    <w:name w:val="FollowedHyperlink"/>
    <w:basedOn w:val="DefaultParagraphFont"/>
    <w:uiPriority w:val="99"/>
    <w:semiHidden/>
    <w:unhideWhenUsed/>
    <w:rsid w:val="009479E5"/>
    <w:rPr>
      <w:color w:val="954F72" w:themeColor="followedHyperlink"/>
      <w:u w:val="single"/>
    </w:rPr>
  </w:style>
  <w:style w:type="paragraph" w:styleId="BalloonText">
    <w:name w:val="Balloon Text"/>
    <w:basedOn w:val="Normal"/>
    <w:link w:val="BalloonTextChar"/>
    <w:uiPriority w:val="99"/>
    <w:semiHidden/>
    <w:unhideWhenUsed/>
    <w:rsid w:val="00C2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E5"/>
    <w:rPr>
      <w:rFonts w:ascii="Segoe UI" w:hAnsi="Segoe UI" w:cs="Segoe UI"/>
      <w:sz w:val="18"/>
      <w:szCs w:val="18"/>
    </w:rPr>
  </w:style>
  <w:style w:type="character" w:styleId="CommentReference">
    <w:name w:val="annotation reference"/>
    <w:basedOn w:val="DefaultParagraphFont"/>
    <w:uiPriority w:val="99"/>
    <w:semiHidden/>
    <w:unhideWhenUsed/>
    <w:rsid w:val="00E753FB"/>
    <w:rPr>
      <w:sz w:val="16"/>
      <w:szCs w:val="16"/>
    </w:rPr>
  </w:style>
  <w:style w:type="paragraph" w:styleId="CommentText">
    <w:name w:val="annotation text"/>
    <w:basedOn w:val="Normal"/>
    <w:link w:val="CommentTextChar"/>
    <w:uiPriority w:val="99"/>
    <w:unhideWhenUsed/>
    <w:rsid w:val="00E753FB"/>
    <w:pPr>
      <w:spacing w:line="240" w:lineRule="auto"/>
    </w:pPr>
    <w:rPr>
      <w:sz w:val="20"/>
      <w:szCs w:val="20"/>
    </w:rPr>
  </w:style>
  <w:style w:type="character" w:customStyle="1" w:styleId="CommentTextChar">
    <w:name w:val="Comment Text Char"/>
    <w:basedOn w:val="DefaultParagraphFont"/>
    <w:link w:val="CommentText"/>
    <w:uiPriority w:val="99"/>
    <w:rsid w:val="00E753FB"/>
    <w:rPr>
      <w:sz w:val="20"/>
      <w:szCs w:val="20"/>
    </w:rPr>
  </w:style>
  <w:style w:type="paragraph" w:styleId="CommentSubject">
    <w:name w:val="annotation subject"/>
    <w:basedOn w:val="CommentText"/>
    <w:next w:val="CommentText"/>
    <w:link w:val="CommentSubjectChar"/>
    <w:uiPriority w:val="99"/>
    <w:semiHidden/>
    <w:unhideWhenUsed/>
    <w:rsid w:val="00E753FB"/>
    <w:rPr>
      <w:b/>
      <w:bCs/>
    </w:rPr>
  </w:style>
  <w:style w:type="character" w:customStyle="1" w:styleId="CommentSubjectChar">
    <w:name w:val="Comment Subject Char"/>
    <w:basedOn w:val="CommentTextChar"/>
    <w:link w:val="CommentSubject"/>
    <w:uiPriority w:val="99"/>
    <w:semiHidden/>
    <w:rsid w:val="00E753FB"/>
    <w:rPr>
      <w:b/>
      <w:bCs/>
      <w:sz w:val="20"/>
      <w:szCs w:val="20"/>
    </w:rPr>
  </w:style>
  <w:style w:type="paragraph" w:styleId="Revision">
    <w:name w:val="Revision"/>
    <w:hidden/>
    <w:uiPriority w:val="99"/>
    <w:semiHidden/>
    <w:rsid w:val="00E753FB"/>
    <w:pPr>
      <w:spacing w:after="0" w:line="240" w:lineRule="auto"/>
    </w:pPr>
  </w:style>
  <w:style w:type="paragraph" w:styleId="Header">
    <w:name w:val="header"/>
    <w:basedOn w:val="Normal"/>
    <w:link w:val="HeaderChar"/>
    <w:uiPriority w:val="99"/>
    <w:unhideWhenUsed/>
    <w:rsid w:val="0049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8B"/>
  </w:style>
  <w:style w:type="paragraph" w:styleId="Footer">
    <w:name w:val="footer"/>
    <w:basedOn w:val="Normal"/>
    <w:link w:val="FooterChar"/>
    <w:uiPriority w:val="99"/>
    <w:unhideWhenUsed/>
    <w:rsid w:val="0049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8B"/>
  </w:style>
  <w:style w:type="paragraph" w:styleId="NoSpacing">
    <w:name w:val="No Spacing"/>
    <w:uiPriority w:val="1"/>
    <w:qFormat/>
    <w:rsid w:val="00AA110D"/>
    <w:pPr>
      <w:spacing w:after="0" w:line="240" w:lineRule="auto"/>
    </w:pPr>
  </w:style>
  <w:style w:type="character" w:customStyle="1" w:styleId="UnresolvedMention1">
    <w:name w:val="Unresolved Mention1"/>
    <w:basedOn w:val="DefaultParagraphFont"/>
    <w:uiPriority w:val="99"/>
    <w:semiHidden/>
    <w:unhideWhenUsed/>
    <w:rsid w:val="000B3C1D"/>
    <w:rPr>
      <w:color w:val="605E5C"/>
      <w:shd w:val="clear" w:color="auto" w:fill="E1DFDD"/>
    </w:rPr>
  </w:style>
  <w:style w:type="character" w:customStyle="1" w:styleId="normaltextrun">
    <w:name w:val="normaltextrun"/>
    <w:basedOn w:val="DefaultParagraphFont"/>
    <w:rsid w:val="000B3C1D"/>
  </w:style>
  <w:style w:type="character" w:customStyle="1" w:styleId="eop">
    <w:name w:val="eop"/>
    <w:basedOn w:val="DefaultParagraphFont"/>
    <w:rsid w:val="000B3C1D"/>
  </w:style>
  <w:style w:type="paragraph" w:customStyle="1" w:styleId="paragraph">
    <w:name w:val="paragraph"/>
    <w:basedOn w:val="Normal"/>
    <w:rsid w:val="000B3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1760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02895">
      <w:bodyDiv w:val="1"/>
      <w:marLeft w:val="0"/>
      <w:marRight w:val="0"/>
      <w:marTop w:val="0"/>
      <w:marBottom w:val="0"/>
      <w:divBdr>
        <w:top w:val="none" w:sz="0" w:space="0" w:color="auto"/>
        <w:left w:val="none" w:sz="0" w:space="0" w:color="auto"/>
        <w:bottom w:val="none" w:sz="0" w:space="0" w:color="auto"/>
        <w:right w:val="none" w:sz="0" w:space="0" w:color="auto"/>
      </w:divBdr>
    </w:div>
    <w:div w:id="1532910512">
      <w:bodyDiv w:val="1"/>
      <w:marLeft w:val="0"/>
      <w:marRight w:val="0"/>
      <w:marTop w:val="0"/>
      <w:marBottom w:val="0"/>
      <w:divBdr>
        <w:top w:val="none" w:sz="0" w:space="0" w:color="auto"/>
        <w:left w:val="none" w:sz="0" w:space="0" w:color="auto"/>
        <w:bottom w:val="none" w:sz="0" w:space="0" w:color="auto"/>
        <w:right w:val="none" w:sz="0" w:space="0" w:color="auto"/>
      </w:divBdr>
      <w:divsChild>
        <w:div w:id="63994370">
          <w:marLeft w:val="0"/>
          <w:marRight w:val="0"/>
          <w:marTop w:val="0"/>
          <w:marBottom w:val="0"/>
          <w:divBdr>
            <w:top w:val="none" w:sz="0" w:space="0" w:color="auto"/>
            <w:left w:val="none" w:sz="0" w:space="0" w:color="auto"/>
            <w:bottom w:val="none" w:sz="0" w:space="0" w:color="auto"/>
            <w:right w:val="none" w:sz="0" w:space="0" w:color="auto"/>
          </w:divBdr>
        </w:div>
        <w:div w:id="1486361548">
          <w:marLeft w:val="0"/>
          <w:marRight w:val="0"/>
          <w:marTop w:val="0"/>
          <w:marBottom w:val="0"/>
          <w:divBdr>
            <w:top w:val="none" w:sz="0" w:space="0" w:color="auto"/>
            <w:left w:val="none" w:sz="0" w:space="0" w:color="auto"/>
            <w:bottom w:val="none" w:sz="0" w:space="0" w:color="auto"/>
            <w:right w:val="none" w:sz="0" w:space="0" w:color="auto"/>
          </w:divBdr>
        </w:div>
      </w:divsChild>
    </w:div>
    <w:div w:id="16645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web.ed.ac.uk/finance/for-staff/financial-regulations-policies-and-procedures/policies-and-procedures" TargetMode="External"/><Relationship Id="rId18" Type="http://schemas.openxmlformats.org/officeDocument/2006/relationships/hyperlink" Target="https://www.edweb.ed.ac.uk/finance/for-staff/financial-regulations-policies-and-procedures/policies-and-procedures" TargetMode="External"/><Relationship Id="rId26" Type="http://schemas.openxmlformats.org/officeDocument/2006/relationships/hyperlink" Target="https://www.ed.ac.uk/finance/for-staff/financial-regulations-policies-and-procedures/policies-and-procedures" TargetMode="External"/><Relationship Id="rId3" Type="http://schemas.openxmlformats.org/officeDocument/2006/relationships/customXml" Target="../customXml/item3.xml"/><Relationship Id="rId21" Type="http://schemas.openxmlformats.org/officeDocument/2006/relationships/hyperlink" Target="https://ukwestr-notifyp.svc.ms:443/api/v2/tracking/method/Click?mi=DU6JW5xuYkGNQohCIWgjnA&amp;tc=Link&amp;cs=c275f6a8f6feded5601416a580541c04&amp;ru=https%3a%2f%2fwww.ed.ac.uk%2fgovernance-strategic-planning%2fgovernance%2funiversity-governance%2fpowers-of-delegation"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ed.ac.uk/files/atoms/files/sustainable_travel_policy_2021_website_edit_may21.pdf" TargetMode="External"/><Relationship Id="rId17" Type="http://schemas.openxmlformats.org/officeDocument/2006/relationships/hyperlink" Target="https://www.ed.ac.uk/governance-strategic-planning/governance/university-governance/powers-of-delegation" TargetMode="External"/><Relationship Id="rId25" Type="http://schemas.openxmlformats.org/officeDocument/2006/relationships/hyperlink" Target="https://www.gov.scot/policies/public-sector-procur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web.ed.ac.uk/finance/for-staff/financial-regulations-policies-and-procedures/policies-and-procedures" TargetMode="External"/><Relationship Id="rId20" Type="http://schemas.openxmlformats.org/officeDocument/2006/relationships/hyperlink" Target="https://www.ed.ac.uk/files/atoms/files/receipt_of_gifts.pdf" TargetMode="External"/><Relationship Id="rId29" Type="http://schemas.openxmlformats.org/officeDocument/2006/relationships/hyperlink" Target="https://www.edweb.ed.ac.uk/files/atoms/files/fraud_policy_2020_sep_28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scot/collections/scottish-procurement-policy-notes-spp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web.ed.ac.uk/finance/for-staff/financial-regulations-policies-and-procedures/policies-and-procedures" TargetMode="External"/><Relationship Id="rId23" Type="http://schemas.openxmlformats.org/officeDocument/2006/relationships/hyperlink" Target="https://www.legislation.gov.uk/ukpga/2010/23/contents/scotland" TargetMode="External"/><Relationship Id="rId28" Type="http://schemas.openxmlformats.org/officeDocument/2006/relationships/hyperlink" Target="https://www.edweb.ed.ac.uk/finance/for-staff/financial-regulations-policies-and-procedures/new-anti-money-laundering-policy" TargetMode="External"/><Relationship Id="rId10" Type="http://schemas.openxmlformats.org/officeDocument/2006/relationships/endnotes" Target="endnotes.xml"/><Relationship Id="rId19" Type="http://schemas.openxmlformats.org/officeDocument/2006/relationships/hyperlink" Target="https://www.ed.ac.uk/sustainability/what-we-do/travel/climate-conscious-travel/sustainable-travel-policy-202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search.ed.ac.uk/s/redirect?collection=edi-public-meta&amp;url=https%3A%2F%2Fwww.ed.ac.uk%2Ffiles%2Fatoms%2Ffiles%2Fconflict_of_interest.pdf&amp;auth=ve8ZHSRXATbo0txnhT2D5A&amp;profile=_default&amp;rank=1&amp;query=conflict+of+interest" TargetMode="External"/><Relationship Id="rId22" Type="http://schemas.openxmlformats.org/officeDocument/2006/relationships/hyperlink" Target="https://www.ed.ac.uk/procurement/policies-procedures/university-procurement-strategy-annual-procurement" TargetMode="External"/><Relationship Id="rId27" Type="http://schemas.openxmlformats.org/officeDocument/2006/relationships/hyperlink" Target="https://www.ed.ac.uk/files/atoms/files/conflict_of_interest_0.pdf" TargetMode="External"/><Relationship Id="rId30" Type="http://schemas.openxmlformats.org/officeDocument/2006/relationships/header" Target="header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BC753D0B-DB23-415C-B39B-F4E1EC7582B8}">
    <t:Anchor>
      <t:Comment id="168327049"/>
    </t:Anchor>
    <t:History>
      <t:Event id="{3D61D8B7-1A22-498E-8D8D-2F2CD2E027A0}" time="2021-09-27T09:50:10.105Z">
        <t:Attribution userId="S::smulhear@ed.ac.uk::61222411-874b-4e08-b4d0-c507d0bf0ea8" userProvider="AD" userName="MULHEARN Susan"/>
        <t:Anchor>
          <t:Comment id="168327049"/>
        </t:Anchor>
        <t:Create/>
      </t:Event>
      <t:Event id="{B3DFE7D5-6623-4761-81EB-7B1EEE699D88}" time="2021-09-27T09:50:10.105Z">
        <t:Attribution userId="S::smulhear@ed.ac.uk::61222411-874b-4e08-b4d0-c507d0bf0ea8" userProvider="AD" userName="MULHEARN Susan"/>
        <t:Anchor>
          <t:Comment id="168327049"/>
        </t:Anchor>
        <t:Assign userId="S::krichar2@ed.ac.uk::97426e81-8c14-4121-9e13-3cdcdb8e8ff2" userProvider="AD" userName="RICHARDSON Kerry"/>
      </t:Event>
      <t:Event id="{B5C3CF12-CED3-4B2F-B515-D8FA95AFBA76}" time="2021-09-27T09:50:10.105Z">
        <t:Attribution userId="S::smulhear@ed.ac.uk::61222411-874b-4e08-b4d0-c507d0bf0ea8" userProvider="AD" userName="MULHEARN Susan"/>
        <t:Anchor>
          <t:Comment id="168327049"/>
        </t:Anchor>
        <t:SetTitle title="@RICHARDSON Kerry  Head of College expenses - Provost (and Principal if above Provost's limit) will approve  Director of PSG - Principal will approve Provost - Principal will approve TBC if University Secretary will need to approve these also."/>
      </t:Event>
      <t:Event id="{1BF1751B-B1E3-4EEA-9433-7EF574C26A44}" time="2021-09-27T10:01:12.673Z">
        <t:Attribution userId="S::krichar2@ed.ac.uk::97426e81-8c14-4121-9e13-3cdcdb8e8ff2" userProvider="AD" userName="RICHARDSON Kerry"/>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b47e03-2210-4480-82b3-221878e0e27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C1B751CAB8A40875C2850EDEA07A7" ma:contentTypeVersion="6" ma:contentTypeDescription="Create a new document." ma:contentTypeScope="" ma:versionID="cd5de93857c2cb4dc10e21dcbddb7d18">
  <xsd:schema xmlns:xsd="http://www.w3.org/2001/XMLSchema" xmlns:xs="http://www.w3.org/2001/XMLSchema" xmlns:p="http://schemas.microsoft.com/office/2006/metadata/properties" xmlns:ns2="03e56f73-6339-42e4-a05d-7b8226729ae9" xmlns:ns3="adb47e03-2210-4480-82b3-221878e0e272" targetNamespace="http://schemas.microsoft.com/office/2006/metadata/properties" ma:root="true" ma:fieldsID="566dbd5d1b821b12ca982d9e3220b287" ns2:_="" ns3:_="">
    <xsd:import namespace="03e56f73-6339-42e4-a05d-7b8226729ae9"/>
    <xsd:import namespace="adb47e03-2210-4480-82b3-221878e0e2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56f73-6339-42e4-a05d-7b8226729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47e03-2210-4480-82b3-221878e0e2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88F42-0D6A-427E-B2F7-BE3437883A36}">
  <ds:schemaRefs>
    <ds:schemaRef ds:uri="http://schemas.microsoft.com/office/2006/metadata/properties"/>
    <ds:schemaRef ds:uri="http://schemas.microsoft.com/office/infopath/2007/PartnerControls"/>
    <ds:schemaRef ds:uri="adb47e03-2210-4480-82b3-221878e0e272"/>
  </ds:schemaRefs>
</ds:datastoreItem>
</file>

<file path=customXml/itemProps2.xml><?xml version="1.0" encoding="utf-8"?>
<ds:datastoreItem xmlns:ds="http://schemas.openxmlformats.org/officeDocument/2006/customXml" ds:itemID="{2A635DF5-BA35-4C77-9B7B-8DB79A39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56f73-6339-42e4-a05d-7b8226729ae9"/>
    <ds:schemaRef ds:uri="adb47e03-2210-4480-82b3-221878e0e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927E0-F065-4119-978F-79D7CCF009BE}">
  <ds:schemaRefs>
    <ds:schemaRef ds:uri="http://schemas.openxmlformats.org/officeDocument/2006/bibliography"/>
  </ds:schemaRefs>
</ds:datastoreItem>
</file>

<file path=customXml/itemProps4.xml><?xml version="1.0" encoding="utf-8"?>
<ds:datastoreItem xmlns:ds="http://schemas.openxmlformats.org/officeDocument/2006/customXml" ds:itemID="{4892980A-1D77-48EC-B4F4-581EAF5EF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Blair Fleming</cp:lastModifiedBy>
  <cp:revision>8</cp:revision>
  <cp:lastPrinted>2022-08-09T12:15:00Z</cp:lastPrinted>
  <dcterms:created xsi:type="dcterms:W3CDTF">2022-03-22T15:26:00Z</dcterms:created>
  <dcterms:modified xsi:type="dcterms:W3CDTF">2022-08-09T12:15:00Z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0x0101004C7C1B751CAB8A40875C2850EDEA07A7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