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58" w:type="dxa"/>
        <w:tblInd w:w="-998" w:type="dxa"/>
        <w:tblLook w:val="04A0" w:firstRow="1" w:lastRow="0" w:firstColumn="1" w:lastColumn="0" w:noHBand="0" w:noVBand="1"/>
      </w:tblPr>
      <w:tblGrid>
        <w:gridCol w:w="11058"/>
      </w:tblGrid>
      <w:tr w:rsidR="00143F31" w14:paraId="4EF91955" w14:textId="77777777" w:rsidTr="424B4C3A">
        <w:trPr>
          <w:trHeight w:val="1531"/>
        </w:trPr>
        <w:tc>
          <w:tcPr>
            <w:tcW w:w="11058" w:type="dxa"/>
            <w:shd w:val="clear" w:color="auto" w:fill="BFBFBF" w:themeFill="background1" w:themeFillShade="BF"/>
          </w:tcPr>
          <w:p w14:paraId="7709D339" w14:textId="0701F96C" w:rsidR="00143F31" w:rsidRDefault="00905424">
            <w:r>
              <w:rPr>
                <w:noProof/>
                <w:lang w:eastAsia="en-GB"/>
              </w:rPr>
              <mc:AlternateContent>
                <mc:Choice Requires="wps">
                  <w:drawing>
                    <wp:anchor distT="45720" distB="45720" distL="114300" distR="114300" simplePos="0" relativeHeight="251659264" behindDoc="0" locked="0" layoutInCell="1" allowOverlap="1" wp14:anchorId="4B06828F" wp14:editId="5888384B">
                      <wp:simplePos x="0" y="0"/>
                      <wp:positionH relativeFrom="column">
                        <wp:posOffset>1954648</wp:posOffset>
                      </wp:positionH>
                      <wp:positionV relativeFrom="paragraph">
                        <wp:posOffset>89727</wp:posOffset>
                      </wp:positionV>
                      <wp:extent cx="3242310" cy="79692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310" cy="796925"/>
                              </a:xfrm>
                              <a:prstGeom prst="rect">
                                <a:avLst/>
                              </a:prstGeom>
                              <a:solidFill>
                                <a:schemeClr val="bg1">
                                  <a:lumMod val="75000"/>
                                </a:schemeClr>
                              </a:solidFill>
                              <a:ln w="9525">
                                <a:noFill/>
                                <a:miter lim="800000"/>
                                <a:headEnd/>
                                <a:tailEnd/>
                              </a:ln>
                            </wps:spPr>
                            <wps:txbx>
                              <w:txbxContent>
                                <w:p w14:paraId="552D31E6" w14:textId="77777777" w:rsidR="00AE7C8A" w:rsidRPr="002D3F95" w:rsidRDefault="00143F31" w:rsidP="00143F31">
                                  <w:pPr>
                                    <w:jc w:val="center"/>
                                    <w:rPr>
                                      <w:b/>
                                      <w:sz w:val="36"/>
                                      <w:szCs w:val="36"/>
                                    </w:rPr>
                                  </w:pPr>
                                  <w:r w:rsidRPr="002D3F95">
                                    <w:rPr>
                                      <w:b/>
                                      <w:sz w:val="36"/>
                                      <w:szCs w:val="36"/>
                                    </w:rPr>
                                    <w:t xml:space="preserve">University of Edinburgh </w:t>
                                  </w:r>
                                </w:p>
                                <w:p w14:paraId="43D9D60D" w14:textId="068C48A5" w:rsidR="00143F31" w:rsidRPr="002D3F95" w:rsidRDefault="008846E4" w:rsidP="00143F31">
                                  <w:pPr>
                                    <w:jc w:val="center"/>
                                    <w:rPr>
                                      <w:b/>
                                      <w:sz w:val="36"/>
                                      <w:szCs w:val="36"/>
                                    </w:rPr>
                                  </w:pPr>
                                  <w:r w:rsidRPr="002D3F95">
                                    <w:rPr>
                                      <w:b/>
                                      <w:sz w:val="36"/>
                                      <w:szCs w:val="36"/>
                                    </w:rPr>
                                    <w:t xml:space="preserve">Corporate </w:t>
                                  </w:r>
                                  <w:r w:rsidR="00AE7C8A" w:rsidRPr="002D3F95">
                                    <w:rPr>
                                      <w:b/>
                                      <w:sz w:val="36"/>
                                      <w:szCs w:val="36"/>
                                    </w:rPr>
                                    <w:t>Credit Card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06828F" id="_x0000_t202" coordsize="21600,21600" o:spt="202" path="m,l,21600r21600,l21600,xe">
                      <v:stroke joinstyle="miter"/>
                      <v:path gradientshapeok="t" o:connecttype="rect"/>
                    </v:shapetype>
                    <v:shape id="Text Box 2" o:spid="_x0000_s1026" type="#_x0000_t202" style="position:absolute;margin-left:153.9pt;margin-top:7.05pt;width:255.3pt;height:6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" fillcolor="#bfbfbf [2412]" stroked="f">
                      <v:textbox>
                        <w:txbxContent>
                          <w:p w14:paraId="552D31E6" w14:textId="77777777" w:rsidR="00AE7C8A" w:rsidRPr="002D3F95" w:rsidRDefault="00143F31" w:rsidP="00143F31">
                            <w:pPr>
                              <w:jc w:val="center"/>
                              <w:rPr>
                                <w:b/>
                                <w:sz w:val="36"/>
                                <w:szCs w:val="36"/>
                              </w:rPr>
                            </w:pPr>
                            <w:r w:rsidRPr="002D3F95">
                              <w:rPr>
                                <w:b/>
                                <w:sz w:val="36"/>
                                <w:szCs w:val="36"/>
                              </w:rPr>
                              <w:t xml:space="preserve">University of Edinburgh </w:t>
                            </w:r>
                          </w:p>
                          <w:p w14:paraId="43D9D60D" w14:textId="068C48A5" w:rsidR="00143F31" w:rsidRPr="002D3F95" w:rsidRDefault="008846E4" w:rsidP="00143F31">
                            <w:pPr>
                              <w:jc w:val="center"/>
                              <w:rPr>
                                <w:b/>
                                <w:sz w:val="36"/>
                                <w:szCs w:val="36"/>
                              </w:rPr>
                            </w:pPr>
                            <w:r w:rsidRPr="002D3F95">
                              <w:rPr>
                                <w:b/>
                                <w:sz w:val="36"/>
                                <w:szCs w:val="36"/>
                              </w:rPr>
                              <w:t xml:space="preserve">Corporate </w:t>
                            </w:r>
                            <w:r w:rsidR="00AE7C8A" w:rsidRPr="002D3F95">
                              <w:rPr>
                                <w:b/>
                                <w:sz w:val="36"/>
                                <w:szCs w:val="36"/>
                              </w:rPr>
                              <w:t>Credit Card Policy</w:t>
                            </w:r>
                          </w:p>
                        </w:txbxContent>
                      </v:textbox>
                      <w10:wrap type="square"/>
                    </v:shape>
                  </w:pict>
                </mc:Fallback>
              </mc:AlternateContent>
            </w:r>
            <w:r>
              <w:rPr>
                <w:rFonts w:cs="Arial"/>
                <w:noProof/>
                <w:lang w:eastAsia="en-GB"/>
              </w:rPr>
              <w:drawing>
                <wp:anchor distT="0" distB="0" distL="114300" distR="114300" simplePos="0" relativeHeight="251661312" behindDoc="0" locked="0" layoutInCell="1" allowOverlap="1" wp14:anchorId="35B2A4D3" wp14:editId="16B1D043">
                  <wp:simplePos x="0" y="0"/>
                  <wp:positionH relativeFrom="column">
                    <wp:posOffset>-63795</wp:posOffset>
                  </wp:positionH>
                  <wp:positionV relativeFrom="paragraph">
                    <wp:posOffset>-11741</wp:posOffset>
                  </wp:positionV>
                  <wp:extent cx="986790" cy="986790"/>
                  <wp:effectExtent l="0" t="0" r="381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p>
        </w:tc>
      </w:tr>
      <w:tr w:rsidR="00143F31" w:rsidRPr="008846E4" w14:paraId="50F7F58C" w14:textId="77777777" w:rsidTr="424B4C3A">
        <w:trPr>
          <w:trHeight w:val="567"/>
        </w:trPr>
        <w:tc>
          <w:tcPr>
            <w:tcW w:w="11058" w:type="dxa"/>
            <w:shd w:val="clear" w:color="auto" w:fill="F2F2F2" w:themeFill="background1" w:themeFillShade="F2"/>
            <w:vAlign w:val="center"/>
          </w:tcPr>
          <w:p w14:paraId="454DB3CF" w14:textId="77777777" w:rsidR="00143F31" w:rsidRPr="00352C96" w:rsidRDefault="00143F31" w:rsidP="00143F31">
            <w:pPr>
              <w:rPr>
                <w:rFonts w:cstheme="minorHAnsi"/>
                <w:b/>
                <w:noProof/>
                <w:lang w:eastAsia="en-GB"/>
              </w:rPr>
            </w:pPr>
            <w:r w:rsidRPr="00352C96">
              <w:rPr>
                <w:rFonts w:cstheme="minorHAnsi"/>
                <w:b/>
                <w:noProof/>
                <w:lang w:eastAsia="en-GB"/>
              </w:rPr>
              <w:t>Purpose</w:t>
            </w:r>
          </w:p>
        </w:tc>
      </w:tr>
      <w:tr w:rsidR="00143F31" w:rsidRPr="004A6077" w14:paraId="523C4583" w14:textId="77777777" w:rsidTr="424B4C3A">
        <w:trPr>
          <w:trHeight w:val="567"/>
        </w:trPr>
        <w:tc>
          <w:tcPr>
            <w:tcW w:w="11058" w:type="dxa"/>
          </w:tcPr>
          <w:p w14:paraId="63F93FFB" w14:textId="117011F2" w:rsidR="00AE7C8A" w:rsidRPr="004A6077" w:rsidRDefault="00AE7C8A" w:rsidP="004A6077">
            <w:pPr>
              <w:rPr>
                <w:rFonts w:cstheme="minorHAnsi"/>
              </w:rPr>
            </w:pPr>
            <w:r w:rsidRPr="004A6077">
              <w:rPr>
                <w:rFonts w:cstheme="minorHAnsi"/>
              </w:rPr>
              <w:t>The corporate credit card policy outlines the rules in which it would be appropriate to issue a</w:t>
            </w:r>
            <w:r w:rsidR="00341387">
              <w:rPr>
                <w:rFonts w:cstheme="minorHAnsi"/>
              </w:rPr>
              <w:t>n employee</w:t>
            </w:r>
            <w:r w:rsidRPr="004A6077">
              <w:rPr>
                <w:rFonts w:cstheme="minorHAnsi"/>
              </w:rPr>
              <w:t xml:space="preserve"> / school with a corporate credit card, the application process and the principles to ensure the proper use of University corporate credit cards. This policy also outlines cardholder responsibilities.</w:t>
            </w:r>
          </w:p>
          <w:p w14:paraId="20C51305" w14:textId="77777777" w:rsidR="00AE7C8A" w:rsidRPr="004A6077" w:rsidRDefault="00AE7C8A" w:rsidP="004A6077">
            <w:pPr>
              <w:rPr>
                <w:rFonts w:cstheme="minorHAnsi"/>
              </w:rPr>
            </w:pPr>
          </w:p>
          <w:p w14:paraId="303AA6E3" w14:textId="6DE10942" w:rsidR="00143F31" w:rsidRDefault="00143F31" w:rsidP="6A70E314">
            <w:r w:rsidRPr="6A70E314">
              <w:t xml:space="preserve">The Policy also aims to make sure that: </w:t>
            </w:r>
          </w:p>
          <w:p w14:paraId="6BB32C17" w14:textId="77777777" w:rsidR="00143F31" w:rsidRPr="004A6077" w:rsidRDefault="00143F31" w:rsidP="004A6077">
            <w:pPr>
              <w:pStyle w:val="ListParagraph"/>
              <w:numPr>
                <w:ilvl w:val="0"/>
                <w:numId w:val="5"/>
              </w:numPr>
              <w:rPr>
                <w:rFonts w:cstheme="minorHAnsi"/>
              </w:rPr>
            </w:pPr>
            <w:r w:rsidRPr="004A6077">
              <w:rPr>
                <w:rFonts w:cstheme="minorHAnsi"/>
              </w:rPr>
              <w:t xml:space="preserve">individuals neither lose nor gain financially; </w:t>
            </w:r>
          </w:p>
          <w:p w14:paraId="53AF63C4" w14:textId="77777777" w:rsidR="00143F31" w:rsidRPr="004A6077" w:rsidRDefault="00143F31" w:rsidP="004A6077">
            <w:pPr>
              <w:pStyle w:val="ListParagraph"/>
              <w:numPr>
                <w:ilvl w:val="0"/>
                <w:numId w:val="5"/>
              </w:numPr>
              <w:rPr>
                <w:rFonts w:cstheme="minorHAnsi"/>
              </w:rPr>
            </w:pPr>
            <w:r w:rsidRPr="004A6077">
              <w:rPr>
                <w:rFonts w:cstheme="minorHAnsi"/>
              </w:rPr>
              <w:t xml:space="preserve">value for money is achieved; </w:t>
            </w:r>
          </w:p>
          <w:p w14:paraId="6E306915" w14:textId="35E5B7F5" w:rsidR="00CB6A68" w:rsidRPr="00920C61" w:rsidRDefault="00920C61" w:rsidP="00920C61">
            <w:pPr>
              <w:pStyle w:val="ListParagraph"/>
              <w:numPr>
                <w:ilvl w:val="0"/>
                <w:numId w:val="5"/>
              </w:numPr>
              <w:rPr>
                <w:rFonts w:cstheme="minorHAnsi"/>
              </w:rPr>
            </w:pPr>
            <w:r>
              <w:rPr>
                <w:rFonts w:cstheme="minorHAnsi"/>
              </w:rPr>
              <w:t>fraud is avoided</w:t>
            </w:r>
          </w:p>
        </w:tc>
      </w:tr>
      <w:tr w:rsidR="00143F31" w:rsidRPr="004A6077" w14:paraId="52CE30E0" w14:textId="77777777" w:rsidTr="424B4C3A">
        <w:trPr>
          <w:trHeight w:val="567"/>
        </w:trPr>
        <w:tc>
          <w:tcPr>
            <w:tcW w:w="11058" w:type="dxa"/>
            <w:shd w:val="clear" w:color="auto" w:fill="F2F2F2" w:themeFill="background1" w:themeFillShade="F2"/>
            <w:vAlign w:val="center"/>
          </w:tcPr>
          <w:p w14:paraId="6D43883B" w14:textId="77777777" w:rsidR="00143F31" w:rsidRPr="004A6077" w:rsidRDefault="00143F31" w:rsidP="004A6077">
            <w:pPr>
              <w:rPr>
                <w:rFonts w:cstheme="minorHAnsi"/>
                <w:b/>
                <w:noProof/>
                <w:lang w:eastAsia="en-GB"/>
              </w:rPr>
            </w:pPr>
            <w:r w:rsidRPr="004A6077">
              <w:rPr>
                <w:rFonts w:cstheme="minorHAnsi"/>
                <w:b/>
                <w:noProof/>
                <w:lang w:eastAsia="en-GB"/>
              </w:rPr>
              <w:t>Principles</w:t>
            </w:r>
          </w:p>
        </w:tc>
      </w:tr>
      <w:tr w:rsidR="00143F31" w:rsidRPr="004A6077" w14:paraId="10B93A1C" w14:textId="77777777" w:rsidTr="424B4C3A">
        <w:trPr>
          <w:trHeight w:val="567"/>
        </w:trPr>
        <w:tc>
          <w:tcPr>
            <w:tcW w:w="11058" w:type="dxa"/>
          </w:tcPr>
          <w:p w14:paraId="7212669C" w14:textId="77777777" w:rsidR="008650FF" w:rsidRDefault="00AE7C8A" w:rsidP="00877750">
            <w:pPr>
              <w:rPr>
                <w:rFonts w:cstheme="minorHAnsi"/>
              </w:rPr>
            </w:pPr>
            <w:r w:rsidRPr="004A6077">
              <w:rPr>
                <w:rFonts w:cstheme="minorHAnsi"/>
              </w:rPr>
              <w:t xml:space="preserve">The University issues corporate credit cards to employees in certain circumstances. In order to receive a University corporate credit card an employee must first submit a business case detailing the business requirement for the card and why other methods of payment are not deemed appropriate. </w:t>
            </w:r>
          </w:p>
          <w:p w14:paraId="7AF7917F" w14:textId="77777777" w:rsidR="008650FF" w:rsidRDefault="008650FF" w:rsidP="00877750">
            <w:pPr>
              <w:rPr>
                <w:rFonts w:cstheme="minorHAnsi"/>
              </w:rPr>
            </w:pPr>
          </w:p>
          <w:p w14:paraId="495F1052" w14:textId="79C981DA" w:rsidR="00AE7C8A" w:rsidRPr="004A6077" w:rsidRDefault="56951194" w:rsidP="00877750">
            <w:r w:rsidRPr="4BB55422">
              <w:t xml:space="preserve">It should be noted that the majority of expenditure must be incurred through the normal University procurement routes, primarily purchase orders. The use of corporate credit cards for payment is only for exceptional expenditure which cannot be met by the normal procurement routes. </w:t>
            </w:r>
          </w:p>
          <w:p w14:paraId="67FDA3E4" w14:textId="77777777" w:rsidR="00AE7C8A" w:rsidRPr="004A6077" w:rsidRDefault="00AE7C8A" w:rsidP="00877750">
            <w:pPr>
              <w:rPr>
                <w:rFonts w:cstheme="minorHAnsi"/>
              </w:rPr>
            </w:pPr>
          </w:p>
          <w:p w14:paraId="2B12F121" w14:textId="3AE25A64" w:rsidR="00F30A98" w:rsidRPr="004A6077" w:rsidRDefault="00AE7C8A" w:rsidP="00877750">
            <w:pPr>
              <w:rPr>
                <w:rFonts w:cstheme="minorHAnsi"/>
              </w:rPr>
            </w:pPr>
            <w:r w:rsidRPr="004A6077">
              <w:rPr>
                <w:rFonts w:cstheme="minorHAnsi"/>
              </w:rPr>
              <w:t>Once a corporate credit card has been issued to an employee they must follow the guidance on allowable expenditure. Cardholders must submit their expenditure once a month detailing the relevant coding and obtain the necessary approval.</w:t>
            </w:r>
          </w:p>
        </w:tc>
      </w:tr>
      <w:tr w:rsidR="00143F31" w:rsidRPr="004A6077" w14:paraId="1B563828" w14:textId="77777777" w:rsidTr="424B4C3A">
        <w:trPr>
          <w:trHeight w:val="624"/>
        </w:trPr>
        <w:tc>
          <w:tcPr>
            <w:tcW w:w="11058" w:type="dxa"/>
            <w:shd w:val="clear" w:color="auto" w:fill="F2F2F2" w:themeFill="background1" w:themeFillShade="F2"/>
            <w:vAlign w:val="center"/>
          </w:tcPr>
          <w:p w14:paraId="2CF703B6" w14:textId="4CA89E3C" w:rsidR="00143F31" w:rsidRPr="004A6077" w:rsidRDefault="00EA3D6F" w:rsidP="004A6077">
            <w:pPr>
              <w:rPr>
                <w:rFonts w:cstheme="minorHAnsi"/>
                <w:b/>
                <w:noProof/>
                <w:lang w:eastAsia="en-GB"/>
              </w:rPr>
            </w:pPr>
            <w:r w:rsidRPr="004A6077">
              <w:rPr>
                <w:rFonts w:cstheme="minorHAnsi"/>
              </w:rPr>
              <w:br w:type="page"/>
            </w:r>
            <w:r w:rsidR="00143F31" w:rsidRPr="004A6077">
              <w:rPr>
                <w:rFonts w:cstheme="minorHAnsi"/>
                <w:b/>
                <w:noProof/>
                <w:lang w:eastAsia="en-GB"/>
              </w:rPr>
              <w:t>Scope</w:t>
            </w:r>
          </w:p>
        </w:tc>
      </w:tr>
      <w:tr w:rsidR="00143F31" w:rsidRPr="004A6077" w14:paraId="5E7A78A4" w14:textId="77777777" w:rsidTr="424B4C3A">
        <w:trPr>
          <w:trHeight w:val="567"/>
        </w:trPr>
        <w:tc>
          <w:tcPr>
            <w:tcW w:w="11058" w:type="dxa"/>
            <w:shd w:val="clear" w:color="auto" w:fill="FFFFFF" w:themeFill="background1"/>
          </w:tcPr>
          <w:p w14:paraId="1272F054" w14:textId="78E14DFA" w:rsidR="005A6A2E" w:rsidRPr="00971EAD" w:rsidRDefault="00AE7C8A" w:rsidP="00E5737B">
            <w:pPr>
              <w:spacing w:after="120" w:line="288" w:lineRule="auto"/>
              <w:ind w:right="159"/>
              <w:rPr>
                <w:rFonts w:cstheme="minorHAnsi"/>
                <w:color w:val="FFFFFF" w:themeColor="background1"/>
              </w:rPr>
            </w:pPr>
            <w:r w:rsidRPr="00971EAD">
              <w:rPr>
                <w:rFonts w:cstheme="minorHAnsi"/>
              </w:rPr>
              <w:t xml:space="preserve">This policy applies to </w:t>
            </w:r>
            <w:r w:rsidR="00E5737B">
              <w:rPr>
                <w:rFonts w:cstheme="minorHAnsi"/>
              </w:rPr>
              <w:t>employees</w:t>
            </w:r>
            <w:r w:rsidRPr="00971EAD">
              <w:rPr>
                <w:rFonts w:cstheme="minorHAnsi"/>
              </w:rPr>
              <w:t xml:space="preserve"> who are considering applying for a University corporate credit card or are in possession of a corporate credit card. The authority of this policy applies University-wide.</w:t>
            </w:r>
          </w:p>
        </w:tc>
      </w:tr>
      <w:tr w:rsidR="00E53C70" w:rsidRPr="004A6077" w14:paraId="207055E1" w14:textId="77777777" w:rsidTr="424B4C3A">
        <w:trPr>
          <w:trHeight w:val="624"/>
        </w:trPr>
        <w:tc>
          <w:tcPr>
            <w:tcW w:w="11058" w:type="dxa"/>
            <w:shd w:val="clear" w:color="auto" w:fill="F2F2F2" w:themeFill="background1" w:themeFillShade="F2"/>
            <w:vAlign w:val="bottom"/>
          </w:tcPr>
          <w:p w14:paraId="7E871CFF" w14:textId="38950A56" w:rsidR="00E53C70" w:rsidRPr="004A6077" w:rsidRDefault="00E53C70" w:rsidP="00A4768E">
            <w:pPr>
              <w:spacing w:after="120" w:line="288" w:lineRule="auto"/>
              <w:ind w:right="159"/>
              <w:rPr>
                <w:rFonts w:cstheme="minorHAnsi"/>
              </w:rPr>
            </w:pPr>
            <w:r w:rsidRPr="004A6077">
              <w:rPr>
                <w:rFonts w:cstheme="minorHAnsi"/>
                <w:b/>
              </w:rPr>
              <w:t>Using this Policy</w:t>
            </w:r>
          </w:p>
        </w:tc>
      </w:tr>
      <w:tr w:rsidR="00E53C70" w:rsidRPr="004A6077" w14:paraId="72C6C280" w14:textId="77777777" w:rsidTr="424B4C3A">
        <w:trPr>
          <w:trHeight w:val="567"/>
        </w:trPr>
        <w:tc>
          <w:tcPr>
            <w:tcW w:w="11058" w:type="dxa"/>
          </w:tcPr>
          <w:p w14:paraId="787524A1" w14:textId="4CCFB5E2" w:rsidR="00E53C70" w:rsidRDefault="00E53C70" w:rsidP="00877750">
            <w:pPr>
              <w:spacing w:after="120"/>
              <w:ind w:right="159"/>
              <w:rPr>
                <w:rFonts w:cstheme="minorHAnsi"/>
              </w:rPr>
            </w:pPr>
            <w:r w:rsidRPr="004A6077">
              <w:rPr>
                <w:rFonts w:cstheme="minorHAnsi"/>
              </w:rPr>
              <w:t>All claims must be in line with the principles set out above. The following sections of the Policy provides further detail on the types of cost that are likely to meet these principles, noting that while some flexibility is expected according to the situation, the principles apply in all cases. If there are any doubts, you should always contact your Finance Business Partnering team prior to incurring any costs. The Finance Operations Service Assurance Team will also provide extra information and support to ensure Finance Business Partnering teams can implement the policy.</w:t>
            </w:r>
          </w:p>
          <w:p w14:paraId="4927DF47" w14:textId="4A5D5D21" w:rsidR="00877750" w:rsidRPr="004A6077" w:rsidRDefault="00877750" w:rsidP="00877750">
            <w:pPr>
              <w:spacing w:after="120"/>
              <w:ind w:right="159"/>
              <w:rPr>
                <w:rFonts w:cstheme="minorHAnsi"/>
              </w:rPr>
            </w:pPr>
            <w:r>
              <w:rPr>
                <w:rStyle w:val="normaltextrun"/>
                <w:rFonts w:ascii="Calibri" w:hAnsi="Calibri" w:cs="Calibri"/>
                <w:color w:val="000000"/>
                <w:shd w:val="clear" w:color="auto" w:fill="FFFFFF"/>
              </w:rPr>
              <w:t>Staff who fail to comply with this policy will be dealt with under the University’s disciplinary policy</w:t>
            </w:r>
            <w:r>
              <w:rPr>
                <w:rStyle w:val="Hyperlink"/>
              </w:rPr>
              <w:t>.</w:t>
            </w:r>
          </w:p>
          <w:p w14:paraId="32E41357" w14:textId="7194FA00" w:rsidR="00877750" w:rsidRPr="00877750" w:rsidRDefault="4FCB9A2D" w:rsidP="00877750">
            <w:pPr>
              <w:spacing w:after="120"/>
              <w:ind w:right="159"/>
              <w:rPr>
                <w:color w:val="0563C1" w:themeColor="hyperlink"/>
                <w:u w:val="single"/>
              </w:rPr>
            </w:pPr>
            <w:r w:rsidRPr="424B4C3A">
              <w:rPr>
                <w:b/>
                <w:bCs/>
              </w:rPr>
              <w:t>Please note:</w:t>
            </w:r>
            <w:r w:rsidRPr="424B4C3A">
              <w:t xml:space="preserve"> This Policy is a live document that is subject to change on an ongoing basis. To ensure you have the most up to date policy, please refer to the website at: </w:t>
            </w:r>
            <w:hyperlink r:id="rId12">
              <w:r w:rsidRPr="424B4C3A">
                <w:rPr>
                  <w:rStyle w:val="Hyperlink"/>
                </w:rPr>
                <w:t>https://www.edweb.ed.ac.uk/finance/for-staff/financial-regulations-policies-and-procedures/policies-and-procedures</w:t>
              </w:r>
            </w:hyperlink>
          </w:p>
        </w:tc>
      </w:tr>
    </w:tbl>
    <w:p w14:paraId="10F208D7" w14:textId="77777777" w:rsidR="00D61D31" w:rsidRDefault="00D61D31">
      <w:r>
        <w:br w:type="page"/>
      </w:r>
    </w:p>
    <w:tbl>
      <w:tblPr>
        <w:tblStyle w:val="TableGrid"/>
        <w:tblW w:w="11058" w:type="dxa"/>
        <w:tblInd w:w="-998" w:type="dxa"/>
        <w:tblLook w:val="04A0" w:firstRow="1" w:lastRow="0" w:firstColumn="1" w:lastColumn="0" w:noHBand="0" w:noVBand="1"/>
      </w:tblPr>
      <w:tblGrid>
        <w:gridCol w:w="1419"/>
        <w:gridCol w:w="3260"/>
        <w:gridCol w:w="827"/>
        <w:gridCol w:w="23"/>
        <w:gridCol w:w="1418"/>
        <w:gridCol w:w="4111"/>
      </w:tblGrid>
      <w:tr w:rsidR="008E2B27" w:rsidRPr="004A6077" w14:paraId="736F0291" w14:textId="77777777" w:rsidTr="32E2D96A">
        <w:trPr>
          <w:trHeight w:val="624"/>
        </w:trPr>
        <w:tc>
          <w:tcPr>
            <w:tcW w:w="11058" w:type="dxa"/>
            <w:gridSpan w:val="6"/>
            <w:shd w:val="clear" w:color="auto" w:fill="F2F2F2" w:themeFill="background1" w:themeFillShade="F2"/>
            <w:vAlign w:val="center"/>
          </w:tcPr>
          <w:p w14:paraId="7A67993F" w14:textId="51858E23" w:rsidR="008E2B27" w:rsidRPr="004A6077" w:rsidRDefault="008E2B27" w:rsidP="008E2B27">
            <w:pPr>
              <w:rPr>
                <w:rFonts w:cstheme="minorHAnsi"/>
                <w:b/>
                <w:noProof/>
                <w:lang w:eastAsia="en-GB"/>
              </w:rPr>
            </w:pPr>
            <w:r w:rsidRPr="004A6077">
              <w:rPr>
                <w:rFonts w:cstheme="minorHAnsi"/>
                <w:b/>
              </w:rPr>
              <w:lastRenderedPageBreak/>
              <w:t>Eligibility</w:t>
            </w:r>
          </w:p>
        </w:tc>
      </w:tr>
      <w:tr w:rsidR="008E2B27" w:rsidRPr="004A6077" w14:paraId="785CF154" w14:textId="77777777" w:rsidTr="32E2D96A">
        <w:trPr>
          <w:trHeight w:val="624"/>
        </w:trPr>
        <w:tc>
          <w:tcPr>
            <w:tcW w:w="11058" w:type="dxa"/>
            <w:gridSpan w:val="6"/>
            <w:shd w:val="clear" w:color="auto" w:fill="auto"/>
            <w:vAlign w:val="center"/>
          </w:tcPr>
          <w:p w14:paraId="7B187062" w14:textId="77777777" w:rsidR="008E2B27" w:rsidRDefault="008E2B27" w:rsidP="008E2B27">
            <w:pPr>
              <w:rPr>
                <w:rFonts w:cstheme="minorHAnsi"/>
              </w:rPr>
            </w:pPr>
            <w:r w:rsidRPr="004A6077">
              <w:rPr>
                <w:rFonts w:cstheme="minorHAnsi"/>
              </w:rPr>
              <w:t xml:space="preserve">Corporate credit cards will only be issued to University employees who are able to demonstrate that the issue of a card will aid in the effective and efficient exercise of their official duties. Factors that will influence the decision to issue a card to a particular employee include: </w:t>
            </w:r>
          </w:p>
          <w:p w14:paraId="739C53D0" w14:textId="77777777" w:rsidR="008E2B27" w:rsidRPr="004A6077" w:rsidRDefault="008E2B27" w:rsidP="008E2B27">
            <w:pPr>
              <w:rPr>
                <w:rFonts w:cstheme="minorHAnsi"/>
              </w:rPr>
            </w:pPr>
          </w:p>
          <w:p w14:paraId="4F484846" w14:textId="77777777" w:rsidR="008E2B27" w:rsidRPr="00A4768E" w:rsidRDefault="008E2B27" w:rsidP="008E2B27">
            <w:pPr>
              <w:pStyle w:val="ListParagraph"/>
              <w:numPr>
                <w:ilvl w:val="0"/>
                <w:numId w:val="4"/>
              </w:numPr>
              <w:rPr>
                <w:rFonts w:cstheme="minorHAnsi"/>
              </w:rPr>
            </w:pPr>
            <w:r w:rsidRPr="00A4768E">
              <w:rPr>
                <w:rFonts w:cstheme="minorHAnsi"/>
              </w:rPr>
              <w:t>The nature and extent of minor purchases of goods and services that may be unde</w:t>
            </w:r>
            <w:r>
              <w:rPr>
                <w:rFonts w:cstheme="minorHAnsi"/>
              </w:rPr>
              <w:t>rtaken e.g. internet purchases;</w:t>
            </w:r>
          </w:p>
          <w:p w14:paraId="23098D0F" w14:textId="77777777" w:rsidR="008E2B27" w:rsidRPr="00A4768E" w:rsidRDefault="008E2B27" w:rsidP="008E2B27">
            <w:pPr>
              <w:pStyle w:val="ListParagraph"/>
              <w:numPr>
                <w:ilvl w:val="0"/>
                <w:numId w:val="4"/>
              </w:numPr>
              <w:rPr>
                <w:rFonts w:cstheme="minorHAnsi"/>
              </w:rPr>
            </w:pPr>
            <w:r w:rsidRPr="00A4768E">
              <w:rPr>
                <w:rFonts w:cstheme="minorHAnsi"/>
              </w:rPr>
              <w:t xml:space="preserve">The frequency and nature of domestic and international travel that may be undertaken in the course of official duties; </w:t>
            </w:r>
          </w:p>
          <w:p w14:paraId="407533F1" w14:textId="77777777" w:rsidR="008E2B27" w:rsidRPr="00A4768E" w:rsidRDefault="008E2B27" w:rsidP="008E2B27">
            <w:pPr>
              <w:pStyle w:val="ListParagraph"/>
              <w:numPr>
                <w:ilvl w:val="0"/>
                <w:numId w:val="4"/>
              </w:numPr>
              <w:rPr>
                <w:rFonts w:cstheme="minorHAnsi"/>
              </w:rPr>
            </w:pPr>
            <w:r w:rsidRPr="00A4768E">
              <w:rPr>
                <w:rFonts w:cstheme="minorHAnsi"/>
              </w:rPr>
              <w:t xml:space="preserve">The need to meet the cost of official “out of pocket” expenses (including certain approved entertainment/hospitality cost). </w:t>
            </w:r>
          </w:p>
          <w:p w14:paraId="6B5686EE" w14:textId="77777777" w:rsidR="008E2B27" w:rsidRPr="004A6077" w:rsidRDefault="008E2B27" w:rsidP="008E2B27">
            <w:pPr>
              <w:rPr>
                <w:rFonts w:cstheme="minorHAnsi"/>
              </w:rPr>
            </w:pPr>
          </w:p>
          <w:p w14:paraId="746240CD" w14:textId="5DB71915" w:rsidR="008E2B27" w:rsidRDefault="008E2B27" w:rsidP="008E2B27">
            <w:pPr>
              <w:rPr>
                <w:rFonts w:cstheme="minorHAnsi"/>
                <w:b/>
              </w:rPr>
            </w:pPr>
            <w:r w:rsidRPr="004A6077">
              <w:rPr>
                <w:rFonts w:cstheme="minorHAnsi"/>
              </w:rPr>
              <w:t xml:space="preserve">As per the University of Edinburgh </w:t>
            </w:r>
            <w:r w:rsidRPr="00A4768E">
              <w:rPr>
                <w:rFonts w:cstheme="minorHAnsi"/>
              </w:rPr>
              <w:t>Expenses Policy</w:t>
            </w:r>
            <w:r>
              <w:rPr>
                <w:rFonts w:cstheme="minorHAnsi"/>
              </w:rPr>
              <w:t xml:space="preserve"> </w:t>
            </w:r>
            <w:r w:rsidRPr="004A6077">
              <w:rPr>
                <w:rFonts w:cstheme="minorHAnsi"/>
              </w:rPr>
              <w:t>‘The majority of business expenditure must be incurred th</w:t>
            </w:r>
            <w:r w:rsidR="00CB6B79">
              <w:rPr>
                <w:rFonts w:cstheme="minorHAnsi"/>
              </w:rPr>
              <w:t>r</w:t>
            </w:r>
            <w:r w:rsidRPr="004A6077">
              <w:rPr>
                <w:rFonts w:cstheme="minorHAnsi"/>
              </w:rPr>
              <w:t xml:space="preserve">ough University procurement routes. If there are other reasons why the University procurement routes prescribed in </w:t>
            </w:r>
            <w:r>
              <w:rPr>
                <w:rFonts w:cstheme="minorHAnsi"/>
              </w:rPr>
              <w:t xml:space="preserve">the Expenses Policy </w:t>
            </w:r>
            <w:r w:rsidRPr="004A6077">
              <w:rPr>
                <w:rFonts w:cstheme="minorHAnsi"/>
              </w:rPr>
              <w:t>are not appropriate, an application for a corporate credit card can be submi</w:t>
            </w:r>
            <w:r>
              <w:rPr>
                <w:rFonts w:cstheme="minorHAnsi"/>
              </w:rPr>
              <w:t>tted to the Finance Department’.</w:t>
            </w:r>
          </w:p>
        </w:tc>
      </w:tr>
      <w:tr w:rsidR="008E2B27" w:rsidRPr="004A6077" w14:paraId="299D6946" w14:textId="77777777" w:rsidTr="32E2D96A">
        <w:trPr>
          <w:trHeight w:val="624"/>
        </w:trPr>
        <w:tc>
          <w:tcPr>
            <w:tcW w:w="11058" w:type="dxa"/>
            <w:gridSpan w:val="6"/>
            <w:shd w:val="clear" w:color="auto" w:fill="F2F2F2" w:themeFill="background1" w:themeFillShade="F2"/>
            <w:vAlign w:val="center"/>
          </w:tcPr>
          <w:p w14:paraId="1B731947" w14:textId="15030112" w:rsidR="008E2B27" w:rsidRPr="004A6077" w:rsidRDefault="008E2B27" w:rsidP="008E2B27">
            <w:pPr>
              <w:rPr>
                <w:rFonts w:cstheme="minorHAnsi"/>
                <w:b/>
                <w:noProof/>
                <w:lang w:eastAsia="en-GB"/>
              </w:rPr>
            </w:pPr>
            <w:r>
              <w:rPr>
                <w:rFonts w:cstheme="minorHAnsi"/>
                <w:b/>
                <w:noProof/>
                <w:lang w:eastAsia="en-GB"/>
              </w:rPr>
              <w:t>Statement of responsibilities</w:t>
            </w:r>
          </w:p>
        </w:tc>
      </w:tr>
      <w:tr w:rsidR="008E2B27" w:rsidRPr="004A6077" w14:paraId="57D8209C" w14:textId="41B2DCA2" w:rsidTr="32E2D96A">
        <w:trPr>
          <w:trHeight w:val="567"/>
        </w:trPr>
        <w:tc>
          <w:tcPr>
            <w:tcW w:w="11058" w:type="dxa"/>
            <w:gridSpan w:val="6"/>
            <w:shd w:val="clear" w:color="auto" w:fill="FFFFFF" w:themeFill="background1"/>
          </w:tcPr>
          <w:p w14:paraId="0F028412" w14:textId="77777777" w:rsidR="00F30A98" w:rsidRDefault="00F30A98" w:rsidP="00F30A98">
            <w:pPr>
              <w:rPr>
                <w:rFonts w:cstheme="minorHAnsi"/>
              </w:rPr>
            </w:pPr>
            <w:r w:rsidRPr="004A6077">
              <w:rPr>
                <w:rFonts w:cstheme="minorHAnsi"/>
              </w:rPr>
              <w:t>When taking delivery of a card each cardholder is to sign a ‘Statement of Responsibilities’ to acknowledge their understanding of the conditions under which the corporate credit card is to be used. The cardholder is to retain a copy of this schedule. The original copy is kept for finance records.</w:t>
            </w:r>
          </w:p>
          <w:p w14:paraId="55B85AC4" w14:textId="77777777" w:rsidR="00F30A98" w:rsidRDefault="00F30A98" w:rsidP="008E2B27"/>
          <w:p w14:paraId="0ACC31E4" w14:textId="19CDD9C1" w:rsidR="008E2B27" w:rsidRDefault="008E2B27" w:rsidP="00F30A98">
            <w:pPr>
              <w:pStyle w:val="ListParagraph"/>
              <w:numPr>
                <w:ilvl w:val="0"/>
                <w:numId w:val="39"/>
              </w:numPr>
            </w:pPr>
            <w:r>
              <w:t xml:space="preserve">Cardholders issued with a corporate credit card are in a position of trust in regards to the use of public funds. All expenditure charged to a corporate credit card is subject to examination and approval by a delegated line manager to ensure its appropriateness and compliance with the policy conditions, as outlined herein. Improper use of that trust will result in the card being withdrawn and render the cardholder liable to disciplinary and possible legal action; </w:t>
            </w:r>
          </w:p>
          <w:p w14:paraId="2C8530A1" w14:textId="22D65D90" w:rsidR="008E2B27" w:rsidRDefault="008E2B27" w:rsidP="00F30A98">
            <w:pPr>
              <w:pStyle w:val="ListParagraph"/>
              <w:numPr>
                <w:ilvl w:val="0"/>
                <w:numId w:val="39"/>
              </w:numPr>
            </w:pPr>
            <w:r>
              <w:t xml:space="preserve">Corporate credit cards are only to be used for official business / University purposes (as outlined in this policy). Where inappropriate expenditure occurs, the value of the expenditure may be recovered from the cardholder; </w:t>
            </w:r>
          </w:p>
          <w:p w14:paraId="00D2F82B" w14:textId="0164FF12" w:rsidR="008E2B27" w:rsidRDefault="008E2B27" w:rsidP="00F30A98">
            <w:pPr>
              <w:pStyle w:val="ListParagraph"/>
              <w:numPr>
                <w:ilvl w:val="0"/>
                <w:numId w:val="39"/>
              </w:numPr>
            </w:pPr>
            <w:r>
              <w:t xml:space="preserve">Corporate credit cards are only to be used by the person whose name appears on the card; </w:t>
            </w:r>
          </w:p>
          <w:p w14:paraId="4A69828E" w14:textId="307FD9F9" w:rsidR="008E2B27" w:rsidRDefault="008E2B27" w:rsidP="00F30A98">
            <w:pPr>
              <w:pStyle w:val="ListParagraph"/>
              <w:numPr>
                <w:ilvl w:val="0"/>
                <w:numId w:val="39"/>
              </w:numPr>
            </w:pPr>
            <w:r>
              <w:t>The cardholder is personally responsible and accountable for the safe keeping of the card. Cards are to be kept secure and protected against improper use;</w:t>
            </w:r>
          </w:p>
          <w:p w14:paraId="5E3FEEB6" w14:textId="198CC2CA" w:rsidR="008E2B27" w:rsidRDefault="008E2B27" w:rsidP="00F30A98">
            <w:pPr>
              <w:pStyle w:val="ListParagraph"/>
              <w:numPr>
                <w:ilvl w:val="0"/>
                <w:numId w:val="39"/>
              </w:numPr>
            </w:pPr>
            <w:r w:rsidRPr="4BB55422">
              <w:t>Cardholder statements itemising transaction activity are issued on a monthly basis. Cardholders must reconcile and return their approved monthly statement within 10 working days of receipt (failure to submit monthly statements in a timely fashion may result in the corporate credit card being cancelled).</w:t>
            </w:r>
          </w:p>
          <w:p w14:paraId="4EACDB81" w14:textId="77777777" w:rsidR="00F30A98" w:rsidRDefault="008E2B27" w:rsidP="00F30A98">
            <w:pPr>
              <w:pStyle w:val="ListParagraph"/>
              <w:numPr>
                <w:ilvl w:val="0"/>
                <w:numId w:val="39"/>
              </w:numPr>
            </w:pPr>
            <w:r>
              <w:t xml:space="preserve">All transaction slips are to be retained and submitted by the cardholder when passing their monthly Cardholder Statements to their manager. Where no documentation is available to support a particular transaction the cardholder will be required to prove a declaration detailing the nature of the expense and that is business related; </w:t>
            </w:r>
          </w:p>
          <w:p w14:paraId="451A96DA" w14:textId="6EEB0FAC" w:rsidR="008E2B27" w:rsidRDefault="008E2B27" w:rsidP="00F30A98">
            <w:pPr>
              <w:pStyle w:val="ListParagraph"/>
              <w:numPr>
                <w:ilvl w:val="0"/>
                <w:numId w:val="39"/>
              </w:numPr>
            </w:pPr>
            <w:r>
              <w:t xml:space="preserve">Credit limits are not to be exceeded; </w:t>
            </w:r>
          </w:p>
          <w:p w14:paraId="3368381E" w14:textId="5EB03926" w:rsidR="008E2B27" w:rsidRDefault="008E2B27" w:rsidP="00F30A98">
            <w:pPr>
              <w:pStyle w:val="ListParagraph"/>
              <w:numPr>
                <w:ilvl w:val="0"/>
                <w:numId w:val="39"/>
              </w:numPr>
            </w:pPr>
            <w:r>
              <w:t xml:space="preserve">Deposits are not to be made to the card account by the cardholder; </w:t>
            </w:r>
          </w:p>
          <w:p w14:paraId="022222FC" w14:textId="109439B8" w:rsidR="008E2B27" w:rsidRDefault="008E2B27" w:rsidP="00F30A98">
            <w:pPr>
              <w:pStyle w:val="ListParagraph"/>
              <w:numPr>
                <w:ilvl w:val="0"/>
                <w:numId w:val="39"/>
              </w:numPr>
            </w:pPr>
            <w:r>
              <w:t>In the event of termination of employment cardholders will immediately return the corporate credit card to Finance and ensure the corporate credit card account is properly reconciled</w:t>
            </w:r>
          </w:p>
          <w:p w14:paraId="05C6F864" w14:textId="66DC9685" w:rsidR="008E2B27" w:rsidRPr="008E2B27" w:rsidRDefault="008E2B27" w:rsidP="008E2B27">
            <w:pPr>
              <w:rPr>
                <w:rFonts w:cstheme="minorHAnsi"/>
              </w:rPr>
            </w:pPr>
          </w:p>
        </w:tc>
      </w:tr>
      <w:tr w:rsidR="008E2B27" w:rsidRPr="004A6077" w14:paraId="507AB199" w14:textId="77777777" w:rsidTr="32E2D96A">
        <w:trPr>
          <w:trHeight w:val="624"/>
        </w:trPr>
        <w:tc>
          <w:tcPr>
            <w:tcW w:w="11058" w:type="dxa"/>
            <w:gridSpan w:val="6"/>
            <w:shd w:val="clear" w:color="auto" w:fill="F2F2F2" w:themeFill="background1" w:themeFillShade="F2"/>
            <w:vAlign w:val="center"/>
          </w:tcPr>
          <w:p w14:paraId="1052B872" w14:textId="63827AF8" w:rsidR="008E2B27" w:rsidRPr="004A6077" w:rsidRDefault="008E2B27" w:rsidP="008E2B27">
            <w:pPr>
              <w:rPr>
                <w:rFonts w:cstheme="minorHAnsi"/>
                <w:b/>
              </w:rPr>
            </w:pPr>
            <w:r w:rsidRPr="004A6077">
              <w:rPr>
                <w:rFonts w:cstheme="minorHAnsi"/>
                <w:b/>
              </w:rPr>
              <w:t>Use of corporate credit cards</w:t>
            </w:r>
          </w:p>
        </w:tc>
      </w:tr>
      <w:tr w:rsidR="008E2B27" w:rsidRPr="004A6077" w14:paraId="1CA7A150" w14:textId="77777777" w:rsidTr="32E2D96A">
        <w:trPr>
          <w:trHeight w:val="624"/>
        </w:trPr>
        <w:tc>
          <w:tcPr>
            <w:tcW w:w="11058" w:type="dxa"/>
            <w:gridSpan w:val="6"/>
            <w:shd w:val="clear" w:color="auto" w:fill="auto"/>
            <w:vAlign w:val="center"/>
          </w:tcPr>
          <w:p w14:paraId="75538185" w14:textId="77777777" w:rsidR="008E2B27" w:rsidRPr="004A6077" w:rsidRDefault="008E2B27" w:rsidP="008E2B27">
            <w:pPr>
              <w:ind w:right="159"/>
            </w:pPr>
            <w:r w:rsidRPr="2003EC09">
              <w:t xml:space="preserve">Expenditure on corporate credit cards should only be undertaken with the prior approval of the budget holder. Expenditure must be incurred by a cardholder in the furtherance of their duties for the University. Cardholders must ensure that no unnecessary costs are incurred and that the University receives good value for money. </w:t>
            </w:r>
          </w:p>
          <w:p w14:paraId="1F9CB617" w14:textId="77777777" w:rsidR="008E2B27" w:rsidRPr="004A6077" w:rsidRDefault="008E2B27" w:rsidP="008E2B27">
            <w:pPr>
              <w:ind w:right="159"/>
              <w:rPr>
                <w:rFonts w:cstheme="minorHAnsi"/>
              </w:rPr>
            </w:pPr>
          </w:p>
          <w:p w14:paraId="75D8E3CA" w14:textId="3A34A396" w:rsidR="008E2B27" w:rsidRPr="00FB14BC" w:rsidRDefault="008E2B27" w:rsidP="008E2B27">
            <w:pPr>
              <w:rPr>
                <w:color w:val="0563C1" w:themeColor="hyperlink"/>
                <w:u w:val="single"/>
              </w:rPr>
            </w:pPr>
            <w:r w:rsidRPr="2003EC09">
              <w:t xml:space="preserve">A corporate credit card payment should only be made on reputable merchant’s site where the corporate credit card number cannot be intercepted. Cardholders </w:t>
            </w:r>
            <w:r>
              <w:t>making purchases online</w:t>
            </w:r>
            <w:r w:rsidRPr="2003EC09">
              <w:t xml:space="preserve"> must carefully scrutinise their corporate credit card statements for any suspicious transactions. If a suspicious transaction is noted the bank needs to be notified immediately.</w:t>
            </w:r>
            <w:r>
              <w:t xml:space="preserve"> You can find more information about using your card on the </w:t>
            </w:r>
            <w:hyperlink r:id="rId13" w:history="1">
              <w:r w:rsidRPr="00D533EA">
                <w:rPr>
                  <w:rStyle w:val="Hyperlink"/>
                </w:rPr>
                <w:t>RBS Help &amp; Support page</w:t>
              </w:r>
            </w:hyperlink>
          </w:p>
        </w:tc>
      </w:tr>
      <w:tr w:rsidR="008E2B27" w:rsidRPr="004A6077" w14:paraId="13B1868F" w14:textId="77777777" w:rsidTr="32E2D96A">
        <w:trPr>
          <w:trHeight w:val="624"/>
        </w:trPr>
        <w:tc>
          <w:tcPr>
            <w:tcW w:w="11058" w:type="dxa"/>
            <w:gridSpan w:val="6"/>
            <w:shd w:val="clear" w:color="auto" w:fill="F2F2F2" w:themeFill="background1" w:themeFillShade="F2"/>
            <w:vAlign w:val="center"/>
          </w:tcPr>
          <w:p w14:paraId="75DF544A" w14:textId="0B225701" w:rsidR="008E2B27" w:rsidRPr="004A6077" w:rsidRDefault="008E2B27" w:rsidP="008E2B27">
            <w:pPr>
              <w:rPr>
                <w:rFonts w:cstheme="minorHAnsi"/>
                <w:b/>
              </w:rPr>
            </w:pPr>
            <w:r w:rsidRPr="004A6077">
              <w:rPr>
                <w:rFonts w:cstheme="minorHAnsi"/>
                <w:b/>
              </w:rPr>
              <w:lastRenderedPageBreak/>
              <w:t>Corporate Credit Card Fraud</w:t>
            </w:r>
          </w:p>
        </w:tc>
      </w:tr>
      <w:tr w:rsidR="008E2B27" w:rsidRPr="004A6077" w14:paraId="4C7C167B" w14:textId="77777777" w:rsidTr="32E2D96A">
        <w:trPr>
          <w:trHeight w:val="567"/>
        </w:trPr>
        <w:tc>
          <w:tcPr>
            <w:tcW w:w="11058" w:type="dxa"/>
            <w:gridSpan w:val="6"/>
            <w:shd w:val="clear" w:color="auto" w:fill="auto"/>
            <w:vAlign w:val="center"/>
          </w:tcPr>
          <w:p w14:paraId="1279248E" w14:textId="0FE2DC40" w:rsidR="008E2B27" w:rsidRPr="004A6077" w:rsidRDefault="008E2B27" w:rsidP="008E2B27">
            <w:pPr>
              <w:pStyle w:val="BodyText"/>
              <w:spacing w:line="240" w:lineRule="auto"/>
              <w:ind w:left="0" w:right="209" w:firstLine="0"/>
              <w:rPr>
                <w:rFonts w:asciiTheme="minorHAnsi" w:hAnsiTheme="minorHAnsi" w:cstheme="minorBidi"/>
                <w:b/>
                <w:bCs/>
              </w:rPr>
            </w:pPr>
            <w:r w:rsidRPr="2003EC09">
              <w:rPr>
                <w:rFonts w:asciiTheme="minorHAnsi" w:hAnsiTheme="minorHAnsi" w:cstheme="minorBidi"/>
              </w:rPr>
              <w:t xml:space="preserve">Cardholders are personally responsible and accountable for the safe keeping of their card. Cards should be kept secure and protected against improper use. In the event the card is lost or stolen, the cardholder must report the loss immediately to the card provider. Any transactions on an account which cannot be identified by the cardholder should be reported to the card provider directly. The </w:t>
            </w:r>
            <w:r>
              <w:rPr>
                <w:rFonts w:asciiTheme="minorHAnsi" w:hAnsiTheme="minorHAnsi" w:cstheme="minorBidi"/>
              </w:rPr>
              <w:t xml:space="preserve">Finance Operations Service Assurance Team </w:t>
            </w:r>
            <w:r w:rsidRPr="2003EC09">
              <w:rPr>
                <w:rFonts w:asciiTheme="minorHAnsi" w:hAnsiTheme="minorHAnsi" w:cstheme="minorBidi"/>
              </w:rPr>
              <w:t>should also be advised at the earliest opportunity to follow up with the bank.</w:t>
            </w:r>
          </w:p>
        </w:tc>
      </w:tr>
      <w:tr w:rsidR="008E2B27" w:rsidRPr="004A6077" w14:paraId="0DE710AA" w14:textId="77777777" w:rsidTr="32E2D96A">
        <w:trPr>
          <w:trHeight w:val="624"/>
        </w:trPr>
        <w:tc>
          <w:tcPr>
            <w:tcW w:w="11058" w:type="dxa"/>
            <w:gridSpan w:val="6"/>
            <w:shd w:val="clear" w:color="auto" w:fill="F2F2F2" w:themeFill="background1" w:themeFillShade="F2"/>
            <w:vAlign w:val="center"/>
          </w:tcPr>
          <w:p w14:paraId="2CEFFDC4" w14:textId="1F89EA34" w:rsidR="008E2B27" w:rsidRPr="004A6077" w:rsidRDefault="008E2B27" w:rsidP="008E2B27">
            <w:pPr>
              <w:ind w:right="159"/>
              <w:rPr>
                <w:rFonts w:cstheme="minorHAnsi"/>
                <w:b/>
              </w:rPr>
            </w:pPr>
            <w:r w:rsidRPr="004A6077">
              <w:rPr>
                <w:rFonts w:cstheme="minorHAnsi"/>
                <w:b/>
              </w:rPr>
              <w:t>Expenditure covered</w:t>
            </w:r>
          </w:p>
        </w:tc>
      </w:tr>
      <w:tr w:rsidR="008E2B27" w:rsidRPr="004A6077" w14:paraId="20BA3CA9" w14:textId="77777777" w:rsidTr="32E2D96A">
        <w:trPr>
          <w:trHeight w:val="794"/>
        </w:trPr>
        <w:tc>
          <w:tcPr>
            <w:tcW w:w="11058" w:type="dxa"/>
            <w:gridSpan w:val="6"/>
            <w:shd w:val="clear" w:color="auto" w:fill="FFFFFF" w:themeFill="background1"/>
            <w:vAlign w:val="center"/>
          </w:tcPr>
          <w:p w14:paraId="58546D04" w14:textId="26A32779" w:rsidR="008E2B27" w:rsidRDefault="008E2B27" w:rsidP="008E2B27">
            <w:r>
              <w:t xml:space="preserve">Listed below are examples of the type of official expenditure that can be incurred using a corporate credit card: </w:t>
            </w:r>
          </w:p>
          <w:p w14:paraId="1343725E" w14:textId="57710A40" w:rsidR="008E2B27" w:rsidRDefault="008E2B27" w:rsidP="008E2B27">
            <w:pPr>
              <w:ind w:right="159"/>
              <w:rPr>
                <w:rFonts w:cstheme="minorHAnsi"/>
              </w:rPr>
            </w:pPr>
          </w:p>
          <w:p w14:paraId="4D486AE9" w14:textId="028D5091" w:rsidR="008E2B27" w:rsidRPr="00E46DC1" w:rsidRDefault="574A6528" w:rsidP="7D8C040A">
            <w:pPr>
              <w:pStyle w:val="ListParagraph"/>
              <w:numPr>
                <w:ilvl w:val="0"/>
                <w:numId w:val="35"/>
              </w:numPr>
              <w:ind w:right="159"/>
              <w:rPr>
                <w:rFonts w:eastAsiaTheme="minorEastAsia"/>
              </w:rPr>
            </w:pPr>
            <w:r w:rsidRPr="7D8C040A">
              <w:t xml:space="preserve">International </w:t>
            </w:r>
            <w:r w:rsidR="5075E35C" w:rsidRPr="7D8C040A">
              <w:t>travel</w:t>
            </w:r>
            <w:r w:rsidRPr="7D8C040A">
              <w:t xml:space="preserve"> – </w:t>
            </w:r>
            <w:r w:rsidR="7DA66396" w:rsidRPr="7D8C040A">
              <w:t>where you are in another country (i.e. not in the UK) when booking domestic travel within this country</w:t>
            </w:r>
          </w:p>
          <w:p w14:paraId="53E2D08A" w14:textId="398EC30A" w:rsidR="7DA66396" w:rsidRDefault="7DA66396" w:rsidP="7D8C040A">
            <w:pPr>
              <w:pStyle w:val="ListParagraph"/>
              <w:numPr>
                <w:ilvl w:val="0"/>
                <w:numId w:val="35"/>
              </w:numPr>
              <w:ind w:right="159"/>
              <w:rPr>
                <w:rFonts w:eastAsiaTheme="minorEastAsia"/>
              </w:rPr>
            </w:pPr>
            <w:r w:rsidRPr="7D8C040A">
              <w:t>When booking group travel (where quotes from other travel suppliers may be sought).</w:t>
            </w:r>
          </w:p>
          <w:p w14:paraId="4E77E028" w14:textId="77777777" w:rsidR="008E2B27" w:rsidRPr="00E46DC1" w:rsidRDefault="008E2B27" w:rsidP="008E2B27">
            <w:pPr>
              <w:pStyle w:val="ListParagraph"/>
              <w:numPr>
                <w:ilvl w:val="0"/>
                <w:numId w:val="35"/>
              </w:numPr>
              <w:ind w:right="159"/>
              <w:rPr>
                <w:rFonts w:cstheme="minorHAnsi"/>
              </w:rPr>
            </w:pPr>
            <w:r w:rsidRPr="00E46DC1">
              <w:rPr>
                <w:rFonts w:cstheme="minorHAnsi"/>
              </w:rPr>
              <w:t xml:space="preserve">Library – Specific library purchases on-line. </w:t>
            </w:r>
          </w:p>
          <w:p w14:paraId="67DF34EC" w14:textId="77777777" w:rsidR="008E2B27" w:rsidRPr="00E46DC1" w:rsidRDefault="008E2B27" w:rsidP="008E2B27">
            <w:pPr>
              <w:pStyle w:val="ListParagraph"/>
              <w:numPr>
                <w:ilvl w:val="0"/>
                <w:numId w:val="35"/>
              </w:numPr>
              <w:ind w:right="159"/>
              <w:rPr>
                <w:rFonts w:cstheme="minorHAnsi"/>
              </w:rPr>
            </w:pPr>
            <w:r w:rsidRPr="00E46DC1">
              <w:rPr>
                <w:rFonts w:cstheme="minorHAnsi"/>
              </w:rPr>
              <w:t xml:space="preserve">College Administration Officers – UK Border Agency online payments. </w:t>
            </w:r>
          </w:p>
          <w:p w14:paraId="78FE2C21" w14:textId="77777777" w:rsidR="008E2B27" w:rsidRPr="00E46DC1" w:rsidRDefault="008E2B27" w:rsidP="008E2B27">
            <w:pPr>
              <w:pStyle w:val="ListParagraph"/>
              <w:numPr>
                <w:ilvl w:val="0"/>
                <w:numId w:val="35"/>
              </w:numPr>
              <w:ind w:right="159"/>
              <w:rPr>
                <w:rFonts w:cstheme="minorHAnsi"/>
              </w:rPr>
            </w:pPr>
            <w:r w:rsidRPr="00E46DC1">
              <w:rPr>
                <w:rFonts w:cstheme="minorHAnsi"/>
              </w:rPr>
              <w:t xml:space="preserve">Development and Alumni – certain approved entertainment / hospitality costs with the approval of the University </w:t>
            </w:r>
          </w:p>
          <w:p w14:paraId="49EFEB7E" w14:textId="77777777" w:rsidR="008E2B27" w:rsidRPr="00E46DC1" w:rsidRDefault="008E2B27" w:rsidP="008E2B27">
            <w:pPr>
              <w:pStyle w:val="ListParagraph"/>
              <w:numPr>
                <w:ilvl w:val="0"/>
                <w:numId w:val="35"/>
              </w:numPr>
              <w:ind w:right="159"/>
              <w:rPr>
                <w:rFonts w:cstheme="minorHAnsi"/>
              </w:rPr>
            </w:pPr>
            <w:r w:rsidRPr="00E46DC1">
              <w:rPr>
                <w:rFonts w:cstheme="minorHAnsi"/>
              </w:rPr>
              <w:t xml:space="preserve">Secretary prior to incurring any such expenditure. </w:t>
            </w:r>
          </w:p>
          <w:p w14:paraId="142A2435" w14:textId="3C661346" w:rsidR="008E2B27" w:rsidRPr="00E46DC1" w:rsidRDefault="008E2B27" w:rsidP="008E2B27">
            <w:pPr>
              <w:pStyle w:val="ListParagraph"/>
              <w:numPr>
                <w:ilvl w:val="0"/>
                <w:numId w:val="35"/>
              </w:numPr>
              <w:ind w:right="159"/>
              <w:rPr>
                <w:rFonts w:cstheme="minorHAnsi"/>
              </w:rPr>
            </w:pPr>
            <w:r w:rsidRPr="00E46DC1">
              <w:rPr>
                <w:rFonts w:cstheme="minorHAnsi"/>
              </w:rPr>
              <w:t xml:space="preserve">Accounts Payable – Urgent requests where no other method of payment at their disposal will suffice. </w:t>
            </w:r>
          </w:p>
          <w:p w14:paraId="4EB8C068" w14:textId="6E5924C9" w:rsidR="008E2B27" w:rsidRPr="00FB14BC" w:rsidRDefault="008E2B27" w:rsidP="424B4C3A">
            <w:pPr>
              <w:pStyle w:val="ListParagraph"/>
              <w:numPr>
                <w:ilvl w:val="0"/>
                <w:numId w:val="35"/>
              </w:numPr>
              <w:ind w:right="159"/>
            </w:pPr>
            <w:r w:rsidRPr="424B4C3A">
              <w:t xml:space="preserve">Internet Purchases – In making internet purchases the cardholder should exercise caution. </w:t>
            </w:r>
          </w:p>
        </w:tc>
      </w:tr>
      <w:tr w:rsidR="008E2B27" w:rsidRPr="004A6077" w14:paraId="574648EC" w14:textId="77777777" w:rsidTr="32E2D96A">
        <w:trPr>
          <w:trHeight w:val="624"/>
        </w:trPr>
        <w:tc>
          <w:tcPr>
            <w:tcW w:w="11058" w:type="dxa"/>
            <w:gridSpan w:val="6"/>
            <w:shd w:val="clear" w:color="auto" w:fill="F2F2F2" w:themeFill="background1" w:themeFillShade="F2"/>
            <w:vAlign w:val="center"/>
          </w:tcPr>
          <w:p w14:paraId="6E308AB6" w14:textId="274F64E3" w:rsidR="008E2B27" w:rsidRPr="004A6077" w:rsidRDefault="008E2B27" w:rsidP="008E2B27">
            <w:pPr>
              <w:ind w:right="159"/>
              <w:rPr>
                <w:rFonts w:cstheme="minorHAnsi"/>
                <w:b/>
              </w:rPr>
            </w:pPr>
            <w:r w:rsidRPr="004A6077">
              <w:rPr>
                <w:rFonts w:cstheme="minorHAnsi"/>
                <w:b/>
              </w:rPr>
              <w:t>Expenditure Exclusions</w:t>
            </w:r>
          </w:p>
        </w:tc>
      </w:tr>
      <w:tr w:rsidR="008E2B27" w:rsidRPr="004A6077" w14:paraId="7670AF83" w14:textId="77777777" w:rsidTr="32E2D96A">
        <w:trPr>
          <w:trHeight w:val="794"/>
        </w:trPr>
        <w:tc>
          <w:tcPr>
            <w:tcW w:w="11058" w:type="dxa"/>
            <w:gridSpan w:val="6"/>
            <w:shd w:val="clear" w:color="auto" w:fill="FFFFFF" w:themeFill="background1"/>
            <w:vAlign w:val="center"/>
          </w:tcPr>
          <w:p w14:paraId="6AB8E79D" w14:textId="77777777" w:rsidR="008E2B27" w:rsidRPr="009332C9" w:rsidRDefault="008E2B27" w:rsidP="008E2B27">
            <w:pPr>
              <w:pStyle w:val="ListParagraph"/>
              <w:numPr>
                <w:ilvl w:val="0"/>
                <w:numId w:val="36"/>
              </w:numPr>
              <w:ind w:right="159"/>
              <w:rPr>
                <w:rFonts w:cstheme="minorHAnsi"/>
              </w:rPr>
            </w:pPr>
            <w:r w:rsidRPr="009332C9">
              <w:rPr>
                <w:rFonts w:cstheme="minorHAnsi"/>
              </w:rPr>
              <w:t>Cash withdrawals</w:t>
            </w:r>
          </w:p>
          <w:p w14:paraId="5512569C" w14:textId="77777777" w:rsidR="008E2B27" w:rsidRPr="009332C9" w:rsidRDefault="008E2B27" w:rsidP="008E2B27">
            <w:pPr>
              <w:pStyle w:val="ListParagraph"/>
              <w:numPr>
                <w:ilvl w:val="0"/>
                <w:numId w:val="36"/>
              </w:numPr>
              <w:ind w:right="159"/>
              <w:rPr>
                <w:rFonts w:cstheme="minorHAnsi"/>
              </w:rPr>
            </w:pPr>
            <w:r w:rsidRPr="009332C9">
              <w:rPr>
                <w:rFonts w:cstheme="minorHAnsi"/>
              </w:rPr>
              <w:t xml:space="preserve">Cost of travel and accommodation – travel should be secured through the </w:t>
            </w:r>
            <w:hyperlink r:id="rId14" w:history="1">
              <w:r w:rsidRPr="009332C9">
                <w:rPr>
                  <w:rStyle w:val="Hyperlink"/>
                  <w:rFonts w:cstheme="minorHAnsi"/>
                </w:rPr>
                <w:t>Universities Travel Management Services</w:t>
              </w:r>
            </w:hyperlink>
            <w:r w:rsidRPr="009332C9">
              <w:rPr>
                <w:rFonts w:cstheme="minorHAnsi"/>
              </w:rPr>
              <w:t>.</w:t>
            </w:r>
          </w:p>
          <w:p w14:paraId="5B80C775" w14:textId="463CC867" w:rsidR="008E2B27" w:rsidRPr="009332C9" w:rsidRDefault="008E2B27" w:rsidP="008E2B27">
            <w:pPr>
              <w:pStyle w:val="ListParagraph"/>
              <w:numPr>
                <w:ilvl w:val="0"/>
                <w:numId w:val="36"/>
              </w:numPr>
              <w:ind w:right="159"/>
              <w:rPr>
                <w:rFonts w:cstheme="minorHAnsi"/>
              </w:rPr>
            </w:pPr>
            <w:r w:rsidRPr="009332C9">
              <w:rPr>
                <w:rFonts w:cstheme="minorHAnsi"/>
              </w:rPr>
              <w:t>Cost of good</w:t>
            </w:r>
            <w:r w:rsidR="00A74813">
              <w:rPr>
                <w:rFonts w:cstheme="minorHAnsi"/>
              </w:rPr>
              <w:t>s</w:t>
            </w:r>
            <w:r w:rsidRPr="009332C9">
              <w:rPr>
                <w:rFonts w:cstheme="minorHAnsi"/>
              </w:rPr>
              <w:t xml:space="preserve"> and services – </w:t>
            </w:r>
            <w:r w:rsidRPr="009332C9">
              <w:rPr>
                <w:rStyle w:val="normaltextrun"/>
                <w:rFonts w:ascii="Calibri" w:hAnsi="Calibri" w:cs="Calibri"/>
                <w:color w:val="000000"/>
                <w:shd w:val="clear" w:color="auto" w:fill="FFFFFF"/>
              </w:rPr>
              <w:t>must be incurred through University procurement routes</w:t>
            </w:r>
          </w:p>
        </w:tc>
      </w:tr>
      <w:tr w:rsidR="008E2B27" w:rsidRPr="004A6077" w14:paraId="20222EC3" w14:textId="77777777" w:rsidTr="32E2D96A">
        <w:trPr>
          <w:trHeight w:val="624"/>
        </w:trPr>
        <w:tc>
          <w:tcPr>
            <w:tcW w:w="11058" w:type="dxa"/>
            <w:gridSpan w:val="6"/>
            <w:shd w:val="clear" w:color="auto" w:fill="F2F2F2" w:themeFill="background1" w:themeFillShade="F2"/>
            <w:vAlign w:val="center"/>
          </w:tcPr>
          <w:p w14:paraId="110C4E3D" w14:textId="418CC1C8" w:rsidR="008E2B27" w:rsidRPr="004A6077" w:rsidRDefault="008E2B27" w:rsidP="008E2B27">
            <w:pPr>
              <w:ind w:right="159"/>
              <w:rPr>
                <w:rFonts w:cstheme="minorHAnsi"/>
                <w:b/>
              </w:rPr>
            </w:pPr>
            <w:r>
              <w:br w:type="page"/>
            </w:r>
            <w:r w:rsidRPr="004A6077">
              <w:rPr>
                <w:rFonts w:cstheme="minorHAnsi"/>
                <w:b/>
              </w:rPr>
              <w:t>Expenditure limits</w:t>
            </w:r>
          </w:p>
        </w:tc>
      </w:tr>
      <w:tr w:rsidR="008E2B27" w:rsidRPr="004A6077" w14:paraId="20D3506E" w14:textId="77777777" w:rsidTr="32E2D96A">
        <w:trPr>
          <w:trHeight w:val="794"/>
        </w:trPr>
        <w:tc>
          <w:tcPr>
            <w:tcW w:w="11058" w:type="dxa"/>
            <w:gridSpan w:val="6"/>
            <w:shd w:val="clear" w:color="auto" w:fill="auto"/>
            <w:vAlign w:val="center"/>
          </w:tcPr>
          <w:p w14:paraId="15E4BCDB" w14:textId="77777777" w:rsidR="008E2B27" w:rsidRPr="00971EAD" w:rsidRDefault="008E2B27" w:rsidP="008E2B27">
            <w:r w:rsidRPr="00971EAD">
              <w:t>The level of credit card expenditure is determined by the business case and planned monthly expenditure.</w:t>
            </w:r>
          </w:p>
          <w:p w14:paraId="032DCA4B" w14:textId="77777777" w:rsidR="008E2B27" w:rsidRPr="00971EAD" w:rsidRDefault="008E2B27" w:rsidP="008E2B27"/>
          <w:p w14:paraId="0A09461C" w14:textId="52F0FA9C" w:rsidR="008E2B27" w:rsidRPr="00525AFD" w:rsidRDefault="008E2B27" w:rsidP="008E2B27">
            <w:r>
              <w:t xml:space="preserve">If there is a need to temporarily increase the card limit, please contact the Finance Operations Service Assurance team by emailing </w:t>
            </w:r>
            <w:hyperlink r:id="rId15">
              <w:r w:rsidRPr="2003EC09">
                <w:rPr>
                  <w:rStyle w:val="Hyperlink"/>
                </w:rPr>
                <w:t>Finance.Helpline@ed.ac.uk</w:t>
              </w:r>
            </w:hyperlink>
          </w:p>
        </w:tc>
      </w:tr>
      <w:tr w:rsidR="008E2B27" w:rsidRPr="004A6077" w14:paraId="6F41D3B5" w14:textId="77777777" w:rsidTr="32E2D96A">
        <w:trPr>
          <w:trHeight w:val="624"/>
        </w:trPr>
        <w:tc>
          <w:tcPr>
            <w:tcW w:w="11058" w:type="dxa"/>
            <w:gridSpan w:val="6"/>
            <w:shd w:val="clear" w:color="auto" w:fill="F2F2F2" w:themeFill="background1" w:themeFillShade="F2"/>
            <w:vAlign w:val="center"/>
          </w:tcPr>
          <w:p w14:paraId="4BDCC36C" w14:textId="0BF906BF" w:rsidR="008E2B27" w:rsidRPr="004A6077" w:rsidRDefault="008E2B27" w:rsidP="008E2B27">
            <w:pPr>
              <w:ind w:right="159"/>
              <w:rPr>
                <w:rFonts w:cstheme="minorHAnsi"/>
                <w:b/>
              </w:rPr>
            </w:pPr>
            <w:r w:rsidRPr="004A6077">
              <w:rPr>
                <w:rFonts w:cstheme="minorHAnsi"/>
                <w:b/>
              </w:rPr>
              <w:t>Card Security</w:t>
            </w:r>
          </w:p>
        </w:tc>
      </w:tr>
      <w:tr w:rsidR="008E2B27" w:rsidRPr="004A6077" w14:paraId="1608355D" w14:textId="77777777" w:rsidTr="32E2D96A">
        <w:trPr>
          <w:trHeight w:val="794"/>
        </w:trPr>
        <w:tc>
          <w:tcPr>
            <w:tcW w:w="11058" w:type="dxa"/>
            <w:gridSpan w:val="6"/>
            <w:shd w:val="clear" w:color="auto" w:fill="FFFFFF" w:themeFill="background1"/>
            <w:vAlign w:val="center"/>
          </w:tcPr>
          <w:p w14:paraId="100A6B8A" w14:textId="77777777" w:rsidR="008E2B27" w:rsidRPr="00E800B1" w:rsidRDefault="008E2B27" w:rsidP="008E2B27">
            <w:r w:rsidRPr="00E800B1">
              <w:t xml:space="preserve">The card is issued to a named individual, and this person is responsible for the safe keeping and appropriate use of the card. </w:t>
            </w:r>
          </w:p>
          <w:p w14:paraId="7ACC3451" w14:textId="77777777" w:rsidR="008E2B27" w:rsidRPr="00E800B1" w:rsidRDefault="008E2B27" w:rsidP="008E2B27"/>
          <w:p w14:paraId="272E9D71" w14:textId="6F6EEC8A" w:rsidR="008E2B27" w:rsidRDefault="00FB14BC" w:rsidP="008E2B27">
            <w:r>
              <w:t>Any PIN that has been issued with the card must not be disclosed or carried with the card.</w:t>
            </w:r>
          </w:p>
          <w:p w14:paraId="729D37D9" w14:textId="77777777" w:rsidR="00FB14BC" w:rsidRPr="00E800B1" w:rsidRDefault="00FB14BC" w:rsidP="008E2B27"/>
          <w:p w14:paraId="425ABD23" w14:textId="77777777" w:rsidR="008E2B27" w:rsidRPr="00E800B1" w:rsidRDefault="008E2B27" w:rsidP="008E2B27">
            <w:r w:rsidRPr="00E800B1">
              <w:t xml:space="preserve">The card must be signed immediately upon receipt by the cardholder. The card should be kept in a secure place at all times. When the holder of a purchasing card is away from the office, a duly delegated employee may use it to make purchases. The cardholder shall ensure that the delegated employee is fully aware of their responsibilities, and with the provisions of this policy.  However the cardholder remains responsible for the card and it is their duty to complete the card log each month. </w:t>
            </w:r>
          </w:p>
          <w:p w14:paraId="2E16AD53" w14:textId="77777777" w:rsidR="008E2B27" w:rsidRPr="00E800B1" w:rsidRDefault="008E2B27" w:rsidP="008E2B27"/>
          <w:p w14:paraId="3704192D" w14:textId="77777777" w:rsidR="008E2B27" w:rsidRPr="00E800B1" w:rsidRDefault="008E2B27" w:rsidP="008E2B27">
            <w:r w:rsidRPr="00E800B1">
              <w:t>While the card is embossed with the individual name of the cardholder, the account is in the name of the University. The cardholder is responsible for compliance with the provisions of this policy, but there is no impact on the personal credit status of the cardholder.</w:t>
            </w:r>
          </w:p>
          <w:p w14:paraId="7E6AD6B1" w14:textId="7FA9DE8A" w:rsidR="00525AFD" w:rsidRPr="00E800B1" w:rsidRDefault="00525AFD" w:rsidP="008E2B27"/>
          <w:p w14:paraId="39635CA1" w14:textId="77777777" w:rsidR="008E2B27" w:rsidRPr="00E800B1" w:rsidRDefault="008E2B27" w:rsidP="008E2B27">
            <w:pPr>
              <w:rPr>
                <w:b/>
              </w:rPr>
            </w:pPr>
            <w:r w:rsidRPr="00E800B1">
              <w:rPr>
                <w:b/>
              </w:rPr>
              <w:t>Lost or stolen cards</w:t>
            </w:r>
          </w:p>
          <w:p w14:paraId="502E29D8" w14:textId="637518C1" w:rsidR="008E2B27" w:rsidRPr="004035A5" w:rsidRDefault="008E2B27" w:rsidP="008E2B27">
            <w:r w:rsidRPr="00E800B1">
              <w:t xml:space="preserve">If a card is lost or stolen, the card holder must advise </w:t>
            </w:r>
            <w:r>
              <w:t xml:space="preserve">RBS </w:t>
            </w:r>
            <w:r w:rsidRPr="00E800B1">
              <w:t xml:space="preserve">immediately.  Having notified </w:t>
            </w:r>
            <w:r>
              <w:t>RBS</w:t>
            </w:r>
            <w:r w:rsidRPr="00E800B1">
              <w:t xml:space="preserve">, the card holder must then advise the </w:t>
            </w:r>
            <w:r>
              <w:t xml:space="preserve">Finance Operations Service Assurance Team by emailing </w:t>
            </w:r>
            <w:hyperlink r:id="rId16" w:history="1">
              <w:r w:rsidRPr="00263347">
                <w:rPr>
                  <w:rStyle w:val="Hyperlink"/>
                </w:rPr>
                <w:t>Finance.Helpline@ed.ac.uk</w:t>
              </w:r>
            </w:hyperlink>
          </w:p>
        </w:tc>
      </w:tr>
      <w:tr w:rsidR="008E2B27" w:rsidRPr="004A6077" w14:paraId="57AB75DE" w14:textId="77777777" w:rsidTr="32E2D96A">
        <w:trPr>
          <w:trHeight w:val="624"/>
        </w:trPr>
        <w:tc>
          <w:tcPr>
            <w:tcW w:w="11058" w:type="dxa"/>
            <w:gridSpan w:val="6"/>
            <w:shd w:val="clear" w:color="auto" w:fill="F2F2F2" w:themeFill="background1" w:themeFillShade="F2"/>
            <w:vAlign w:val="center"/>
          </w:tcPr>
          <w:p w14:paraId="168DC42B" w14:textId="2E407BEB" w:rsidR="008E2B27" w:rsidRPr="004A6077" w:rsidRDefault="008E2B27" w:rsidP="008E2B27">
            <w:pPr>
              <w:ind w:right="159"/>
              <w:rPr>
                <w:rFonts w:cstheme="minorHAnsi"/>
                <w:b/>
              </w:rPr>
            </w:pPr>
            <w:r w:rsidRPr="004A6077">
              <w:rPr>
                <w:rFonts w:cstheme="minorHAnsi"/>
                <w:b/>
              </w:rPr>
              <w:lastRenderedPageBreak/>
              <w:t>Corporate Credit Card Audit</w:t>
            </w:r>
          </w:p>
        </w:tc>
      </w:tr>
      <w:tr w:rsidR="008E2B27" w:rsidRPr="004A6077" w14:paraId="2DEE14B5" w14:textId="77777777" w:rsidTr="32E2D96A">
        <w:trPr>
          <w:trHeight w:val="794"/>
        </w:trPr>
        <w:tc>
          <w:tcPr>
            <w:tcW w:w="11058" w:type="dxa"/>
            <w:gridSpan w:val="6"/>
            <w:shd w:val="clear" w:color="auto" w:fill="auto"/>
            <w:vAlign w:val="center"/>
          </w:tcPr>
          <w:p w14:paraId="550D65A5" w14:textId="77777777" w:rsidR="008E2B27" w:rsidRDefault="008E2B27" w:rsidP="008E2B27">
            <w:pPr>
              <w:rPr>
                <w:rFonts w:cstheme="minorHAnsi"/>
                <w:bCs/>
              </w:rPr>
            </w:pPr>
            <w:r w:rsidRPr="00AE0A70">
              <w:rPr>
                <w:rFonts w:cstheme="minorHAnsi"/>
                <w:bCs/>
              </w:rPr>
              <w:t xml:space="preserve">A clear audit trail </w:t>
            </w:r>
            <w:r>
              <w:rPr>
                <w:rFonts w:cstheme="minorHAnsi"/>
                <w:bCs/>
              </w:rPr>
              <w:t xml:space="preserve">must </w:t>
            </w:r>
            <w:r w:rsidRPr="00AE0A70">
              <w:rPr>
                <w:rFonts w:cstheme="minorHAnsi"/>
                <w:bCs/>
              </w:rPr>
              <w:t>exist for every card transaction</w:t>
            </w:r>
          </w:p>
          <w:p w14:paraId="592755A4" w14:textId="77777777" w:rsidR="008E2B27" w:rsidRDefault="008E2B27" w:rsidP="008E2B27">
            <w:pPr>
              <w:rPr>
                <w:rFonts w:cstheme="minorHAnsi"/>
                <w:bCs/>
              </w:rPr>
            </w:pPr>
          </w:p>
          <w:p w14:paraId="263FFAE8" w14:textId="168A6FA9" w:rsidR="008E2B27" w:rsidRPr="00AE0A70" w:rsidRDefault="008E2B27" w:rsidP="008E2B27">
            <w:r>
              <w:t xml:space="preserve">Finance Operations Service Assurance and </w:t>
            </w:r>
            <w:r w:rsidRPr="2003EC09">
              <w:t>Internal Audit will periodically review card expenditure. Internal  audit  representatives  have  right  of  access  to  any  documentation  and  to  seek  explanations  at  any reasonable time.</w:t>
            </w:r>
          </w:p>
        </w:tc>
      </w:tr>
      <w:tr w:rsidR="008E2B27" w:rsidRPr="004A6077" w14:paraId="1AF12D03" w14:textId="77777777" w:rsidTr="32E2D96A">
        <w:trPr>
          <w:trHeight w:val="624"/>
        </w:trPr>
        <w:tc>
          <w:tcPr>
            <w:tcW w:w="11058" w:type="dxa"/>
            <w:gridSpan w:val="6"/>
            <w:shd w:val="clear" w:color="auto" w:fill="F2F2F2" w:themeFill="background1" w:themeFillShade="F2"/>
            <w:vAlign w:val="center"/>
          </w:tcPr>
          <w:p w14:paraId="29902BE8" w14:textId="2E39C7B2" w:rsidR="008E2B27" w:rsidRPr="004A6077" w:rsidRDefault="00CC4DD2" w:rsidP="008E2B27">
            <w:pPr>
              <w:rPr>
                <w:rFonts w:cstheme="minorHAnsi"/>
                <w:b/>
                <w:bCs/>
              </w:rPr>
            </w:pPr>
            <w:r>
              <w:rPr>
                <w:rFonts w:cstheme="minorHAnsi"/>
                <w:b/>
              </w:rPr>
              <w:t>G</w:t>
            </w:r>
            <w:r w:rsidR="00F30A98">
              <w:rPr>
                <w:rFonts w:cstheme="minorHAnsi"/>
                <w:b/>
              </w:rPr>
              <w:t>uidance</w:t>
            </w:r>
          </w:p>
        </w:tc>
      </w:tr>
      <w:tr w:rsidR="00F30A98" w:rsidRPr="004A6077" w14:paraId="2179057C" w14:textId="5AE5A273" w:rsidTr="32E2D96A">
        <w:trPr>
          <w:trHeight w:val="397"/>
        </w:trPr>
        <w:tc>
          <w:tcPr>
            <w:tcW w:w="5529" w:type="dxa"/>
            <w:gridSpan w:val="4"/>
            <w:shd w:val="clear" w:color="auto" w:fill="auto"/>
            <w:vAlign w:val="center"/>
          </w:tcPr>
          <w:p w14:paraId="7D402930" w14:textId="6EEB0CCA" w:rsidR="00F30A98" w:rsidRPr="00F30A98" w:rsidRDefault="00F30A98" w:rsidP="008E2B27">
            <w:pPr>
              <w:rPr>
                <w:rFonts w:cstheme="minorHAnsi"/>
              </w:rPr>
            </w:pPr>
            <w:r w:rsidRPr="00F30A98">
              <w:rPr>
                <w:rFonts w:cstheme="minorHAnsi"/>
              </w:rPr>
              <w:t>How to apply for a corporate credit card</w:t>
            </w:r>
          </w:p>
        </w:tc>
        <w:tc>
          <w:tcPr>
            <w:tcW w:w="5529" w:type="dxa"/>
            <w:gridSpan w:val="2"/>
            <w:vMerge w:val="restart"/>
            <w:shd w:val="clear" w:color="auto" w:fill="auto"/>
            <w:vAlign w:val="center"/>
          </w:tcPr>
          <w:p w14:paraId="73E4359E" w14:textId="7FBB3FBF" w:rsidR="00F30A98" w:rsidRDefault="00F30A98" w:rsidP="008E2B27">
            <w:pPr>
              <w:rPr>
                <w:rFonts w:cstheme="minorHAnsi"/>
                <w:b/>
              </w:rPr>
            </w:pPr>
            <w:r>
              <w:rPr>
                <w:rFonts w:cstheme="minorHAnsi"/>
              </w:rPr>
              <w:t>P</w:t>
            </w:r>
            <w:r w:rsidRPr="00CC4DD2">
              <w:rPr>
                <w:rFonts w:cstheme="minorHAnsi"/>
              </w:rPr>
              <w:t xml:space="preserve">lease follow the </w:t>
            </w:r>
            <w:r>
              <w:rPr>
                <w:rFonts w:cstheme="minorHAnsi"/>
              </w:rPr>
              <w:t xml:space="preserve">detailed </w:t>
            </w:r>
            <w:r w:rsidRPr="00CC4DD2">
              <w:rPr>
                <w:rFonts w:cstheme="minorHAnsi"/>
              </w:rPr>
              <w:t xml:space="preserve">instructions in the </w:t>
            </w:r>
            <w:hyperlink r:id="rId17" w:history="1">
              <w:r w:rsidRPr="00F30A98">
                <w:rPr>
                  <w:rStyle w:val="Hyperlink"/>
                  <w:rFonts w:cstheme="minorHAnsi"/>
                </w:rPr>
                <w:t>Corporate Credit Card Application and Card Maintenance Procedure Guide.</w:t>
              </w:r>
            </w:hyperlink>
          </w:p>
          <w:p w14:paraId="36960ECA" w14:textId="7372017E" w:rsidR="00F30A98" w:rsidRDefault="00F30A98" w:rsidP="008E2B27">
            <w:pPr>
              <w:rPr>
                <w:rFonts w:cstheme="minorHAnsi"/>
                <w:b/>
              </w:rPr>
            </w:pPr>
          </w:p>
        </w:tc>
      </w:tr>
      <w:tr w:rsidR="00F30A98" w:rsidRPr="004A6077" w14:paraId="53B12D54" w14:textId="77777777" w:rsidTr="32E2D96A">
        <w:trPr>
          <w:trHeight w:val="397"/>
        </w:trPr>
        <w:tc>
          <w:tcPr>
            <w:tcW w:w="5529" w:type="dxa"/>
            <w:gridSpan w:val="4"/>
            <w:shd w:val="clear" w:color="auto" w:fill="auto"/>
            <w:vAlign w:val="center"/>
          </w:tcPr>
          <w:p w14:paraId="195D0BD1" w14:textId="33A154B2" w:rsidR="00F30A98" w:rsidRPr="00F30A98" w:rsidRDefault="00F30A98" w:rsidP="008E2B27">
            <w:pPr>
              <w:rPr>
                <w:rFonts w:cstheme="minorHAnsi"/>
              </w:rPr>
            </w:pPr>
            <w:r w:rsidRPr="00F30A98">
              <w:rPr>
                <w:rFonts w:cstheme="minorHAnsi"/>
              </w:rPr>
              <w:t>How to maintain an existing card</w:t>
            </w:r>
          </w:p>
        </w:tc>
        <w:tc>
          <w:tcPr>
            <w:tcW w:w="5529" w:type="dxa"/>
            <w:gridSpan w:val="2"/>
            <w:vMerge/>
            <w:vAlign w:val="center"/>
          </w:tcPr>
          <w:p w14:paraId="219B08E6" w14:textId="1BF510ED" w:rsidR="00F30A98" w:rsidRDefault="00F30A98" w:rsidP="008E2B27">
            <w:pPr>
              <w:rPr>
                <w:rFonts w:cstheme="minorHAnsi"/>
                <w:b/>
              </w:rPr>
            </w:pPr>
          </w:p>
        </w:tc>
      </w:tr>
      <w:tr w:rsidR="00F30A98" w:rsidRPr="004A6077" w14:paraId="780B29DC" w14:textId="77777777" w:rsidTr="32E2D96A">
        <w:trPr>
          <w:trHeight w:val="397"/>
        </w:trPr>
        <w:tc>
          <w:tcPr>
            <w:tcW w:w="5529" w:type="dxa"/>
            <w:gridSpan w:val="4"/>
            <w:shd w:val="clear" w:color="auto" w:fill="auto"/>
            <w:vAlign w:val="center"/>
          </w:tcPr>
          <w:p w14:paraId="05FB5E7A" w14:textId="612EB328" w:rsidR="00F30A98" w:rsidRPr="00F30A98" w:rsidRDefault="00F30A98" w:rsidP="00F30A98">
            <w:pPr>
              <w:rPr>
                <w:rFonts w:cstheme="minorHAnsi"/>
              </w:rPr>
            </w:pPr>
            <w:r w:rsidRPr="00F30A98">
              <w:rPr>
                <w:rFonts w:cstheme="minorHAnsi"/>
              </w:rPr>
              <w:t>Statements and reconciliation process</w:t>
            </w:r>
          </w:p>
        </w:tc>
        <w:tc>
          <w:tcPr>
            <w:tcW w:w="5529" w:type="dxa"/>
            <w:gridSpan w:val="2"/>
            <w:vMerge/>
            <w:vAlign w:val="center"/>
          </w:tcPr>
          <w:p w14:paraId="176425CF" w14:textId="10227453" w:rsidR="00F30A98" w:rsidRDefault="00F30A98" w:rsidP="008E2B27">
            <w:pPr>
              <w:rPr>
                <w:rFonts w:cstheme="minorHAnsi"/>
                <w:b/>
              </w:rPr>
            </w:pPr>
          </w:p>
        </w:tc>
      </w:tr>
      <w:tr w:rsidR="6E54B206" w:rsidRPr="004A6077" w14:paraId="2F7C7EB3" w14:textId="77777777" w:rsidTr="32E2D96A">
        <w:trPr>
          <w:trHeight w:val="624"/>
        </w:trPr>
        <w:tc>
          <w:tcPr>
            <w:tcW w:w="11058" w:type="dxa"/>
            <w:gridSpan w:val="6"/>
            <w:shd w:val="clear" w:color="auto" w:fill="F2F2F2" w:themeFill="background1" w:themeFillShade="F2"/>
            <w:vAlign w:val="center"/>
          </w:tcPr>
          <w:p w14:paraId="7A86F068" w14:textId="1A83C36F" w:rsidR="6E54B206" w:rsidRPr="004A6077" w:rsidRDefault="00DE35AA" w:rsidP="004A6077">
            <w:pPr>
              <w:rPr>
                <w:rFonts w:cstheme="minorHAnsi"/>
                <w:b/>
                <w:bCs/>
              </w:rPr>
            </w:pPr>
            <w:r w:rsidRPr="004A6077">
              <w:rPr>
                <w:rFonts w:cstheme="minorHAnsi"/>
                <w:b/>
                <w:bCs/>
              </w:rPr>
              <w:t>Further Information/Queries</w:t>
            </w:r>
          </w:p>
        </w:tc>
      </w:tr>
      <w:tr w:rsidR="002D3F95" w:rsidRPr="004A6077" w14:paraId="5DCE294C" w14:textId="77777777" w:rsidTr="32E2D96A">
        <w:trPr>
          <w:trHeight w:val="794"/>
        </w:trPr>
        <w:tc>
          <w:tcPr>
            <w:tcW w:w="11058" w:type="dxa"/>
            <w:gridSpan w:val="6"/>
            <w:shd w:val="clear" w:color="auto" w:fill="FFFFFF" w:themeFill="background1"/>
            <w:vAlign w:val="center"/>
          </w:tcPr>
          <w:p w14:paraId="360195DE" w14:textId="269DA5A9" w:rsidR="002D3F95" w:rsidRPr="004A6077" w:rsidRDefault="42E367F6" w:rsidP="32E2D96A">
            <w:pPr>
              <w:ind w:right="159"/>
              <w:rPr>
                <w:rFonts w:eastAsiaTheme="minorEastAsia"/>
              </w:rPr>
            </w:pPr>
            <w:r w:rsidRPr="32E2D96A">
              <w:rPr>
                <w:rFonts w:eastAsiaTheme="minorEastAsia"/>
              </w:rPr>
              <w:t>Any queries regarding the Corporate Credit Card policy should be direct</w:t>
            </w:r>
            <w:r w:rsidR="314D7525" w:rsidRPr="32E2D96A">
              <w:rPr>
                <w:rFonts w:eastAsiaTheme="minorEastAsia"/>
              </w:rPr>
              <w:t>ed</w:t>
            </w:r>
            <w:r w:rsidRPr="32E2D96A">
              <w:rPr>
                <w:rFonts w:eastAsiaTheme="minorEastAsia"/>
              </w:rPr>
              <w:t xml:space="preserve"> to the </w:t>
            </w:r>
            <w:r w:rsidR="1140EAA2" w:rsidRPr="32E2D96A">
              <w:rPr>
                <w:rFonts w:eastAsiaTheme="minorEastAsia"/>
              </w:rPr>
              <w:t xml:space="preserve">Finance Operations </w:t>
            </w:r>
            <w:r w:rsidRPr="32E2D96A">
              <w:rPr>
                <w:rFonts w:eastAsiaTheme="minorEastAsia"/>
              </w:rPr>
              <w:t>Service Assu</w:t>
            </w:r>
            <w:r w:rsidR="7F0FEFC8" w:rsidRPr="32E2D96A">
              <w:rPr>
                <w:rFonts w:eastAsiaTheme="minorEastAsia"/>
              </w:rPr>
              <w:t>rance Team by emailing</w:t>
            </w:r>
            <w:r w:rsidR="7F0FEFC8" w:rsidRPr="32E2D96A">
              <w:rPr>
                <w:rFonts w:eastAsiaTheme="minorEastAsia"/>
                <w:u w:val="single"/>
              </w:rPr>
              <w:t xml:space="preserve"> </w:t>
            </w:r>
            <w:hyperlink r:id="rId18">
              <w:r w:rsidR="7F0FEFC8" w:rsidRPr="32E2D96A">
                <w:rPr>
                  <w:rStyle w:val="Hyperlink"/>
                  <w:rFonts w:eastAsiaTheme="minorEastAsia"/>
                </w:rPr>
                <w:t>finance.helpline@ed.ac.uk</w:t>
              </w:r>
            </w:hyperlink>
          </w:p>
          <w:p w14:paraId="621F8117" w14:textId="6EF6D82C" w:rsidR="002D3F95" w:rsidRPr="004A6077" w:rsidRDefault="002D3F95" w:rsidP="32E2D96A">
            <w:pPr>
              <w:ind w:right="159"/>
              <w:rPr>
                <w:rFonts w:eastAsiaTheme="minorEastAsia"/>
              </w:rPr>
            </w:pPr>
          </w:p>
          <w:p w14:paraId="1CF428CE" w14:textId="5BCC86BE" w:rsidR="002D3F95" w:rsidRPr="004A6077" w:rsidRDefault="50E45A92" w:rsidP="32E2D96A">
            <w:pPr>
              <w:ind w:right="159"/>
              <w:rPr>
                <w:rFonts w:eastAsiaTheme="minorEastAsia"/>
                <w:color w:val="242424"/>
              </w:rPr>
            </w:pPr>
            <w:r w:rsidRPr="32E2D96A">
              <w:rPr>
                <w:rFonts w:eastAsiaTheme="minorEastAsia"/>
                <w:color w:val="242424"/>
                <w:lang w:val="en-US"/>
              </w:rPr>
              <w:t xml:space="preserve">If you require this document in an alternative format please contact </w:t>
            </w:r>
            <w:hyperlink r:id="rId19">
              <w:r w:rsidRPr="32E2D96A">
                <w:rPr>
                  <w:rStyle w:val="Hyperlink"/>
                  <w:rFonts w:eastAsiaTheme="minorEastAsia"/>
                </w:rPr>
                <w:t>Finance.helpline@ed.ac.uk</w:t>
              </w:r>
            </w:hyperlink>
          </w:p>
        </w:tc>
      </w:tr>
      <w:tr w:rsidR="00564B0E" w:rsidRPr="004A6077" w14:paraId="6764420E" w14:textId="77777777" w:rsidTr="32E2D96A">
        <w:trPr>
          <w:trHeight w:val="624"/>
        </w:trPr>
        <w:tc>
          <w:tcPr>
            <w:tcW w:w="11058" w:type="dxa"/>
            <w:gridSpan w:val="6"/>
            <w:shd w:val="clear" w:color="auto" w:fill="F2F2F2" w:themeFill="background1" w:themeFillShade="F2"/>
            <w:vAlign w:val="center"/>
          </w:tcPr>
          <w:p w14:paraId="63950817" w14:textId="76F5124D" w:rsidR="00564B0E" w:rsidRPr="004A6077" w:rsidRDefault="00564B0E" w:rsidP="004A6077">
            <w:pPr>
              <w:ind w:right="159"/>
              <w:rPr>
                <w:rFonts w:cstheme="minorHAnsi"/>
                <w:b/>
              </w:rPr>
            </w:pPr>
            <w:r w:rsidRPr="004A6077">
              <w:rPr>
                <w:rFonts w:cstheme="minorHAnsi"/>
                <w:b/>
              </w:rPr>
              <w:t>Useful links</w:t>
            </w:r>
          </w:p>
        </w:tc>
      </w:tr>
      <w:tr w:rsidR="00564B0E" w:rsidRPr="004A6077" w14:paraId="295758FD" w14:textId="77777777" w:rsidTr="32E2D96A">
        <w:trPr>
          <w:trHeight w:val="794"/>
        </w:trPr>
        <w:tc>
          <w:tcPr>
            <w:tcW w:w="11058" w:type="dxa"/>
            <w:gridSpan w:val="6"/>
            <w:shd w:val="clear" w:color="auto" w:fill="FFFFFF" w:themeFill="background1"/>
            <w:vAlign w:val="center"/>
          </w:tcPr>
          <w:p w14:paraId="2CDD0B9D" w14:textId="37638C8A" w:rsidR="00564B0E" w:rsidRPr="004A6077" w:rsidRDefault="00C5696B" w:rsidP="004A6077">
            <w:pPr>
              <w:ind w:right="159"/>
              <w:rPr>
                <w:rFonts w:cstheme="minorHAnsi"/>
              </w:rPr>
            </w:pPr>
            <w:hyperlink r:id="rId20" w:history="1">
              <w:r w:rsidR="00564B0E" w:rsidRPr="00AE0A70">
                <w:rPr>
                  <w:rStyle w:val="Hyperlink"/>
                  <w:rFonts w:cstheme="minorHAnsi"/>
                </w:rPr>
                <w:t>Sustainable Travel Policy</w:t>
              </w:r>
            </w:hyperlink>
          </w:p>
          <w:p w14:paraId="5DC9C4A4" w14:textId="6B79A9AE" w:rsidR="00564B0E" w:rsidRPr="004A6077" w:rsidRDefault="00C5696B" w:rsidP="004A6077">
            <w:pPr>
              <w:ind w:right="159"/>
              <w:rPr>
                <w:rFonts w:cstheme="minorHAnsi"/>
              </w:rPr>
            </w:pPr>
            <w:hyperlink r:id="rId21" w:history="1">
              <w:r w:rsidR="00564B0E" w:rsidRPr="00AE0A70">
                <w:rPr>
                  <w:rStyle w:val="Hyperlink"/>
                  <w:rFonts w:cstheme="minorHAnsi"/>
                </w:rPr>
                <w:t>Expenses Policy</w:t>
              </w:r>
            </w:hyperlink>
            <w:r w:rsidR="00AE0A70">
              <w:rPr>
                <w:rFonts w:cstheme="minorHAnsi"/>
              </w:rPr>
              <w:t xml:space="preserve"> </w:t>
            </w:r>
          </w:p>
          <w:p w14:paraId="0D4C26E3" w14:textId="09B4D926" w:rsidR="00564B0E" w:rsidRDefault="00C5696B" w:rsidP="004A6077">
            <w:pPr>
              <w:ind w:right="159"/>
              <w:rPr>
                <w:rStyle w:val="Hyperlink"/>
                <w:rFonts w:cstheme="minorHAnsi"/>
              </w:rPr>
            </w:pPr>
            <w:hyperlink r:id="rId22" w:history="1">
              <w:r w:rsidR="00564B0E" w:rsidRPr="00AE0A70">
                <w:rPr>
                  <w:rStyle w:val="Hyperlink"/>
                  <w:rFonts w:cstheme="minorHAnsi"/>
                </w:rPr>
                <w:t>T</w:t>
              </w:r>
              <w:r w:rsidR="00AE0A70" w:rsidRPr="00AE0A70">
                <w:rPr>
                  <w:rStyle w:val="Hyperlink"/>
                  <w:rFonts w:cstheme="minorHAnsi"/>
                </w:rPr>
                <w:t>ravel Management Services</w:t>
              </w:r>
            </w:hyperlink>
          </w:p>
          <w:p w14:paraId="79FB3961" w14:textId="15987EA3" w:rsidR="00D533EA" w:rsidRDefault="00C5696B" w:rsidP="004A6077">
            <w:pPr>
              <w:ind w:right="159"/>
              <w:rPr>
                <w:rStyle w:val="Hyperlink"/>
                <w:rFonts w:cstheme="minorHAnsi"/>
              </w:rPr>
            </w:pPr>
            <w:hyperlink r:id="rId23" w:history="1">
              <w:r w:rsidR="00D533EA">
                <w:rPr>
                  <w:rStyle w:val="Hyperlink"/>
                </w:rPr>
                <w:t>Security | Royal Bank of Scotland (rbs.co.uk)</w:t>
              </w:r>
            </w:hyperlink>
          </w:p>
          <w:p w14:paraId="739EACC8" w14:textId="366DEF25" w:rsidR="00564B0E" w:rsidRPr="004A6077" w:rsidRDefault="0033545D" w:rsidP="00D13710">
            <w:pPr>
              <w:ind w:right="159"/>
              <w:rPr>
                <w:rFonts w:cstheme="minorHAnsi"/>
              </w:rPr>
            </w:pPr>
            <w:hyperlink r:id="rId24" w:history="1">
              <w:r w:rsidR="00D13710" w:rsidRPr="0033545D">
                <w:rPr>
                  <w:rStyle w:val="Hyperlink"/>
                  <w:rFonts w:cstheme="minorHAnsi"/>
                </w:rPr>
                <w:t>C</w:t>
              </w:r>
              <w:r w:rsidR="00564B0E" w:rsidRPr="0033545D">
                <w:rPr>
                  <w:rStyle w:val="Hyperlink"/>
                  <w:rFonts w:cstheme="minorHAnsi"/>
                </w:rPr>
                <w:t>orporate Credit Card Application and Maintenance Procedure</w:t>
              </w:r>
            </w:hyperlink>
            <w:bookmarkStart w:id="0" w:name="_GoBack"/>
            <w:bookmarkEnd w:id="0"/>
          </w:p>
        </w:tc>
      </w:tr>
      <w:tr w:rsidR="002B5917" w14:paraId="329E698B" w14:textId="77777777" w:rsidTr="49251235">
        <w:trPr>
          <w:trHeight w:val="624"/>
        </w:trPr>
        <w:tc>
          <w:tcPr>
            <w:tcW w:w="11058" w:type="dxa"/>
            <w:gridSpan w:val="6"/>
            <w:shd w:val="clear" w:color="auto" w:fill="D9D9D9" w:themeFill="background1" w:themeFillShade="D9"/>
            <w:vAlign w:val="center"/>
          </w:tcPr>
          <w:p w14:paraId="5DC390FF" w14:textId="569AD7CF" w:rsidR="002B5917" w:rsidRPr="003E0EFF" w:rsidRDefault="009332C9" w:rsidP="009332C9">
            <w:pPr>
              <w:tabs>
                <w:tab w:val="left" w:pos="2394"/>
              </w:tabs>
              <w:rPr>
                <w:rFonts w:cstheme="minorHAnsi"/>
                <w:b/>
              </w:rPr>
            </w:pPr>
            <w:r>
              <w:rPr>
                <w:b/>
              </w:rPr>
              <w:t xml:space="preserve">Approval </w:t>
            </w:r>
            <w:r w:rsidR="002B5917" w:rsidRPr="003E0EFF">
              <w:rPr>
                <w:b/>
              </w:rPr>
              <w:t>and Review</w:t>
            </w:r>
          </w:p>
        </w:tc>
      </w:tr>
      <w:tr w:rsidR="002B5917" w14:paraId="5A445685" w14:textId="77777777" w:rsidTr="49251235">
        <w:tc>
          <w:tcPr>
            <w:tcW w:w="5506" w:type="dxa"/>
            <w:gridSpan w:val="3"/>
          </w:tcPr>
          <w:p w14:paraId="0243CA59" w14:textId="77777777" w:rsidR="002B5917" w:rsidRDefault="002B5917" w:rsidP="008E64EE">
            <w:pPr>
              <w:tabs>
                <w:tab w:val="left" w:pos="2394"/>
              </w:tabs>
              <w:rPr>
                <w:rFonts w:cstheme="minorHAnsi"/>
              </w:rPr>
            </w:pPr>
            <w:r w:rsidRPr="00D102BA">
              <w:rPr>
                <w:rFonts w:cs="Arial"/>
              </w:rPr>
              <w:t>Date policy approved</w:t>
            </w:r>
          </w:p>
        </w:tc>
        <w:tc>
          <w:tcPr>
            <w:tcW w:w="5552" w:type="dxa"/>
            <w:gridSpan w:val="3"/>
          </w:tcPr>
          <w:p w14:paraId="7DB66B6E" w14:textId="106A569A" w:rsidR="002B5917" w:rsidRDefault="00525AFD" w:rsidP="008E64EE">
            <w:pPr>
              <w:tabs>
                <w:tab w:val="left" w:pos="2394"/>
              </w:tabs>
              <w:rPr>
                <w:rFonts w:cstheme="minorHAnsi"/>
              </w:rPr>
            </w:pPr>
            <w:r>
              <w:rPr>
                <w:rFonts w:cstheme="minorHAnsi"/>
              </w:rPr>
              <w:t>30 November 2021</w:t>
            </w:r>
          </w:p>
        </w:tc>
      </w:tr>
      <w:tr w:rsidR="002B5917" w14:paraId="16A0A75C" w14:textId="77777777" w:rsidTr="49251235">
        <w:tc>
          <w:tcPr>
            <w:tcW w:w="5506" w:type="dxa"/>
            <w:gridSpan w:val="3"/>
          </w:tcPr>
          <w:p w14:paraId="0AB80AF4" w14:textId="77777777" w:rsidR="002B5917" w:rsidRDefault="002B5917" w:rsidP="008E64EE">
            <w:pPr>
              <w:tabs>
                <w:tab w:val="left" w:pos="2394"/>
              </w:tabs>
              <w:rPr>
                <w:rFonts w:cstheme="minorHAnsi"/>
              </w:rPr>
            </w:pPr>
            <w:r w:rsidRPr="00D102BA">
              <w:rPr>
                <w:rFonts w:cs="Arial"/>
              </w:rPr>
              <w:t>Final approval by</w:t>
            </w:r>
          </w:p>
        </w:tc>
        <w:tc>
          <w:tcPr>
            <w:tcW w:w="5552" w:type="dxa"/>
            <w:gridSpan w:val="3"/>
          </w:tcPr>
          <w:p w14:paraId="7B503757" w14:textId="581E2B4A" w:rsidR="002B5917" w:rsidRDefault="49251235" w:rsidP="49251235">
            <w:pPr>
              <w:tabs>
                <w:tab w:val="left" w:pos="3030"/>
              </w:tabs>
              <w:spacing w:line="259" w:lineRule="auto"/>
              <w:contextualSpacing/>
              <w:rPr>
                <w:rFonts w:ascii="Calibri" w:eastAsia="Calibri" w:hAnsi="Calibri" w:cs="Calibri"/>
                <w:color w:val="000000" w:themeColor="text1"/>
              </w:rPr>
            </w:pPr>
            <w:r w:rsidRPr="49251235">
              <w:rPr>
                <w:rFonts w:ascii="Calibri" w:eastAsia="Calibri" w:hAnsi="Calibri" w:cs="Calibri"/>
                <w:color w:val="000000" w:themeColor="text1"/>
              </w:rPr>
              <w:t xml:space="preserve">University Executive </w:t>
            </w:r>
          </w:p>
          <w:p w14:paraId="0E4F6349" w14:textId="4CC64034" w:rsidR="002B5917" w:rsidRDefault="49251235" w:rsidP="49251235">
            <w:pPr>
              <w:tabs>
                <w:tab w:val="left" w:pos="2394"/>
              </w:tabs>
              <w:spacing w:line="259" w:lineRule="auto"/>
              <w:rPr>
                <w:rFonts w:ascii="Calibri" w:eastAsia="Calibri" w:hAnsi="Calibri" w:cs="Calibri"/>
                <w:color w:val="000000" w:themeColor="text1"/>
              </w:rPr>
            </w:pPr>
            <w:r w:rsidRPr="49251235">
              <w:rPr>
                <w:rFonts w:ascii="Calibri" w:eastAsia="Calibri" w:hAnsi="Calibri" w:cs="Calibri"/>
                <w:color w:val="000000" w:themeColor="text1"/>
              </w:rPr>
              <w:t>(&amp; HRPDG sign off 30 November 2021)</w:t>
            </w:r>
          </w:p>
        </w:tc>
      </w:tr>
      <w:tr w:rsidR="002B5917" w14:paraId="14C42C0A" w14:textId="77777777" w:rsidTr="49251235">
        <w:tc>
          <w:tcPr>
            <w:tcW w:w="5506" w:type="dxa"/>
            <w:gridSpan w:val="3"/>
          </w:tcPr>
          <w:p w14:paraId="2C4144F9" w14:textId="77777777" w:rsidR="002B5917" w:rsidRDefault="002B5917" w:rsidP="008E64EE">
            <w:pPr>
              <w:tabs>
                <w:tab w:val="left" w:pos="2394"/>
              </w:tabs>
              <w:rPr>
                <w:rFonts w:cstheme="minorHAnsi"/>
              </w:rPr>
            </w:pPr>
            <w:r w:rsidRPr="00D102BA">
              <w:rPr>
                <w:rFonts w:cs="Arial"/>
              </w:rPr>
              <w:t>Consultations held</w:t>
            </w:r>
          </w:p>
        </w:tc>
        <w:tc>
          <w:tcPr>
            <w:tcW w:w="5552" w:type="dxa"/>
            <w:gridSpan w:val="3"/>
          </w:tcPr>
          <w:p w14:paraId="5EFFC20C" w14:textId="77777777" w:rsidR="002B5917" w:rsidRDefault="002B5917" w:rsidP="008E64EE">
            <w:pPr>
              <w:tabs>
                <w:tab w:val="left" w:pos="2394"/>
              </w:tabs>
              <w:rPr>
                <w:rFonts w:cstheme="minorHAnsi"/>
              </w:rPr>
            </w:pPr>
            <w:r>
              <w:rPr>
                <w:rFonts w:cs="Arial"/>
              </w:rPr>
              <w:t>Staff; HR Policy Development Group</w:t>
            </w:r>
          </w:p>
        </w:tc>
      </w:tr>
      <w:tr w:rsidR="002B5917" w14:paraId="6E4C34A1" w14:textId="77777777" w:rsidTr="49251235">
        <w:tc>
          <w:tcPr>
            <w:tcW w:w="5506" w:type="dxa"/>
            <w:gridSpan w:val="3"/>
          </w:tcPr>
          <w:p w14:paraId="44DA41C4" w14:textId="77777777" w:rsidR="002B5917" w:rsidRDefault="002B5917" w:rsidP="008E64EE">
            <w:pPr>
              <w:tabs>
                <w:tab w:val="left" w:pos="2394"/>
              </w:tabs>
              <w:rPr>
                <w:rFonts w:cstheme="minorHAnsi"/>
              </w:rPr>
            </w:pPr>
            <w:r w:rsidRPr="00D102BA">
              <w:rPr>
                <w:rFonts w:cs="Arial"/>
              </w:rPr>
              <w:t>Date of commencement of policy</w:t>
            </w:r>
          </w:p>
        </w:tc>
        <w:tc>
          <w:tcPr>
            <w:tcW w:w="5552" w:type="dxa"/>
            <w:gridSpan w:val="3"/>
          </w:tcPr>
          <w:p w14:paraId="0419D6A5" w14:textId="26DE3D72" w:rsidR="002B5917" w:rsidRDefault="00525AFD" w:rsidP="008E64EE">
            <w:pPr>
              <w:tabs>
                <w:tab w:val="left" w:pos="2394"/>
              </w:tabs>
              <w:rPr>
                <w:rFonts w:cstheme="minorHAnsi"/>
              </w:rPr>
            </w:pPr>
            <w:r>
              <w:rPr>
                <w:rFonts w:cstheme="minorHAnsi"/>
              </w:rPr>
              <w:t>1</w:t>
            </w:r>
            <w:r w:rsidRPr="00525AFD">
              <w:rPr>
                <w:rFonts w:cstheme="minorHAnsi"/>
                <w:vertAlign w:val="superscript"/>
              </w:rPr>
              <w:t>st</w:t>
            </w:r>
            <w:r>
              <w:rPr>
                <w:rFonts w:cstheme="minorHAnsi"/>
              </w:rPr>
              <w:t xml:space="preserve"> April 2022</w:t>
            </w:r>
          </w:p>
        </w:tc>
      </w:tr>
      <w:tr w:rsidR="002B5917" w14:paraId="62741593" w14:textId="77777777" w:rsidTr="49251235">
        <w:tc>
          <w:tcPr>
            <w:tcW w:w="5506" w:type="dxa"/>
            <w:gridSpan w:val="3"/>
          </w:tcPr>
          <w:p w14:paraId="7C8C09A2" w14:textId="77777777" w:rsidR="002B5917" w:rsidRPr="00D102BA" w:rsidRDefault="002B5917" w:rsidP="008E64EE">
            <w:pPr>
              <w:tabs>
                <w:tab w:val="left" w:pos="2394"/>
              </w:tabs>
              <w:rPr>
                <w:rFonts w:cs="Arial"/>
              </w:rPr>
            </w:pPr>
            <w:r>
              <w:rPr>
                <w:rFonts w:cs="Arial"/>
              </w:rPr>
              <w:t>Date for review of policy</w:t>
            </w:r>
          </w:p>
        </w:tc>
        <w:tc>
          <w:tcPr>
            <w:tcW w:w="5552" w:type="dxa"/>
            <w:gridSpan w:val="3"/>
          </w:tcPr>
          <w:p w14:paraId="235A8384" w14:textId="513FF0DE" w:rsidR="002B5917" w:rsidRPr="00D102BA" w:rsidRDefault="00525AFD" w:rsidP="008E64EE">
            <w:pPr>
              <w:tabs>
                <w:tab w:val="left" w:pos="2394"/>
              </w:tabs>
              <w:rPr>
                <w:rFonts w:cs="Arial"/>
              </w:rPr>
            </w:pPr>
            <w:r>
              <w:rPr>
                <w:rFonts w:cs="Arial"/>
              </w:rPr>
              <w:t>1</w:t>
            </w:r>
            <w:r w:rsidRPr="00525AFD">
              <w:rPr>
                <w:rFonts w:cs="Arial"/>
                <w:vertAlign w:val="superscript"/>
              </w:rPr>
              <w:t>st</w:t>
            </w:r>
            <w:r>
              <w:rPr>
                <w:rFonts w:cs="Arial"/>
              </w:rPr>
              <w:t xml:space="preserve"> April 2023</w:t>
            </w:r>
          </w:p>
        </w:tc>
      </w:tr>
      <w:tr w:rsidR="002B5917" w14:paraId="5406B044" w14:textId="77777777" w:rsidTr="49251235">
        <w:tc>
          <w:tcPr>
            <w:tcW w:w="5506" w:type="dxa"/>
            <w:gridSpan w:val="3"/>
          </w:tcPr>
          <w:p w14:paraId="1A6C9234" w14:textId="77777777" w:rsidR="002B5917" w:rsidRDefault="002B5917" w:rsidP="008E64EE">
            <w:pPr>
              <w:tabs>
                <w:tab w:val="left" w:pos="2394"/>
              </w:tabs>
              <w:rPr>
                <w:rFonts w:cstheme="minorHAnsi"/>
              </w:rPr>
            </w:pPr>
            <w:r w:rsidRPr="00D102BA">
              <w:rPr>
                <w:rFonts w:cs="Arial"/>
              </w:rPr>
              <w:t>Policy review by</w:t>
            </w:r>
          </w:p>
        </w:tc>
        <w:tc>
          <w:tcPr>
            <w:tcW w:w="5552" w:type="dxa"/>
            <w:gridSpan w:val="3"/>
          </w:tcPr>
          <w:p w14:paraId="52319AA6" w14:textId="77777777" w:rsidR="002B5917" w:rsidRDefault="002B5917" w:rsidP="008E64EE">
            <w:pPr>
              <w:tabs>
                <w:tab w:val="left" w:pos="2394"/>
              </w:tabs>
              <w:rPr>
                <w:rFonts w:cstheme="minorHAnsi"/>
              </w:rPr>
            </w:pPr>
            <w:r w:rsidRPr="00D102BA">
              <w:rPr>
                <w:rFonts w:cs="Arial"/>
              </w:rPr>
              <w:t xml:space="preserve">Senior </w:t>
            </w:r>
            <w:r>
              <w:rPr>
                <w:rFonts w:cs="Arial"/>
              </w:rPr>
              <w:t>Financial Controls</w:t>
            </w:r>
            <w:r w:rsidRPr="00D102BA">
              <w:rPr>
                <w:rFonts w:cs="Arial"/>
              </w:rPr>
              <w:t xml:space="preserve"> Accountant</w:t>
            </w:r>
          </w:p>
        </w:tc>
      </w:tr>
      <w:tr w:rsidR="002B5917" w14:paraId="04AFBB7B" w14:textId="77777777" w:rsidTr="49251235">
        <w:tc>
          <w:tcPr>
            <w:tcW w:w="5506" w:type="dxa"/>
            <w:gridSpan w:val="3"/>
          </w:tcPr>
          <w:p w14:paraId="1FA4F201" w14:textId="77777777" w:rsidR="002B5917" w:rsidRDefault="002B5917" w:rsidP="008E64EE">
            <w:pPr>
              <w:tabs>
                <w:tab w:val="left" w:pos="2394"/>
              </w:tabs>
              <w:rPr>
                <w:rFonts w:cstheme="minorHAnsi"/>
              </w:rPr>
            </w:pPr>
            <w:r w:rsidRPr="00D102BA">
              <w:rPr>
                <w:rFonts w:cs="Arial"/>
              </w:rPr>
              <w:t>Policies superseded by this policy</w:t>
            </w:r>
          </w:p>
        </w:tc>
        <w:tc>
          <w:tcPr>
            <w:tcW w:w="5552" w:type="dxa"/>
            <w:gridSpan w:val="3"/>
          </w:tcPr>
          <w:p w14:paraId="15E4C6EA" w14:textId="6BC392CA" w:rsidR="002B5917" w:rsidRDefault="002B5917" w:rsidP="008E64EE">
            <w:pPr>
              <w:tabs>
                <w:tab w:val="left" w:pos="2394"/>
              </w:tabs>
              <w:rPr>
                <w:rFonts w:cstheme="minorHAnsi"/>
              </w:rPr>
            </w:pPr>
            <w:r>
              <w:rPr>
                <w:rFonts w:cs="Arial"/>
              </w:rPr>
              <w:t>Credit Card Policy v.1.1</w:t>
            </w:r>
          </w:p>
        </w:tc>
      </w:tr>
      <w:tr w:rsidR="009332C9" w14:paraId="5E41692A" w14:textId="77777777" w:rsidTr="49251235">
        <w:tc>
          <w:tcPr>
            <w:tcW w:w="11058" w:type="dxa"/>
            <w:gridSpan w:val="6"/>
          </w:tcPr>
          <w:p w14:paraId="3D2A9187" w14:textId="50E5D592" w:rsidR="49251235" w:rsidRDefault="49251235" w:rsidP="49251235">
            <w:pPr>
              <w:tabs>
                <w:tab w:val="left" w:pos="2394"/>
              </w:tabs>
              <w:spacing w:line="259" w:lineRule="auto"/>
              <w:rPr>
                <w:rFonts w:ascii="Calibri" w:eastAsia="Calibri" w:hAnsi="Calibri" w:cs="Calibri"/>
                <w:color w:val="000000" w:themeColor="text1"/>
              </w:rPr>
            </w:pPr>
            <w:r w:rsidRPr="49251235">
              <w:rPr>
                <w:rFonts w:ascii="Calibri" w:eastAsia="Calibri" w:hAnsi="Calibri" w:cs="Calibri"/>
                <w:color w:val="000000" w:themeColor="text1"/>
              </w:rPr>
              <w:t>The policy was approved by the University Executive on 18</w:t>
            </w:r>
            <w:r w:rsidRPr="49251235">
              <w:rPr>
                <w:rFonts w:ascii="Calibri" w:eastAsia="Calibri" w:hAnsi="Calibri" w:cs="Calibri"/>
                <w:color w:val="000000" w:themeColor="text1"/>
                <w:vertAlign w:val="superscript"/>
              </w:rPr>
              <w:t>th</w:t>
            </w:r>
            <w:r w:rsidRPr="49251235">
              <w:rPr>
                <w:rFonts w:ascii="Calibri" w:eastAsia="Calibri" w:hAnsi="Calibri" w:cs="Calibri"/>
                <w:color w:val="000000" w:themeColor="text1"/>
              </w:rPr>
              <w:t xml:space="preserve"> January 2022, signed by the Human Resources Policy Development Group on 30</w:t>
            </w:r>
            <w:r w:rsidRPr="49251235">
              <w:rPr>
                <w:rFonts w:ascii="Calibri" w:eastAsia="Calibri" w:hAnsi="Calibri" w:cs="Calibri"/>
                <w:color w:val="000000" w:themeColor="text1"/>
                <w:vertAlign w:val="superscript"/>
              </w:rPr>
              <w:t>th</w:t>
            </w:r>
            <w:r w:rsidRPr="49251235">
              <w:rPr>
                <w:rFonts w:ascii="Calibri" w:eastAsia="Calibri" w:hAnsi="Calibri" w:cs="Calibri"/>
                <w:color w:val="000000" w:themeColor="text1"/>
              </w:rPr>
              <w:t xml:space="preserve"> November 2021 and is effective from 1 April 2022.</w:t>
            </w:r>
          </w:p>
          <w:p w14:paraId="01F32562" w14:textId="5825A821" w:rsidR="49251235" w:rsidRDefault="49251235" w:rsidP="49251235">
            <w:pPr>
              <w:pStyle w:val="paragraph"/>
              <w:spacing w:before="0" w:beforeAutospacing="0" w:after="0" w:afterAutospacing="0"/>
              <w:rPr>
                <w:rStyle w:val="eop"/>
              </w:rPr>
            </w:pPr>
          </w:p>
          <w:p w14:paraId="755E3EA4" w14:textId="515F740F" w:rsidR="009332C9" w:rsidRPr="009332C9" w:rsidRDefault="009332C9" w:rsidP="49251235">
            <w:pPr>
              <w:pStyle w:val="paragraph"/>
              <w:spacing w:before="0" w:beforeAutospacing="0" w:after="0" w:afterAutospacing="0"/>
              <w:textAlignment w:val="baseline"/>
              <w:rPr>
                <w:rStyle w:val="eop"/>
                <w:rFonts w:asciiTheme="minorHAnsi" w:hAnsiTheme="minorHAnsi" w:cstheme="minorBidi"/>
                <w:sz w:val="22"/>
                <w:szCs w:val="22"/>
              </w:rPr>
            </w:pPr>
            <w:r w:rsidRPr="49251235">
              <w:rPr>
                <w:rStyle w:val="normaltextrun"/>
                <w:rFonts w:asciiTheme="minorHAnsi" w:eastAsia="Calibri" w:hAnsiTheme="minorHAnsi" w:cstheme="minorBidi"/>
                <w:sz w:val="22"/>
                <w:szCs w:val="22"/>
              </w:rPr>
              <w:t>The policy will be reviewed annually on and any changes approved by the University Executive and, where appropriate, reviewed by HRPDG</w:t>
            </w:r>
          </w:p>
          <w:p w14:paraId="3B960075" w14:textId="77777777" w:rsidR="009332C9" w:rsidRPr="009332C9" w:rsidRDefault="009332C9" w:rsidP="009332C9">
            <w:pPr>
              <w:pStyle w:val="paragraph"/>
              <w:spacing w:before="0" w:beforeAutospacing="0" w:after="0" w:afterAutospacing="0"/>
              <w:textAlignment w:val="baseline"/>
              <w:rPr>
                <w:rFonts w:asciiTheme="minorHAnsi" w:hAnsiTheme="minorHAnsi" w:cstheme="minorHAnsi"/>
                <w:sz w:val="22"/>
                <w:szCs w:val="22"/>
              </w:rPr>
            </w:pPr>
            <w:r w:rsidRPr="009332C9">
              <w:rPr>
                <w:rStyle w:val="eop"/>
                <w:rFonts w:asciiTheme="minorHAnsi" w:hAnsiTheme="minorHAnsi" w:cstheme="minorHAnsi"/>
                <w:sz w:val="22"/>
                <w:szCs w:val="22"/>
              </w:rPr>
              <w:t> </w:t>
            </w:r>
          </w:p>
          <w:p w14:paraId="553B47E1" w14:textId="2A1AEB14" w:rsidR="009332C9" w:rsidRPr="00525AFD" w:rsidRDefault="009332C9" w:rsidP="00525AFD">
            <w:pPr>
              <w:pStyle w:val="paragraph"/>
              <w:spacing w:before="0" w:beforeAutospacing="0" w:after="0" w:afterAutospacing="0"/>
              <w:textAlignment w:val="baseline"/>
              <w:rPr>
                <w:rFonts w:asciiTheme="minorHAnsi" w:hAnsiTheme="minorHAnsi" w:cstheme="minorHAnsi"/>
                <w:sz w:val="22"/>
                <w:szCs w:val="22"/>
              </w:rPr>
            </w:pPr>
            <w:r w:rsidRPr="009332C9">
              <w:rPr>
                <w:rStyle w:val="normaltextrun"/>
                <w:rFonts w:asciiTheme="minorHAnsi" w:eastAsia="Calibri" w:hAnsiTheme="minorHAnsi" w:cstheme="minorHAnsi"/>
                <w:sz w:val="22"/>
                <w:szCs w:val="22"/>
              </w:rPr>
              <w:t>The updated policy will be communicated to staff and published on the University’s website.</w:t>
            </w:r>
            <w:r w:rsidRPr="009332C9">
              <w:rPr>
                <w:rStyle w:val="eop"/>
                <w:rFonts w:asciiTheme="minorHAnsi" w:hAnsiTheme="minorHAnsi" w:cstheme="minorHAnsi"/>
                <w:sz w:val="22"/>
                <w:szCs w:val="22"/>
              </w:rPr>
              <w:t> </w:t>
            </w:r>
          </w:p>
        </w:tc>
      </w:tr>
      <w:tr w:rsidR="002B5917" w14:paraId="2906305B" w14:textId="77777777" w:rsidTr="49251235">
        <w:trPr>
          <w:trHeight w:val="624"/>
        </w:trPr>
        <w:tc>
          <w:tcPr>
            <w:tcW w:w="11058" w:type="dxa"/>
            <w:gridSpan w:val="6"/>
            <w:shd w:val="clear" w:color="auto" w:fill="D9D9D9" w:themeFill="background1" w:themeFillShade="D9"/>
            <w:vAlign w:val="center"/>
          </w:tcPr>
          <w:p w14:paraId="0212DF1E" w14:textId="77777777" w:rsidR="002B5917" w:rsidRDefault="002B5917" w:rsidP="008E64EE">
            <w:pPr>
              <w:tabs>
                <w:tab w:val="left" w:pos="2394"/>
              </w:tabs>
              <w:rPr>
                <w:rFonts w:cstheme="minorHAnsi"/>
                <w:b/>
              </w:rPr>
            </w:pPr>
            <w:r>
              <w:rPr>
                <w:rFonts w:cstheme="minorHAnsi"/>
                <w:b/>
              </w:rPr>
              <w:t>Version control</w:t>
            </w:r>
          </w:p>
        </w:tc>
      </w:tr>
      <w:tr w:rsidR="002B5917" w14:paraId="7E97D428" w14:textId="77777777" w:rsidTr="49251235">
        <w:tc>
          <w:tcPr>
            <w:tcW w:w="1419" w:type="dxa"/>
          </w:tcPr>
          <w:p w14:paraId="6D79DE36" w14:textId="77777777" w:rsidR="002B5917" w:rsidRPr="003E0EFF" w:rsidRDefault="002B5917" w:rsidP="008E64EE">
            <w:pPr>
              <w:tabs>
                <w:tab w:val="left" w:pos="2394"/>
              </w:tabs>
              <w:rPr>
                <w:rFonts w:cstheme="minorHAnsi"/>
                <w:b/>
              </w:rPr>
            </w:pPr>
            <w:r>
              <w:rPr>
                <w:rFonts w:cstheme="minorHAnsi"/>
                <w:b/>
              </w:rPr>
              <w:t>Version</w:t>
            </w:r>
          </w:p>
        </w:tc>
        <w:tc>
          <w:tcPr>
            <w:tcW w:w="3260" w:type="dxa"/>
          </w:tcPr>
          <w:p w14:paraId="774EB593" w14:textId="77777777" w:rsidR="002B5917" w:rsidRPr="003E0EFF" w:rsidRDefault="002B5917" w:rsidP="008E64EE">
            <w:pPr>
              <w:tabs>
                <w:tab w:val="left" w:pos="2394"/>
              </w:tabs>
              <w:rPr>
                <w:rFonts w:cstheme="minorHAnsi"/>
                <w:b/>
              </w:rPr>
            </w:pPr>
            <w:r>
              <w:rPr>
                <w:rFonts w:cstheme="minorHAnsi"/>
                <w:b/>
              </w:rPr>
              <w:t>Amendment made</w:t>
            </w:r>
          </w:p>
        </w:tc>
        <w:tc>
          <w:tcPr>
            <w:tcW w:w="2268" w:type="dxa"/>
            <w:gridSpan w:val="3"/>
          </w:tcPr>
          <w:p w14:paraId="2198C144" w14:textId="77777777" w:rsidR="002B5917" w:rsidRPr="003E0EFF" w:rsidRDefault="002B5917" w:rsidP="008E64EE">
            <w:pPr>
              <w:tabs>
                <w:tab w:val="left" w:pos="2394"/>
              </w:tabs>
              <w:rPr>
                <w:rFonts w:cstheme="minorHAnsi"/>
                <w:b/>
              </w:rPr>
            </w:pPr>
            <w:r w:rsidRPr="003E0EFF">
              <w:rPr>
                <w:rFonts w:cstheme="minorHAnsi"/>
                <w:b/>
              </w:rPr>
              <w:t>Approval date</w:t>
            </w:r>
          </w:p>
        </w:tc>
        <w:tc>
          <w:tcPr>
            <w:tcW w:w="4111" w:type="dxa"/>
          </w:tcPr>
          <w:p w14:paraId="7C3B00BA" w14:textId="77777777" w:rsidR="002B5917" w:rsidRPr="003E0EFF" w:rsidRDefault="002B5917" w:rsidP="008E64EE">
            <w:pPr>
              <w:tabs>
                <w:tab w:val="left" w:pos="2394"/>
              </w:tabs>
              <w:rPr>
                <w:rFonts w:cstheme="minorHAnsi"/>
                <w:b/>
              </w:rPr>
            </w:pPr>
            <w:r>
              <w:rPr>
                <w:rFonts w:cstheme="minorHAnsi"/>
                <w:b/>
              </w:rPr>
              <w:t>Approved by</w:t>
            </w:r>
          </w:p>
        </w:tc>
      </w:tr>
      <w:tr w:rsidR="002B5917" w14:paraId="24415504" w14:textId="77777777" w:rsidTr="49251235">
        <w:tc>
          <w:tcPr>
            <w:tcW w:w="1419" w:type="dxa"/>
          </w:tcPr>
          <w:p w14:paraId="21B2F4A6" w14:textId="77777777" w:rsidR="002B5917" w:rsidRDefault="002B5917" w:rsidP="008E64EE">
            <w:pPr>
              <w:tabs>
                <w:tab w:val="left" w:pos="2394"/>
              </w:tabs>
              <w:rPr>
                <w:rFonts w:cstheme="minorHAnsi"/>
              </w:rPr>
            </w:pPr>
            <w:r>
              <w:rPr>
                <w:rFonts w:cstheme="minorHAnsi"/>
              </w:rPr>
              <w:t>1.0</w:t>
            </w:r>
          </w:p>
        </w:tc>
        <w:tc>
          <w:tcPr>
            <w:tcW w:w="3260" w:type="dxa"/>
          </w:tcPr>
          <w:p w14:paraId="6960505B" w14:textId="77777777" w:rsidR="002B5917" w:rsidRDefault="002B5917" w:rsidP="008E64EE">
            <w:pPr>
              <w:tabs>
                <w:tab w:val="left" w:pos="2394"/>
              </w:tabs>
              <w:rPr>
                <w:rFonts w:cstheme="minorHAnsi"/>
              </w:rPr>
            </w:pPr>
            <w:r>
              <w:rPr>
                <w:rFonts w:cstheme="minorHAnsi"/>
              </w:rPr>
              <w:t>First Version</w:t>
            </w:r>
          </w:p>
        </w:tc>
        <w:tc>
          <w:tcPr>
            <w:tcW w:w="2268" w:type="dxa"/>
            <w:gridSpan w:val="3"/>
          </w:tcPr>
          <w:p w14:paraId="2EF79AE9" w14:textId="772E1DB5" w:rsidR="002B5917" w:rsidRDefault="002B5917" w:rsidP="008E64EE">
            <w:pPr>
              <w:tabs>
                <w:tab w:val="left" w:pos="2394"/>
              </w:tabs>
              <w:rPr>
                <w:rFonts w:cstheme="minorHAnsi"/>
              </w:rPr>
            </w:pPr>
            <w:r>
              <w:rPr>
                <w:rFonts w:cstheme="minorHAnsi"/>
              </w:rPr>
              <w:t>14 November 2017</w:t>
            </w:r>
          </w:p>
        </w:tc>
        <w:tc>
          <w:tcPr>
            <w:tcW w:w="4111" w:type="dxa"/>
          </w:tcPr>
          <w:p w14:paraId="6BFEAD0A" w14:textId="77777777" w:rsidR="002B5917" w:rsidRDefault="002B5917" w:rsidP="008E64EE">
            <w:pPr>
              <w:tabs>
                <w:tab w:val="left" w:pos="2394"/>
              </w:tabs>
              <w:rPr>
                <w:rFonts w:cstheme="minorHAnsi"/>
              </w:rPr>
            </w:pPr>
            <w:r>
              <w:rPr>
                <w:rFonts w:cstheme="minorHAnsi"/>
              </w:rPr>
              <w:t>Central Management Group</w:t>
            </w:r>
          </w:p>
        </w:tc>
      </w:tr>
      <w:tr w:rsidR="002B5917" w14:paraId="12B9DAAE" w14:textId="77777777" w:rsidTr="49251235">
        <w:tc>
          <w:tcPr>
            <w:tcW w:w="1419" w:type="dxa"/>
          </w:tcPr>
          <w:p w14:paraId="79674202" w14:textId="77777777" w:rsidR="002B5917" w:rsidRDefault="002B5917" w:rsidP="008E64EE">
            <w:pPr>
              <w:tabs>
                <w:tab w:val="left" w:pos="2394"/>
              </w:tabs>
              <w:rPr>
                <w:rFonts w:cstheme="minorHAnsi"/>
              </w:rPr>
            </w:pPr>
            <w:r>
              <w:rPr>
                <w:rFonts w:cstheme="minorHAnsi"/>
              </w:rPr>
              <w:t>1.1</w:t>
            </w:r>
          </w:p>
        </w:tc>
        <w:tc>
          <w:tcPr>
            <w:tcW w:w="3260" w:type="dxa"/>
          </w:tcPr>
          <w:p w14:paraId="095C327A" w14:textId="6C52AD59" w:rsidR="002B5917" w:rsidRDefault="002B5917" w:rsidP="008E64EE">
            <w:pPr>
              <w:tabs>
                <w:tab w:val="left" w:pos="2394"/>
              </w:tabs>
              <w:rPr>
                <w:rFonts w:cstheme="minorHAnsi"/>
              </w:rPr>
            </w:pPr>
            <w:r>
              <w:rPr>
                <w:rFonts w:cstheme="minorHAnsi"/>
              </w:rPr>
              <w:t>Updated Finance Helpline</w:t>
            </w:r>
          </w:p>
        </w:tc>
        <w:tc>
          <w:tcPr>
            <w:tcW w:w="2268" w:type="dxa"/>
            <w:gridSpan w:val="3"/>
          </w:tcPr>
          <w:p w14:paraId="31092D97" w14:textId="6B715655" w:rsidR="002B5917" w:rsidRDefault="002B5917" w:rsidP="008E64EE">
            <w:pPr>
              <w:tabs>
                <w:tab w:val="left" w:pos="2394"/>
              </w:tabs>
              <w:rPr>
                <w:rFonts w:cstheme="minorHAnsi"/>
              </w:rPr>
            </w:pPr>
            <w:r>
              <w:rPr>
                <w:rFonts w:cstheme="minorHAnsi"/>
              </w:rPr>
              <w:t>11/01/2019</w:t>
            </w:r>
          </w:p>
        </w:tc>
        <w:tc>
          <w:tcPr>
            <w:tcW w:w="4111" w:type="dxa"/>
          </w:tcPr>
          <w:p w14:paraId="4826C755" w14:textId="7176D80B" w:rsidR="002B5917" w:rsidRDefault="002B5917" w:rsidP="008E64EE">
            <w:pPr>
              <w:tabs>
                <w:tab w:val="left" w:pos="2394"/>
              </w:tabs>
              <w:rPr>
                <w:rFonts w:cstheme="minorHAnsi"/>
              </w:rPr>
            </w:pPr>
            <w:r>
              <w:rPr>
                <w:rFonts w:cstheme="minorHAnsi"/>
              </w:rPr>
              <w:t>n/a</w:t>
            </w:r>
          </w:p>
        </w:tc>
      </w:tr>
      <w:tr w:rsidR="002B5917" w14:paraId="30FEE509" w14:textId="77777777" w:rsidTr="49251235">
        <w:tc>
          <w:tcPr>
            <w:tcW w:w="1419" w:type="dxa"/>
          </w:tcPr>
          <w:p w14:paraId="7F06EDAB" w14:textId="41AD849A" w:rsidR="002B5917" w:rsidRDefault="00525AFD" w:rsidP="008E64EE">
            <w:pPr>
              <w:tabs>
                <w:tab w:val="left" w:pos="2394"/>
              </w:tabs>
              <w:rPr>
                <w:rFonts w:cstheme="minorHAnsi"/>
              </w:rPr>
            </w:pPr>
            <w:r>
              <w:rPr>
                <w:rFonts w:cstheme="minorHAnsi"/>
              </w:rPr>
              <w:t>2.0</w:t>
            </w:r>
          </w:p>
        </w:tc>
        <w:tc>
          <w:tcPr>
            <w:tcW w:w="3260" w:type="dxa"/>
          </w:tcPr>
          <w:p w14:paraId="47D8BC9F" w14:textId="77777777" w:rsidR="002B5917" w:rsidRDefault="002B5917" w:rsidP="008E64EE">
            <w:pPr>
              <w:tabs>
                <w:tab w:val="left" w:pos="2394"/>
              </w:tabs>
              <w:rPr>
                <w:rFonts w:cstheme="minorHAnsi"/>
              </w:rPr>
            </w:pPr>
            <w:r>
              <w:rPr>
                <w:rFonts w:cstheme="minorHAnsi"/>
              </w:rPr>
              <w:t>Policy refresh</w:t>
            </w:r>
          </w:p>
        </w:tc>
        <w:tc>
          <w:tcPr>
            <w:tcW w:w="2268" w:type="dxa"/>
            <w:gridSpan w:val="3"/>
          </w:tcPr>
          <w:p w14:paraId="60C8F135" w14:textId="56E3A0CF" w:rsidR="002B5917" w:rsidRDefault="49251235" w:rsidP="49251235">
            <w:pPr>
              <w:tabs>
                <w:tab w:val="left" w:pos="2394"/>
              </w:tabs>
            </w:pPr>
            <w:r w:rsidRPr="49251235">
              <w:t>18 January 2022</w:t>
            </w:r>
          </w:p>
        </w:tc>
        <w:tc>
          <w:tcPr>
            <w:tcW w:w="4111" w:type="dxa"/>
          </w:tcPr>
          <w:p w14:paraId="17DA691B" w14:textId="674F7776" w:rsidR="002B5917" w:rsidRDefault="49251235" w:rsidP="49251235">
            <w:pPr>
              <w:tabs>
                <w:tab w:val="left" w:pos="2394"/>
              </w:tabs>
            </w:pPr>
            <w:r w:rsidRPr="49251235">
              <w:t>University Executive</w:t>
            </w:r>
          </w:p>
        </w:tc>
      </w:tr>
    </w:tbl>
    <w:p w14:paraId="58D0DBAA" w14:textId="32FE601C" w:rsidR="002B5917" w:rsidRPr="00525AFD" w:rsidRDefault="002B5917" w:rsidP="00525AFD">
      <w:pPr>
        <w:tabs>
          <w:tab w:val="left" w:pos="2394"/>
        </w:tabs>
        <w:rPr>
          <w:rFonts w:cstheme="minorHAnsi"/>
          <w:sz w:val="2"/>
          <w:szCs w:val="2"/>
        </w:rPr>
      </w:pPr>
    </w:p>
    <w:sectPr w:rsidR="002B5917" w:rsidRPr="00525AFD" w:rsidSect="00525AFD">
      <w:footerReference w:type="default" r:id="rId25"/>
      <w:pgSz w:w="11906" w:h="16838"/>
      <w:pgMar w:top="567" w:right="1440" w:bottom="284" w:left="1440" w:header="709" w:footer="0"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7FCBCBD" w16cex:dateUtc="2021-08-17T11:30:47.055Z"/>
  <w16cex:commentExtensible w16cex:durableId="5FC81F74" w16cex:dateUtc="2021-08-17T11:33:33.838Z"/>
  <w16cex:commentExtensible w16cex:durableId="0294C77D" w16cex:dateUtc="2021-08-17T11:35:56.077Z"/>
  <w16cex:commentExtensible w16cex:durableId="3828B6C0" w16cex:dateUtc="2021-08-17T11:46:50.449Z"/>
  <w16cex:commentExtensible w16cex:durableId="2388C816" w16cex:dateUtc="2021-08-17T11:49:45.059Z"/>
  <w16cex:commentExtensible w16cex:durableId="1AA76604" w16cex:dateUtc="2021-08-17T11:51:09.158Z"/>
</w16cex:commentsExtensible>
</file>

<file path=word/commentsIds.xml><?xml version="1.0" encoding="utf-8"?>
<w16cid:commentsIds xmlns:mc="http://schemas.openxmlformats.org/markup-compatibility/2006" xmlns:w16cid="http://schemas.microsoft.com/office/word/2016/wordml/cid" mc:Ignorable="w16cid">
  <w16cid:commentId w16cid:paraId="7D7F3CE0" w16cid:durableId="57FCBCBD"/>
  <w16cid:commentId w16cid:paraId="77CF5ADE" w16cid:durableId="5FC81F74"/>
  <w16cid:commentId w16cid:paraId="6740295B" w16cid:durableId="0294C77D"/>
  <w16cid:commentId w16cid:paraId="5BEEAC7E" w16cid:durableId="3828B6C0"/>
  <w16cid:commentId w16cid:paraId="69A375AE" w16cid:durableId="2388C816"/>
  <w16cid:commentId w16cid:paraId="3D258DE9" w16cid:durableId="1AA766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1DC1F" w14:textId="77777777" w:rsidR="00AE0A70" w:rsidRDefault="00AE0A70" w:rsidP="00AE0A70">
      <w:pPr>
        <w:spacing w:after="0" w:line="240" w:lineRule="auto"/>
      </w:pPr>
      <w:r>
        <w:separator/>
      </w:r>
    </w:p>
  </w:endnote>
  <w:endnote w:type="continuationSeparator" w:id="0">
    <w:p w14:paraId="05B7A71D" w14:textId="77777777" w:rsidR="00AE0A70" w:rsidRDefault="00AE0A70" w:rsidP="00AE0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808080" w:themeColor="background1" w:themeShade="80"/>
      </w:rPr>
      <w:id w:val="1543240179"/>
      <w:docPartObj>
        <w:docPartGallery w:val="Page Numbers (Bottom of Page)"/>
        <w:docPartUnique/>
      </w:docPartObj>
    </w:sdtPr>
    <w:sdtEndPr/>
    <w:sdtContent>
      <w:sdt>
        <w:sdtPr>
          <w:rPr>
            <w:b/>
            <w:color w:val="808080" w:themeColor="background1" w:themeShade="80"/>
          </w:rPr>
          <w:id w:val="1728636285"/>
          <w:docPartObj>
            <w:docPartGallery w:val="Page Numbers (Top of Page)"/>
            <w:docPartUnique/>
          </w:docPartObj>
        </w:sdtPr>
        <w:sdtEndPr/>
        <w:sdtContent>
          <w:p w14:paraId="7CD6D6EF" w14:textId="06E8A570" w:rsidR="00AE0A70" w:rsidRPr="00AE0A70" w:rsidRDefault="00AE0A70" w:rsidP="00AE0A70">
            <w:pPr>
              <w:pStyle w:val="Footer"/>
              <w:jc w:val="center"/>
              <w:rPr>
                <w:bCs/>
                <w:color w:val="808080" w:themeColor="background1" w:themeShade="80"/>
                <w:sz w:val="24"/>
                <w:szCs w:val="24"/>
              </w:rPr>
            </w:pPr>
            <w:r w:rsidRPr="00AE0A70">
              <w:rPr>
                <w:color w:val="808080" w:themeColor="background1" w:themeShade="80"/>
              </w:rPr>
              <w:t xml:space="preserve">Page </w:t>
            </w:r>
            <w:r w:rsidRPr="00AE0A70">
              <w:rPr>
                <w:bCs/>
                <w:color w:val="808080" w:themeColor="background1" w:themeShade="80"/>
                <w:sz w:val="24"/>
                <w:szCs w:val="24"/>
              </w:rPr>
              <w:fldChar w:fldCharType="begin"/>
            </w:r>
            <w:r w:rsidRPr="00AE0A70">
              <w:rPr>
                <w:bCs/>
                <w:color w:val="808080" w:themeColor="background1" w:themeShade="80"/>
              </w:rPr>
              <w:instrText xml:space="preserve"> PAGE </w:instrText>
            </w:r>
            <w:r w:rsidRPr="00AE0A70">
              <w:rPr>
                <w:bCs/>
                <w:color w:val="808080" w:themeColor="background1" w:themeShade="80"/>
                <w:sz w:val="24"/>
                <w:szCs w:val="24"/>
              </w:rPr>
              <w:fldChar w:fldCharType="separate"/>
            </w:r>
            <w:r w:rsidR="00C5696B">
              <w:rPr>
                <w:bCs/>
                <w:noProof/>
                <w:color w:val="808080" w:themeColor="background1" w:themeShade="80"/>
              </w:rPr>
              <w:t>4</w:t>
            </w:r>
            <w:r w:rsidRPr="00AE0A70">
              <w:rPr>
                <w:bCs/>
                <w:color w:val="808080" w:themeColor="background1" w:themeShade="80"/>
                <w:sz w:val="24"/>
                <w:szCs w:val="24"/>
              </w:rPr>
              <w:fldChar w:fldCharType="end"/>
            </w:r>
            <w:r w:rsidRPr="00AE0A70">
              <w:rPr>
                <w:color w:val="808080" w:themeColor="background1" w:themeShade="80"/>
              </w:rPr>
              <w:t xml:space="preserve"> of </w:t>
            </w:r>
            <w:r w:rsidRPr="00AE0A70">
              <w:rPr>
                <w:bCs/>
                <w:color w:val="808080" w:themeColor="background1" w:themeShade="80"/>
                <w:sz w:val="24"/>
                <w:szCs w:val="24"/>
              </w:rPr>
              <w:fldChar w:fldCharType="begin"/>
            </w:r>
            <w:r w:rsidRPr="00AE0A70">
              <w:rPr>
                <w:bCs/>
                <w:color w:val="808080" w:themeColor="background1" w:themeShade="80"/>
              </w:rPr>
              <w:instrText xml:space="preserve"> NUMPAGES  </w:instrText>
            </w:r>
            <w:r w:rsidRPr="00AE0A70">
              <w:rPr>
                <w:bCs/>
                <w:color w:val="808080" w:themeColor="background1" w:themeShade="80"/>
                <w:sz w:val="24"/>
                <w:szCs w:val="24"/>
              </w:rPr>
              <w:fldChar w:fldCharType="separate"/>
            </w:r>
            <w:r w:rsidR="00C5696B">
              <w:rPr>
                <w:bCs/>
                <w:noProof/>
                <w:color w:val="808080" w:themeColor="background1" w:themeShade="80"/>
              </w:rPr>
              <w:t>4</w:t>
            </w:r>
            <w:r w:rsidRPr="00AE0A70">
              <w:rPr>
                <w:bCs/>
                <w:color w:val="808080" w:themeColor="background1" w:themeShade="80"/>
                <w:sz w:val="24"/>
                <w:szCs w:val="24"/>
              </w:rPr>
              <w:fldChar w:fldCharType="end"/>
            </w:r>
          </w:p>
          <w:p w14:paraId="0A404719" w14:textId="77777777" w:rsidR="00AE0A70" w:rsidRPr="00AE0A70" w:rsidRDefault="00AE0A70" w:rsidP="00AE0A70">
            <w:pPr>
              <w:pStyle w:val="Footer"/>
              <w:jc w:val="right"/>
              <w:rPr>
                <w:b/>
                <w:bCs/>
                <w:color w:val="808080" w:themeColor="background1" w:themeShade="80"/>
                <w:sz w:val="24"/>
                <w:szCs w:val="24"/>
              </w:rPr>
            </w:pPr>
          </w:p>
          <w:p w14:paraId="1809F7C1" w14:textId="3EE44D46" w:rsidR="00AE0A70" w:rsidRPr="00AE0A70" w:rsidRDefault="00525AFD" w:rsidP="00AE0A70">
            <w:pPr>
              <w:pStyle w:val="Footer"/>
              <w:jc w:val="right"/>
              <w:rPr>
                <w:b/>
                <w:color w:val="808080" w:themeColor="background1" w:themeShade="80"/>
              </w:rPr>
            </w:pPr>
            <w:r>
              <w:rPr>
                <w:bCs/>
                <w:color w:val="808080" w:themeColor="background1" w:themeShade="80"/>
                <w:sz w:val="24"/>
                <w:szCs w:val="24"/>
              </w:rPr>
              <w:t>V</w:t>
            </w:r>
            <w:r w:rsidR="002B5917">
              <w:rPr>
                <w:bCs/>
                <w:color w:val="808080" w:themeColor="background1" w:themeShade="80"/>
                <w:sz w:val="24"/>
                <w:szCs w:val="24"/>
              </w:rPr>
              <w:t xml:space="preserve">2 </w:t>
            </w:r>
            <w:r>
              <w:rPr>
                <w:bCs/>
                <w:color w:val="808080" w:themeColor="background1" w:themeShade="80"/>
                <w:sz w:val="24"/>
                <w:szCs w:val="24"/>
              </w:rPr>
              <w:t>April 2022</w:t>
            </w:r>
          </w:p>
        </w:sdtContent>
      </w:sdt>
    </w:sdtContent>
  </w:sdt>
  <w:p w14:paraId="1153B12C" w14:textId="77777777" w:rsidR="00AE0A70" w:rsidRPr="00AE0A70" w:rsidRDefault="00AE0A70">
    <w:pPr>
      <w:pStyle w:val="Footer"/>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9B310" w14:textId="77777777" w:rsidR="00AE0A70" w:rsidRDefault="00AE0A70" w:rsidP="00AE0A70">
      <w:pPr>
        <w:spacing w:after="0" w:line="240" w:lineRule="auto"/>
      </w:pPr>
      <w:r>
        <w:separator/>
      </w:r>
    </w:p>
  </w:footnote>
  <w:footnote w:type="continuationSeparator" w:id="0">
    <w:p w14:paraId="174B0899" w14:textId="77777777" w:rsidR="00AE0A70" w:rsidRDefault="00AE0A70" w:rsidP="00AE0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6A5"/>
    <w:multiLevelType w:val="hybridMultilevel"/>
    <w:tmpl w:val="24E480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D2163D"/>
    <w:multiLevelType w:val="hybridMultilevel"/>
    <w:tmpl w:val="76A0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D17BC"/>
    <w:multiLevelType w:val="hybridMultilevel"/>
    <w:tmpl w:val="9C6C8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86503"/>
    <w:multiLevelType w:val="hybridMultilevel"/>
    <w:tmpl w:val="DFC8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D1EFD"/>
    <w:multiLevelType w:val="multilevel"/>
    <w:tmpl w:val="6E68251C"/>
    <w:lvl w:ilvl="0">
      <w:start w:val="3"/>
      <w:numFmt w:val="decimal"/>
      <w:lvlText w:val="%1."/>
      <w:lvlJc w:val="left"/>
      <w:pPr>
        <w:ind w:left="360" w:hanging="360"/>
      </w:pPr>
      <w:rPr>
        <w:rFonts w:hint="default"/>
      </w:rPr>
    </w:lvl>
    <w:lvl w:ilvl="1">
      <w:start w:val="1"/>
      <w:numFmt w:val="decimal"/>
      <w:lvlRestart w:val="0"/>
      <w:lvlText w:val="%1.%2."/>
      <w:lvlJc w:val="left"/>
      <w:pPr>
        <w:ind w:left="1021" w:hanging="661"/>
      </w:pPr>
      <w:rPr>
        <w:rFonts w:ascii="Arial" w:hAnsi="Arial" w:cs="Arial" w:hint="default"/>
        <w:b w:val="0"/>
        <w:color w:val="000000" w:themeColor="text1"/>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686BED"/>
    <w:multiLevelType w:val="hybridMultilevel"/>
    <w:tmpl w:val="4E3C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B717B"/>
    <w:multiLevelType w:val="multilevel"/>
    <w:tmpl w:val="DC623B1C"/>
    <w:lvl w:ilvl="0">
      <w:start w:val="1"/>
      <w:numFmt w:val="decimal"/>
      <w:lvlText w:val="%1."/>
      <w:lvlJc w:val="left"/>
      <w:pPr>
        <w:ind w:left="360" w:hanging="360"/>
      </w:pPr>
      <w:rPr>
        <w:rFonts w:hint="default"/>
      </w:rPr>
    </w:lvl>
    <w:lvl w:ilvl="1">
      <w:start w:val="1"/>
      <w:numFmt w:val="decimal"/>
      <w:lvlRestart w:val="0"/>
      <w:lvlText w:val="%1.%2."/>
      <w:lvlJc w:val="left"/>
      <w:pPr>
        <w:ind w:left="1021" w:hanging="661"/>
      </w:pPr>
      <w:rPr>
        <w:rFonts w:ascii="Arial" w:hAnsi="Arial" w:cs="Arial"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F83127"/>
    <w:multiLevelType w:val="hybridMultilevel"/>
    <w:tmpl w:val="369455E4"/>
    <w:lvl w:ilvl="0" w:tplc="492EF2DA">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E085C26"/>
    <w:multiLevelType w:val="multilevel"/>
    <w:tmpl w:val="FD3C7574"/>
    <w:lvl w:ilvl="0">
      <w:start w:val="1"/>
      <w:numFmt w:val="decimal"/>
      <w:lvlText w:val="%1."/>
      <w:lvlJc w:val="left"/>
      <w:pPr>
        <w:ind w:left="360" w:hanging="360"/>
      </w:pPr>
      <w:rPr>
        <w:rFonts w:hint="default"/>
      </w:rPr>
    </w:lvl>
    <w:lvl w:ilvl="1">
      <w:start w:val="1"/>
      <w:numFmt w:val="decimal"/>
      <w:lvlText w:val="6.%2."/>
      <w:lvlJc w:val="left"/>
      <w:pPr>
        <w:ind w:left="1021" w:hanging="661"/>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42526D"/>
    <w:multiLevelType w:val="hybridMultilevel"/>
    <w:tmpl w:val="D286DC96"/>
    <w:lvl w:ilvl="0" w:tplc="DF48487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E03728"/>
    <w:multiLevelType w:val="hybridMultilevel"/>
    <w:tmpl w:val="6988E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57C83"/>
    <w:multiLevelType w:val="hybridMultilevel"/>
    <w:tmpl w:val="FBB87D2A"/>
    <w:lvl w:ilvl="0" w:tplc="01FED1CA">
      <w:start w:val="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B7614"/>
    <w:multiLevelType w:val="multilevel"/>
    <w:tmpl w:val="641CE7EA"/>
    <w:lvl w:ilvl="0">
      <w:start w:val="1"/>
      <w:numFmt w:val="decimal"/>
      <w:lvlText w:val="%1."/>
      <w:lvlJc w:val="left"/>
      <w:pPr>
        <w:ind w:left="360" w:hanging="360"/>
      </w:pPr>
      <w:rPr>
        <w:rFonts w:hint="default"/>
      </w:rPr>
    </w:lvl>
    <w:lvl w:ilvl="1">
      <w:start w:val="1"/>
      <w:numFmt w:val="decimal"/>
      <w:lvlText w:val="9.%2."/>
      <w:lvlJc w:val="left"/>
      <w:pPr>
        <w:ind w:left="1021" w:hanging="661"/>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B6785C"/>
    <w:multiLevelType w:val="hybridMultilevel"/>
    <w:tmpl w:val="C96CEC98"/>
    <w:lvl w:ilvl="0" w:tplc="01FED1CA">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0B60A1"/>
    <w:multiLevelType w:val="hybridMultilevel"/>
    <w:tmpl w:val="7A6A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826151"/>
    <w:multiLevelType w:val="multilevel"/>
    <w:tmpl w:val="700CF976"/>
    <w:lvl w:ilvl="0">
      <w:start w:val="1"/>
      <w:numFmt w:val="decimal"/>
      <w:lvlText w:val="%1."/>
      <w:lvlJc w:val="left"/>
      <w:pPr>
        <w:ind w:left="1021" w:hanging="664"/>
      </w:pPr>
      <w:rPr>
        <w:rFonts w:hint="default"/>
      </w:rPr>
    </w:lvl>
    <w:lvl w:ilvl="1">
      <w:start w:val="1"/>
      <w:numFmt w:val="decimal"/>
      <w:lvlText w:val="4.%2."/>
      <w:lvlJc w:val="left"/>
      <w:pPr>
        <w:ind w:left="794" w:hanging="4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9825E46"/>
    <w:multiLevelType w:val="hybridMultilevel"/>
    <w:tmpl w:val="BA107BBE"/>
    <w:lvl w:ilvl="0" w:tplc="01FED1CA">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0614BD"/>
    <w:multiLevelType w:val="hybridMultilevel"/>
    <w:tmpl w:val="97F2CCF0"/>
    <w:lvl w:ilvl="0" w:tplc="AC2489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070947"/>
    <w:multiLevelType w:val="hybridMultilevel"/>
    <w:tmpl w:val="1136C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D73604"/>
    <w:multiLevelType w:val="hybridMultilevel"/>
    <w:tmpl w:val="D032CB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EE36AF"/>
    <w:multiLevelType w:val="multilevel"/>
    <w:tmpl w:val="641CE7EA"/>
    <w:lvl w:ilvl="0">
      <w:start w:val="1"/>
      <w:numFmt w:val="decimal"/>
      <w:lvlText w:val="%1."/>
      <w:lvlJc w:val="left"/>
      <w:pPr>
        <w:ind w:left="360" w:hanging="360"/>
      </w:pPr>
      <w:rPr>
        <w:rFonts w:hint="default"/>
      </w:rPr>
    </w:lvl>
    <w:lvl w:ilvl="1">
      <w:start w:val="1"/>
      <w:numFmt w:val="decimal"/>
      <w:lvlText w:val="9.%2."/>
      <w:lvlJc w:val="left"/>
      <w:pPr>
        <w:ind w:left="1021" w:hanging="661"/>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7F130F2"/>
    <w:multiLevelType w:val="hybridMultilevel"/>
    <w:tmpl w:val="D8A4A670"/>
    <w:lvl w:ilvl="0" w:tplc="01FED1CA">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B60461"/>
    <w:multiLevelType w:val="hybridMultilevel"/>
    <w:tmpl w:val="A0A2D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F86EDD"/>
    <w:multiLevelType w:val="hybridMultilevel"/>
    <w:tmpl w:val="C234F8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F220D6"/>
    <w:multiLevelType w:val="hybridMultilevel"/>
    <w:tmpl w:val="DE7496F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3C1B0D"/>
    <w:multiLevelType w:val="multilevel"/>
    <w:tmpl w:val="32B0DE1A"/>
    <w:lvl w:ilvl="0">
      <w:start w:val="1"/>
      <w:numFmt w:val="decimal"/>
      <w:lvlText w:val="%1."/>
      <w:lvlJc w:val="left"/>
      <w:pPr>
        <w:ind w:left="360" w:hanging="360"/>
      </w:pPr>
      <w:rPr>
        <w:rFonts w:hint="default"/>
      </w:rPr>
    </w:lvl>
    <w:lvl w:ilvl="1">
      <w:start w:val="1"/>
      <w:numFmt w:val="decimal"/>
      <w:lvlRestart w:val="0"/>
      <w:lvlText w:val="2.%2."/>
      <w:lvlJc w:val="left"/>
      <w:pPr>
        <w:ind w:left="1021" w:hanging="66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C3C3498"/>
    <w:multiLevelType w:val="hybridMultilevel"/>
    <w:tmpl w:val="C92E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0B283E"/>
    <w:multiLevelType w:val="multilevel"/>
    <w:tmpl w:val="A63A9D36"/>
    <w:lvl w:ilvl="0">
      <w:start w:val="1"/>
      <w:numFmt w:val="decimal"/>
      <w:lvlText w:val="%1."/>
      <w:lvlJc w:val="left"/>
      <w:pPr>
        <w:ind w:left="360" w:hanging="360"/>
      </w:pPr>
      <w:rPr>
        <w:rFonts w:hint="default"/>
      </w:rPr>
    </w:lvl>
    <w:lvl w:ilvl="1">
      <w:start w:val="1"/>
      <w:numFmt w:val="decimal"/>
      <w:lvlText w:val="8.%2."/>
      <w:lvlJc w:val="left"/>
      <w:pPr>
        <w:ind w:left="1021" w:hanging="66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EF0A48"/>
    <w:multiLevelType w:val="multilevel"/>
    <w:tmpl w:val="702EEE54"/>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DE5857"/>
    <w:multiLevelType w:val="hybridMultilevel"/>
    <w:tmpl w:val="C6C86A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23200F"/>
    <w:multiLevelType w:val="hybridMultilevel"/>
    <w:tmpl w:val="44FCC972"/>
    <w:lvl w:ilvl="0" w:tplc="0809000F">
      <w:start w:val="1"/>
      <w:numFmt w:val="decimal"/>
      <w:lvlText w:val="%1."/>
      <w:lvlJc w:val="left"/>
      <w:pPr>
        <w:ind w:left="805" w:hanging="360"/>
      </w:pPr>
    </w:lvl>
    <w:lvl w:ilvl="1" w:tplc="08090019" w:tentative="1">
      <w:start w:val="1"/>
      <w:numFmt w:val="lowerLetter"/>
      <w:lvlText w:val="%2."/>
      <w:lvlJc w:val="left"/>
      <w:pPr>
        <w:ind w:left="1525" w:hanging="360"/>
      </w:pPr>
    </w:lvl>
    <w:lvl w:ilvl="2" w:tplc="0809001B" w:tentative="1">
      <w:start w:val="1"/>
      <w:numFmt w:val="lowerRoman"/>
      <w:lvlText w:val="%3."/>
      <w:lvlJc w:val="right"/>
      <w:pPr>
        <w:ind w:left="2245" w:hanging="180"/>
      </w:pPr>
    </w:lvl>
    <w:lvl w:ilvl="3" w:tplc="0809000F" w:tentative="1">
      <w:start w:val="1"/>
      <w:numFmt w:val="decimal"/>
      <w:lvlText w:val="%4."/>
      <w:lvlJc w:val="left"/>
      <w:pPr>
        <w:ind w:left="2965" w:hanging="360"/>
      </w:pPr>
    </w:lvl>
    <w:lvl w:ilvl="4" w:tplc="08090019" w:tentative="1">
      <w:start w:val="1"/>
      <w:numFmt w:val="lowerLetter"/>
      <w:lvlText w:val="%5."/>
      <w:lvlJc w:val="left"/>
      <w:pPr>
        <w:ind w:left="3685" w:hanging="360"/>
      </w:pPr>
    </w:lvl>
    <w:lvl w:ilvl="5" w:tplc="0809001B" w:tentative="1">
      <w:start w:val="1"/>
      <w:numFmt w:val="lowerRoman"/>
      <w:lvlText w:val="%6."/>
      <w:lvlJc w:val="right"/>
      <w:pPr>
        <w:ind w:left="4405" w:hanging="180"/>
      </w:pPr>
    </w:lvl>
    <w:lvl w:ilvl="6" w:tplc="0809000F" w:tentative="1">
      <w:start w:val="1"/>
      <w:numFmt w:val="decimal"/>
      <w:lvlText w:val="%7."/>
      <w:lvlJc w:val="left"/>
      <w:pPr>
        <w:ind w:left="5125" w:hanging="360"/>
      </w:pPr>
    </w:lvl>
    <w:lvl w:ilvl="7" w:tplc="08090019" w:tentative="1">
      <w:start w:val="1"/>
      <w:numFmt w:val="lowerLetter"/>
      <w:lvlText w:val="%8."/>
      <w:lvlJc w:val="left"/>
      <w:pPr>
        <w:ind w:left="5845" w:hanging="360"/>
      </w:pPr>
    </w:lvl>
    <w:lvl w:ilvl="8" w:tplc="0809001B" w:tentative="1">
      <w:start w:val="1"/>
      <w:numFmt w:val="lowerRoman"/>
      <w:lvlText w:val="%9."/>
      <w:lvlJc w:val="right"/>
      <w:pPr>
        <w:ind w:left="6565" w:hanging="180"/>
      </w:pPr>
    </w:lvl>
  </w:abstractNum>
  <w:abstractNum w:abstractNumId="31" w15:restartNumberingAfterBreak="0">
    <w:nsid w:val="6BC0687C"/>
    <w:multiLevelType w:val="multilevel"/>
    <w:tmpl w:val="1188E460"/>
    <w:lvl w:ilvl="0">
      <w:start w:val="5"/>
      <w:numFmt w:val="decimal"/>
      <w:lvlText w:val="%1."/>
      <w:lvlJc w:val="left"/>
      <w:pPr>
        <w:ind w:left="360" w:hanging="360"/>
      </w:pPr>
      <w:rPr>
        <w:rFonts w:hint="default"/>
      </w:rPr>
    </w:lvl>
    <w:lvl w:ilvl="1">
      <w:start w:val="1"/>
      <w:numFmt w:val="decimal"/>
      <w:lvlRestart w:val="0"/>
      <w:lvlText w:val="%1.%2."/>
      <w:lvlJc w:val="left"/>
      <w:pPr>
        <w:ind w:left="1021" w:hanging="661"/>
      </w:pPr>
      <w:rPr>
        <w:rFonts w:ascii="Arial" w:hAnsi="Arial" w:cs="Arial"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CE85981"/>
    <w:multiLevelType w:val="multilevel"/>
    <w:tmpl w:val="641CE7EA"/>
    <w:lvl w:ilvl="0">
      <w:start w:val="1"/>
      <w:numFmt w:val="decimal"/>
      <w:lvlText w:val="%1."/>
      <w:lvlJc w:val="left"/>
      <w:pPr>
        <w:ind w:left="360" w:hanging="360"/>
      </w:pPr>
      <w:rPr>
        <w:rFonts w:hint="default"/>
      </w:rPr>
    </w:lvl>
    <w:lvl w:ilvl="1">
      <w:start w:val="1"/>
      <w:numFmt w:val="decimal"/>
      <w:lvlText w:val="9.%2."/>
      <w:lvlJc w:val="left"/>
      <w:pPr>
        <w:ind w:left="1021" w:hanging="661"/>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DCF5AF6"/>
    <w:multiLevelType w:val="hybridMultilevel"/>
    <w:tmpl w:val="D146188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26F56DE"/>
    <w:multiLevelType w:val="hybridMultilevel"/>
    <w:tmpl w:val="A5E0F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AB6D02"/>
    <w:multiLevelType w:val="hybridMultilevel"/>
    <w:tmpl w:val="F1C0F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281CCC"/>
    <w:multiLevelType w:val="hybridMultilevel"/>
    <w:tmpl w:val="0BCA882A"/>
    <w:lvl w:ilvl="0" w:tplc="01FED1CA">
      <w:start w:val="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1B24A8"/>
    <w:multiLevelType w:val="hybridMultilevel"/>
    <w:tmpl w:val="0EB8EC4E"/>
    <w:lvl w:ilvl="0" w:tplc="01FED1CA">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BC3342"/>
    <w:multiLevelType w:val="multilevel"/>
    <w:tmpl w:val="641CE7EA"/>
    <w:lvl w:ilvl="0">
      <w:start w:val="1"/>
      <w:numFmt w:val="decimal"/>
      <w:lvlText w:val="%1."/>
      <w:lvlJc w:val="left"/>
      <w:pPr>
        <w:ind w:left="360" w:hanging="360"/>
      </w:pPr>
      <w:rPr>
        <w:rFonts w:hint="default"/>
      </w:rPr>
    </w:lvl>
    <w:lvl w:ilvl="1">
      <w:start w:val="1"/>
      <w:numFmt w:val="decimal"/>
      <w:lvlText w:val="9.%2."/>
      <w:lvlJc w:val="left"/>
      <w:pPr>
        <w:ind w:left="1021" w:hanging="661"/>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2"/>
  </w:num>
  <w:num w:numId="3">
    <w:abstractNumId w:val="24"/>
  </w:num>
  <w:num w:numId="4">
    <w:abstractNumId w:val="1"/>
  </w:num>
  <w:num w:numId="5">
    <w:abstractNumId w:val="16"/>
  </w:num>
  <w:num w:numId="6">
    <w:abstractNumId w:val="21"/>
  </w:num>
  <w:num w:numId="7">
    <w:abstractNumId w:val="35"/>
  </w:num>
  <w:num w:numId="8">
    <w:abstractNumId w:val="17"/>
  </w:num>
  <w:num w:numId="9">
    <w:abstractNumId w:val="9"/>
  </w:num>
  <w:num w:numId="10">
    <w:abstractNumId w:val="6"/>
  </w:num>
  <w:num w:numId="11">
    <w:abstractNumId w:val="25"/>
  </w:num>
  <w:num w:numId="12">
    <w:abstractNumId w:val="36"/>
  </w:num>
  <w:num w:numId="13">
    <w:abstractNumId w:val="11"/>
  </w:num>
  <w:num w:numId="14">
    <w:abstractNumId w:val="13"/>
  </w:num>
  <w:num w:numId="15">
    <w:abstractNumId w:val="23"/>
  </w:num>
  <w:num w:numId="16">
    <w:abstractNumId w:val="4"/>
  </w:num>
  <w:num w:numId="17">
    <w:abstractNumId w:val="8"/>
  </w:num>
  <w:num w:numId="18">
    <w:abstractNumId w:val="19"/>
  </w:num>
  <w:num w:numId="19">
    <w:abstractNumId w:val="28"/>
  </w:num>
  <w:num w:numId="20">
    <w:abstractNumId w:val="15"/>
    <w:lvlOverride w:ilvl="0">
      <w:lvl w:ilvl="0">
        <w:start w:val="1"/>
        <w:numFmt w:val="decimal"/>
        <w:lvlText w:val="%1."/>
        <w:lvlJc w:val="left"/>
        <w:pPr>
          <w:ind w:left="1021" w:hanging="664"/>
        </w:pPr>
        <w:rPr>
          <w:rFonts w:hint="default"/>
        </w:rPr>
      </w:lvl>
    </w:lvlOverride>
    <w:lvlOverride w:ilvl="1">
      <w:lvl w:ilvl="1">
        <w:start w:val="1"/>
        <w:numFmt w:val="decimal"/>
        <w:lvlText w:val="11.%2"/>
        <w:lvlJc w:val="left"/>
        <w:pPr>
          <w:ind w:left="1021" w:hanging="66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27"/>
  </w:num>
  <w:num w:numId="22">
    <w:abstractNumId w:val="20"/>
  </w:num>
  <w:num w:numId="23">
    <w:abstractNumId w:val="38"/>
  </w:num>
  <w:num w:numId="24">
    <w:abstractNumId w:val="12"/>
  </w:num>
  <w:num w:numId="25">
    <w:abstractNumId w:val="32"/>
  </w:num>
  <w:num w:numId="26">
    <w:abstractNumId w:val="31"/>
  </w:num>
  <w:num w:numId="27">
    <w:abstractNumId w:val="37"/>
  </w:num>
  <w:num w:numId="28">
    <w:abstractNumId w:val="29"/>
  </w:num>
  <w:num w:numId="29">
    <w:abstractNumId w:val="0"/>
  </w:num>
  <w:num w:numId="30">
    <w:abstractNumId w:val="33"/>
  </w:num>
  <w:num w:numId="31">
    <w:abstractNumId w:val="30"/>
  </w:num>
  <w:num w:numId="32">
    <w:abstractNumId w:val="18"/>
  </w:num>
  <w:num w:numId="33">
    <w:abstractNumId w:val="2"/>
  </w:num>
  <w:num w:numId="34">
    <w:abstractNumId w:val="7"/>
  </w:num>
  <w:num w:numId="35">
    <w:abstractNumId w:val="26"/>
  </w:num>
  <w:num w:numId="36">
    <w:abstractNumId w:val="5"/>
  </w:num>
  <w:num w:numId="37">
    <w:abstractNumId w:val="10"/>
  </w:num>
  <w:num w:numId="38">
    <w:abstractNumId w:val="3"/>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readOnly" w:enforcement="1" w:cryptProviderType="rsaAES" w:cryptAlgorithmClass="hash" w:cryptAlgorithmType="typeAny" w:cryptAlgorithmSid="14" w:cryptSpinCount="100000" w:hash="vA861/1cMGMcMEC+/ugfT/Xf71pQzTRjme4ZnzmosHKfDkJNG3HgACxtK/OWBr1FQhjLVSN9WqGxUd6YIwpqNA==" w:salt="yJAJO1berBTCJ317V6SDb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31"/>
    <w:rsid w:val="00022CB6"/>
    <w:rsid w:val="00051A5B"/>
    <w:rsid w:val="00087610"/>
    <w:rsid w:val="001226F5"/>
    <w:rsid w:val="00135EB6"/>
    <w:rsid w:val="00141CF1"/>
    <w:rsid w:val="00143F31"/>
    <w:rsid w:val="001B0A87"/>
    <w:rsid w:val="001C3E51"/>
    <w:rsid w:val="001E38CA"/>
    <w:rsid w:val="002B5917"/>
    <w:rsid w:val="002D393E"/>
    <w:rsid w:val="002D3F95"/>
    <w:rsid w:val="002D49CB"/>
    <w:rsid w:val="002F04B5"/>
    <w:rsid w:val="00311C91"/>
    <w:rsid w:val="00323F24"/>
    <w:rsid w:val="0033545D"/>
    <w:rsid w:val="00341387"/>
    <w:rsid w:val="00352C96"/>
    <w:rsid w:val="00355091"/>
    <w:rsid w:val="003B789C"/>
    <w:rsid w:val="003C3AB8"/>
    <w:rsid w:val="004035A5"/>
    <w:rsid w:val="00433D90"/>
    <w:rsid w:val="00485236"/>
    <w:rsid w:val="004A6077"/>
    <w:rsid w:val="004D0674"/>
    <w:rsid w:val="004D0B01"/>
    <w:rsid w:val="00514658"/>
    <w:rsid w:val="005237BE"/>
    <w:rsid w:val="00525AFD"/>
    <w:rsid w:val="00546402"/>
    <w:rsid w:val="00564B0E"/>
    <w:rsid w:val="005A6A2E"/>
    <w:rsid w:val="005B035A"/>
    <w:rsid w:val="005B3FB2"/>
    <w:rsid w:val="005C4A83"/>
    <w:rsid w:val="00624014"/>
    <w:rsid w:val="00696C91"/>
    <w:rsid w:val="006F3DE4"/>
    <w:rsid w:val="00700D74"/>
    <w:rsid w:val="00721CB5"/>
    <w:rsid w:val="00761B68"/>
    <w:rsid w:val="007A2C80"/>
    <w:rsid w:val="007F5642"/>
    <w:rsid w:val="008042A5"/>
    <w:rsid w:val="00826A27"/>
    <w:rsid w:val="0083460E"/>
    <w:rsid w:val="00850778"/>
    <w:rsid w:val="008650FF"/>
    <w:rsid w:val="00877750"/>
    <w:rsid w:val="008846E4"/>
    <w:rsid w:val="008905CF"/>
    <w:rsid w:val="008E1B3B"/>
    <w:rsid w:val="008E2B27"/>
    <w:rsid w:val="00905424"/>
    <w:rsid w:val="009203E5"/>
    <w:rsid w:val="00920C61"/>
    <w:rsid w:val="009257CD"/>
    <w:rsid w:val="009263D3"/>
    <w:rsid w:val="009332C9"/>
    <w:rsid w:val="009479E5"/>
    <w:rsid w:val="00971EAD"/>
    <w:rsid w:val="009B5B1B"/>
    <w:rsid w:val="009D0605"/>
    <w:rsid w:val="009D49ED"/>
    <w:rsid w:val="009E48E7"/>
    <w:rsid w:val="00A006FA"/>
    <w:rsid w:val="00A4768E"/>
    <w:rsid w:val="00A57B6D"/>
    <w:rsid w:val="00A66BBD"/>
    <w:rsid w:val="00A74813"/>
    <w:rsid w:val="00A95315"/>
    <w:rsid w:val="00AA5D4F"/>
    <w:rsid w:val="00AE0A70"/>
    <w:rsid w:val="00AE1AC6"/>
    <w:rsid w:val="00AE7C8A"/>
    <w:rsid w:val="00B728D8"/>
    <w:rsid w:val="00B86AA4"/>
    <w:rsid w:val="00B939EA"/>
    <w:rsid w:val="00BA3727"/>
    <w:rsid w:val="00BC6A0C"/>
    <w:rsid w:val="00BC6A94"/>
    <w:rsid w:val="00C038C8"/>
    <w:rsid w:val="00C13B5E"/>
    <w:rsid w:val="00C20710"/>
    <w:rsid w:val="00C208E5"/>
    <w:rsid w:val="00C24FBD"/>
    <w:rsid w:val="00C52B08"/>
    <w:rsid w:val="00C5696B"/>
    <w:rsid w:val="00C67F41"/>
    <w:rsid w:val="00CB6A68"/>
    <w:rsid w:val="00CB6B79"/>
    <w:rsid w:val="00CC4DD2"/>
    <w:rsid w:val="00D13710"/>
    <w:rsid w:val="00D533EA"/>
    <w:rsid w:val="00D61D31"/>
    <w:rsid w:val="00D73687"/>
    <w:rsid w:val="00DA0D9F"/>
    <w:rsid w:val="00DB2E34"/>
    <w:rsid w:val="00DE35AA"/>
    <w:rsid w:val="00DF1B24"/>
    <w:rsid w:val="00E46DC1"/>
    <w:rsid w:val="00E53C70"/>
    <w:rsid w:val="00E5737B"/>
    <w:rsid w:val="00EA3D6F"/>
    <w:rsid w:val="00EC5DAA"/>
    <w:rsid w:val="00EF67E0"/>
    <w:rsid w:val="00F128B5"/>
    <w:rsid w:val="00F30A98"/>
    <w:rsid w:val="00F5784D"/>
    <w:rsid w:val="00F62CF6"/>
    <w:rsid w:val="00F75800"/>
    <w:rsid w:val="00F82A61"/>
    <w:rsid w:val="00F95295"/>
    <w:rsid w:val="00FB14BC"/>
    <w:rsid w:val="00FF0501"/>
    <w:rsid w:val="08B9C3F3"/>
    <w:rsid w:val="1021EFA3"/>
    <w:rsid w:val="1140EAA2"/>
    <w:rsid w:val="17226348"/>
    <w:rsid w:val="1944D1B3"/>
    <w:rsid w:val="2003EC09"/>
    <w:rsid w:val="21BD0881"/>
    <w:rsid w:val="21DAFE31"/>
    <w:rsid w:val="241923B5"/>
    <w:rsid w:val="28C49ECB"/>
    <w:rsid w:val="2CF1A12E"/>
    <w:rsid w:val="314D7525"/>
    <w:rsid w:val="3255340B"/>
    <w:rsid w:val="32E2D96A"/>
    <w:rsid w:val="40475340"/>
    <w:rsid w:val="423013CD"/>
    <w:rsid w:val="424B4C3A"/>
    <w:rsid w:val="42E367F6"/>
    <w:rsid w:val="45FE3423"/>
    <w:rsid w:val="4812780F"/>
    <w:rsid w:val="49251235"/>
    <w:rsid w:val="4A2BBEAA"/>
    <w:rsid w:val="4BB55422"/>
    <w:rsid w:val="4DF4DC51"/>
    <w:rsid w:val="4FCB9A2D"/>
    <w:rsid w:val="5075E35C"/>
    <w:rsid w:val="50E45A92"/>
    <w:rsid w:val="56951194"/>
    <w:rsid w:val="574A6528"/>
    <w:rsid w:val="5C055382"/>
    <w:rsid w:val="5C6FB5E4"/>
    <w:rsid w:val="6101944F"/>
    <w:rsid w:val="6112219D"/>
    <w:rsid w:val="63006065"/>
    <w:rsid w:val="644E3D5E"/>
    <w:rsid w:val="670A5B1D"/>
    <w:rsid w:val="67A44E91"/>
    <w:rsid w:val="699FE503"/>
    <w:rsid w:val="69DD9AD9"/>
    <w:rsid w:val="6A6C3A88"/>
    <w:rsid w:val="6A70E314"/>
    <w:rsid w:val="6E0B5037"/>
    <w:rsid w:val="6E54B206"/>
    <w:rsid w:val="74682621"/>
    <w:rsid w:val="76B290B0"/>
    <w:rsid w:val="778DF494"/>
    <w:rsid w:val="7847FCF7"/>
    <w:rsid w:val="7D8C040A"/>
    <w:rsid w:val="7DA66396"/>
    <w:rsid w:val="7DD0FA46"/>
    <w:rsid w:val="7F0FE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F347C5"/>
  <w15:chartTrackingRefBased/>
  <w15:docId w15:val="{0A8248C8-1B8A-4FC1-99B2-AA831653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43F31"/>
    <w:pPr>
      <w:ind w:left="720"/>
      <w:contextualSpacing/>
    </w:pPr>
  </w:style>
  <w:style w:type="character" w:styleId="Hyperlink">
    <w:name w:val="Hyperlink"/>
    <w:basedOn w:val="DefaultParagraphFont"/>
    <w:uiPriority w:val="99"/>
    <w:unhideWhenUsed/>
    <w:rsid w:val="00B939EA"/>
    <w:rPr>
      <w:color w:val="0563C1" w:themeColor="hyperlink"/>
      <w:u w:val="single"/>
    </w:rPr>
  </w:style>
  <w:style w:type="paragraph" w:styleId="BodyText">
    <w:name w:val="Body Text"/>
    <w:basedOn w:val="Normal"/>
    <w:link w:val="BodyTextChar"/>
    <w:uiPriority w:val="1"/>
    <w:qFormat/>
    <w:rsid w:val="005A6A2E"/>
    <w:pPr>
      <w:spacing w:after="120" w:line="480" w:lineRule="auto"/>
      <w:ind w:left="1020" w:right="159" w:hanging="663"/>
    </w:pPr>
    <w:rPr>
      <w:rFonts w:ascii="Calibri" w:eastAsia="Calibri" w:hAnsi="Calibri" w:cs="Calibri"/>
    </w:rPr>
  </w:style>
  <w:style w:type="character" w:customStyle="1" w:styleId="BodyTextChar">
    <w:name w:val="Body Text Char"/>
    <w:basedOn w:val="DefaultParagraphFont"/>
    <w:link w:val="BodyText"/>
    <w:uiPriority w:val="1"/>
    <w:rsid w:val="005A6A2E"/>
    <w:rPr>
      <w:rFonts w:ascii="Calibri" w:eastAsia="Calibri" w:hAnsi="Calibri" w:cs="Calibri"/>
    </w:rPr>
  </w:style>
  <w:style w:type="character" w:styleId="FollowedHyperlink">
    <w:name w:val="FollowedHyperlink"/>
    <w:basedOn w:val="DefaultParagraphFont"/>
    <w:uiPriority w:val="99"/>
    <w:semiHidden/>
    <w:unhideWhenUsed/>
    <w:rsid w:val="009479E5"/>
    <w:rPr>
      <w:color w:val="954F72" w:themeColor="followedHyperlink"/>
      <w:u w:val="single"/>
    </w:rPr>
  </w:style>
  <w:style w:type="paragraph" w:styleId="BalloonText">
    <w:name w:val="Balloon Text"/>
    <w:basedOn w:val="Normal"/>
    <w:link w:val="BalloonTextChar"/>
    <w:uiPriority w:val="99"/>
    <w:semiHidden/>
    <w:unhideWhenUsed/>
    <w:rsid w:val="00C20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8E5"/>
    <w:rPr>
      <w:rFonts w:ascii="Segoe UI" w:hAnsi="Segoe UI" w:cs="Segoe UI"/>
      <w:sz w:val="18"/>
      <w:szCs w:val="18"/>
    </w:rPr>
  </w:style>
  <w:style w:type="character" w:customStyle="1" w:styleId="normaltextrun">
    <w:name w:val="normaltextrun"/>
    <w:basedOn w:val="DefaultParagraphFont"/>
    <w:rsid w:val="002D3F95"/>
  </w:style>
  <w:style w:type="character" w:customStyle="1" w:styleId="eop">
    <w:name w:val="eop"/>
    <w:basedOn w:val="DefaultParagraphFont"/>
    <w:rsid w:val="002D3F95"/>
  </w:style>
  <w:style w:type="paragraph" w:styleId="Header">
    <w:name w:val="header"/>
    <w:basedOn w:val="Normal"/>
    <w:link w:val="HeaderChar"/>
    <w:uiPriority w:val="99"/>
    <w:unhideWhenUsed/>
    <w:rsid w:val="00AE0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A70"/>
  </w:style>
  <w:style w:type="paragraph" w:styleId="Footer">
    <w:name w:val="footer"/>
    <w:basedOn w:val="Normal"/>
    <w:link w:val="FooterChar"/>
    <w:uiPriority w:val="99"/>
    <w:unhideWhenUsed/>
    <w:rsid w:val="00AE0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A70"/>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E1B3B"/>
    <w:rPr>
      <w:b/>
      <w:bCs/>
    </w:rPr>
  </w:style>
  <w:style w:type="character" w:customStyle="1" w:styleId="CommentSubjectChar">
    <w:name w:val="Comment Subject Char"/>
    <w:basedOn w:val="CommentTextChar"/>
    <w:link w:val="CommentSubject"/>
    <w:uiPriority w:val="99"/>
    <w:semiHidden/>
    <w:rsid w:val="008E1B3B"/>
    <w:rPr>
      <w:b/>
      <w:bCs/>
      <w:sz w:val="20"/>
      <w:szCs w:val="20"/>
    </w:rPr>
  </w:style>
  <w:style w:type="paragraph" w:customStyle="1" w:styleId="paragraph">
    <w:name w:val="paragraph"/>
    <w:basedOn w:val="Normal"/>
    <w:rsid w:val="009332C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8763">
      <w:bodyDiv w:val="1"/>
      <w:marLeft w:val="0"/>
      <w:marRight w:val="0"/>
      <w:marTop w:val="0"/>
      <w:marBottom w:val="0"/>
      <w:divBdr>
        <w:top w:val="none" w:sz="0" w:space="0" w:color="auto"/>
        <w:left w:val="none" w:sz="0" w:space="0" w:color="auto"/>
        <w:bottom w:val="none" w:sz="0" w:space="0" w:color="auto"/>
        <w:right w:val="none" w:sz="0" w:space="0" w:color="auto"/>
      </w:divBdr>
    </w:div>
    <w:div w:id="922301870">
      <w:bodyDiv w:val="1"/>
      <w:marLeft w:val="0"/>
      <w:marRight w:val="0"/>
      <w:marTop w:val="0"/>
      <w:marBottom w:val="0"/>
      <w:divBdr>
        <w:top w:val="none" w:sz="0" w:space="0" w:color="auto"/>
        <w:left w:val="none" w:sz="0" w:space="0" w:color="auto"/>
        <w:bottom w:val="none" w:sz="0" w:space="0" w:color="auto"/>
        <w:right w:val="none" w:sz="0" w:space="0" w:color="auto"/>
      </w:divBdr>
      <w:divsChild>
        <w:div w:id="1561289254">
          <w:marLeft w:val="0"/>
          <w:marRight w:val="0"/>
          <w:marTop w:val="0"/>
          <w:marBottom w:val="0"/>
          <w:divBdr>
            <w:top w:val="none" w:sz="0" w:space="0" w:color="auto"/>
            <w:left w:val="none" w:sz="0" w:space="0" w:color="auto"/>
            <w:bottom w:val="none" w:sz="0" w:space="0" w:color="auto"/>
            <w:right w:val="none" w:sz="0" w:space="0" w:color="auto"/>
          </w:divBdr>
        </w:div>
        <w:div w:id="2023433235">
          <w:marLeft w:val="0"/>
          <w:marRight w:val="0"/>
          <w:marTop w:val="0"/>
          <w:marBottom w:val="0"/>
          <w:divBdr>
            <w:top w:val="none" w:sz="0" w:space="0" w:color="auto"/>
            <w:left w:val="none" w:sz="0" w:space="0" w:color="auto"/>
            <w:bottom w:val="none" w:sz="0" w:space="0" w:color="auto"/>
            <w:right w:val="none" w:sz="0" w:space="0" w:color="auto"/>
          </w:divBdr>
        </w:div>
        <w:div w:id="1945262740">
          <w:marLeft w:val="0"/>
          <w:marRight w:val="0"/>
          <w:marTop w:val="0"/>
          <w:marBottom w:val="0"/>
          <w:divBdr>
            <w:top w:val="none" w:sz="0" w:space="0" w:color="auto"/>
            <w:left w:val="none" w:sz="0" w:space="0" w:color="auto"/>
            <w:bottom w:val="none" w:sz="0" w:space="0" w:color="auto"/>
            <w:right w:val="none" w:sz="0" w:space="0" w:color="auto"/>
          </w:divBdr>
        </w:div>
        <w:div w:id="1927761818">
          <w:marLeft w:val="0"/>
          <w:marRight w:val="0"/>
          <w:marTop w:val="0"/>
          <w:marBottom w:val="0"/>
          <w:divBdr>
            <w:top w:val="none" w:sz="0" w:space="0" w:color="auto"/>
            <w:left w:val="none" w:sz="0" w:space="0" w:color="auto"/>
            <w:bottom w:val="none" w:sz="0" w:space="0" w:color="auto"/>
            <w:right w:val="none" w:sz="0" w:space="0" w:color="auto"/>
          </w:divBdr>
        </w:div>
        <w:div w:id="1625580015">
          <w:marLeft w:val="0"/>
          <w:marRight w:val="0"/>
          <w:marTop w:val="0"/>
          <w:marBottom w:val="0"/>
          <w:divBdr>
            <w:top w:val="none" w:sz="0" w:space="0" w:color="auto"/>
            <w:left w:val="none" w:sz="0" w:space="0" w:color="auto"/>
            <w:bottom w:val="none" w:sz="0" w:space="0" w:color="auto"/>
            <w:right w:val="none" w:sz="0" w:space="0" w:color="auto"/>
          </w:divBdr>
        </w:div>
      </w:divsChild>
    </w:div>
    <w:div w:id="203210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siness.rbs.co.uk/business/cards/business-credit-card.html" TargetMode="External"/><Relationship Id="rId18" Type="http://schemas.openxmlformats.org/officeDocument/2006/relationships/hyperlink" Target="mailto:finance.helpline@ed.ac.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d.ac.uk/finance/for-staff/financial-regulations-policies-and-procedures/policies-and-procedures" TargetMode="External"/><Relationship Id="rId7" Type="http://schemas.openxmlformats.org/officeDocument/2006/relationships/settings" Target="settings.xml"/><Relationship Id="rId12" Type="http://schemas.openxmlformats.org/officeDocument/2006/relationships/hyperlink" Target="https://www.edweb.ed.ac.uk/finance/for-staff/financial-regulations-policies-and-procedures/policies-and-procedures" TargetMode="External"/><Relationship Id="rId17" Type="http://schemas.openxmlformats.org/officeDocument/2006/relationships/hyperlink" Target="https://uoe.sharepoint.com/:w:/r/sites/service-excellence-documents/ftp/Finance%20Process%20Standardisation/Design/SD1%20Policies%20Design/Credit%20Card%20Policy/Credit%20Card%20Guidance%20and%20Checklist%20v3%20with%20KS%20%26%20LR%20changes.docx?d=w63f0a10b07c64843ad0cacea60d8c743&amp;csf=1&amp;web=1&amp;e=FelvQ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inance.Helpline@ed.ac.uk" TargetMode="External"/><Relationship Id="rId20" Type="http://schemas.openxmlformats.org/officeDocument/2006/relationships/hyperlink" Target="https://www.ed.ac.uk/sustainability/what-we-do/travel/climate-conscious-travel/sustainable-travel-policy-202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d.ac.uk/finance/for-staff/financial-regulations-policies-and-procedures/policies-and-procedures" TargetMode="External"/><Relationship Id="R9b4bbb1f27174bb5"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Finance.Helpline@ed.ac.uk" TargetMode="External"/><Relationship Id="rId23" Type="http://schemas.openxmlformats.org/officeDocument/2006/relationships/hyperlink" Target="https://www.business.rbs.co.uk/business/security.html" TargetMode="External"/><Relationship Id="Rb5c71c21e2e343c1"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mailto:Finance.helpline@ed.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ac.uk/staff/business-travel/booking-travel" TargetMode="External"/><Relationship Id="rId22" Type="http://schemas.openxmlformats.org/officeDocument/2006/relationships/hyperlink" Target="https://www.ed.ac.uk/staff/business-travel/booking-trav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FE1C3444B5D4BB5F64A1F14810952" ma:contentTypeVersion="13" ma:contentTypeDescription="Create a new document." ma:contentTypeScope="" ma:versionID="ed163c1e5000617d7e054da13f4723ec">
  <xsd:schema xmlns:xsd="http://www.w3.org/2001/XMLSchema" xmlns:xs="http://www.w3.org/2001/XMLSchema" xmlns:p="http://schemas.microsoft.com/office/2006/metadata/properties" xmlns:ns2="http://schemas.microsoft.com/sharepoint/v3/fields" xmlns:ns3="8d59a22d-ed5c-48c2-b6f0-85175ebd166a" xmlns:ns4="adb47e03-2210-4480-82b3-221878e0e272" targetNamespace="http://schemas.microsoft.com/office/2006/metadata/properties" ma:root="true" ma:fieldsID="a750f22710ca8d434c9f02182dda4143" ns2:_="" ns3:_="" ns4:_="">
    <xsd:import namespace="http://schemas.microsoft.com/sharepoint/v3/fields"/>
    <xsd:import namespace="8d59a22d-ed5c-48c2-b6f0-85175ebd166a"/>
    <xsd:import namespace="adb47e03-2210-4480-82b3-221878e0e272"/>
    <xsd:element name="properties">
      <xsd:complexType>
        <xsd:sequence>
          <xsd:element name="documentManagement">
            <xsd:complexType>
              <xsd:all>
                <xsd:element ref="ns2:_Version"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59a22d-ed5c-48c2-b6f0-85175ebd166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47e03-2210-4480-82b3-221878e0e27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8DC1B-307B-4F5E-A660-7805D7869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d59a22d-ed5c-48c2-b6f0-85175ebd166a"/>
    <ds:schemaRef ds:uri="adb47e03-2210-4480-82b3-221878e0e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188F42-0D6A-427E-B2F7-BE3437883A36}">
  <ds:schemaRefs>
    <ds:schemaRef ds:uri="http://schemas.microsoft.com/office/2006/documentManagement/types"/>
    <ds:schemaRef ds:uri="http://purl.org/dc/dcmitype/"/>
    <ds:schemaRef ds:uri="http://purl.org/dc/elements/1.1/"/>
    <ds:schemaRef ds:uri="http://schemas.microsoft.com/sharepoint/v3/fields"/>
    <ds:schemaRef ds:uri="http://schemas.microsoft.com/office/2006/metadata/properties"/>
    <ds:schemaRef ds:uri="http://schemas.microsoft.com/office/infopath/2007/PartnerControls"/>
    <ds:schemaRef ds:uri="8d59a22d-ed5c-48c2-b6f0-85175ebd166a"/>
    <ds:schemaRef ds:uri="http://purl.org/dc/terms/"/>
    <ds:schemaRef ds:uri="http://schemas.openxmlformats.org/package/2006/metadata/core-properties"/>
    <ds:schemaRef ds:uri="adb47e03-2210-4480-82b3-221878e0e272"/>
    <ds:schemaRef ds:uri="http://www.w3.org/XML/1998/namespace"/>
  </ds:schemaRefs>
</ds:datastoreItem>
</file>

<file path=customXml/itemProps3.xml><?xml version="1.0" encoding="utf-8"?>
<ds:datastoreItem xmlns:ds="http://schemas.openxmlformats.org/officeDocument/2006/customXml" ds:itemID="{4892980A-1D77-48EC-B4F4-581EAF5EFC08}">
  <ds:schemaRefs>
    <ds:schemaRef ds:uri="http://schemas.microsoft.com/sharepoint/v3/contenttype/forms"/>
  </ds:schemaRefs>
</ds:datastoreItem>
</file>

<file path=customXml/itemProps4.xml><?xml version="1.0" encoding="utf-8"?>
<ds:datastoreItem xmlns:ds="http://schemas.openxmlformats.org/officeDocument/2006/customXml" ds:itemID="{6F4E46BE-BB24-4B4F-BC2F-03AF91EE2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1951</Words>
  <Characters>11125</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Kerry</dc:creator>
  <cp:keywords/>
  <dc:description/>
  <cp:lastModifiedBy>RICHARDSON Kerry</cp:lastModifiedBy>
  <cp:revision>2</cp:revision>
  <cp:lastPrinted>2021-10-18T11:11:00Z</cp:lastPrinted>
  <dcterms:created xsi:type="dcterms:W3CDTF">2022-04-01T14:55:00Z</dcterms:created>
  <dcterms:modified xsi:type="dcterms:W3CDTF">2022-04-01T14:55:00Z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0x01010037CFE1C3444B5D4BB5F64A1F14810952</vt:lpwstr>
  </property>
</Properties>
</file>