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5433" w14:textId="77777777" w:rsidR="00775D29" w:rsidRPr="00F45A90" w:rsidRDefault="00287104" w:rsidP="00F45A90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 w:rsidRPr="00F45A90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EPSR</w:t>
      </w:r>
      <w:r w:rsidR="00775D29" w:rsidRPr="00F45A90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C Impact Acceleration Account</w:t>
      </w:r>
    </w:p>
    <w:p w14:paraId="0E4AFFAC" w14:textId="2E2D0E60" w:rsidR="00BF4093" w:rsidRPr="00F45A90" w:rsidRDefault="2A4FEB21" w:rsidP="004F646A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UoE</w:t>
      </w:r>
      <w:r w:rsidR="10E8BDB2"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2912AB9"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Partnership</w:t>
      </w:r>
      <w:r w:rsidR="25CD7708"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 Development</w:t>
      </w:r>
      <w:r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6238914F"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 xml:space="preserve">Call </w:t>
      </w:r>
      <w:r w:rsidR="2AFEF61C" w:rsidRPr="0E796A76"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  <w:t>September 2023</w:t>
      </w:r>
    </w:p>
    <w:p w14:paraId="6E3F2679" w14:textId="5004E3C8" w:rsidR="00287104" w:rsidRDefault="00692961" w:rsidP="00F45A90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>Criteria</w:t>
      </w:r>
      <w:r w:rsidR="00287104" w:rsidRPr="00F45A90"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  <w:t xml:space="preserve"> and Guidance Notes</w:t>
      </w:r>
    </w:p>
    <w:p w14:paraId="66A33E1B" w14:textId="77777777" w:rsidR="006C3620" w:rsidRDefault="006C3620" w:rsidP="00F45A90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4"/>
          <w:lang w:eastAsia="en-GB"/>
        </w:rPr>
      </w:pPr>
    </w:p>
    <w:p w14:paraId="291632AE" w14:textId="22B0F9E8" w:rsidR="007419C2" w:rsidRPr="00F45A90" w:rsidRDefault="524FCD58" w:rsidP="00F45A90">
      <w:pPr>
        <w:spacing w:after="0" w:line="238" w:lineRule="atLeast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Application deadline: Friday </w:t>
      </w:r>
      <w:r w:rsidR="1EB1D3B3">
        <w:rPr>
          <w:rStyle w:val="normaltextrun"/>
          <w:rFonts w:ascii="Calibri" w:hAnsi="Calibri" w:cs="Calibri"/>
          <w:color w:val="000000"/>
          <w:shd w:val="clear" w:color="auto" w:fill="FFFFFF"/>
        </w:rPr>
        <w:t>1</w:t>
      </w:r>
      <w:r w:rsidR="0579E9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4823523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September 2023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at 12 noon. Submit to </w:t>
      </w:r>
      <w:hyperlink r:id="rId11" w:tgtFrame="_blank" w:history="1">
        <w:r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EPSRCIAA@ei.ed.ac.uk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7B3EA9E" w14:textId="0BDAB6EA" w:rsidR="00346041" w:rsidRDefault="00773484" w:rsidP="00C66CC1">
      <w:pPr>
        <w:pStyle w:val="Heading1"/>
        <w:spacing w:after="240"/>
      </w:pPr>
      <w:bookmarkStart w:id="0" w:name="_Toc111122734"/>
      <w:r>
        <w:t>Table of contents</w:t>
      </w:r>
      <w:bookmarkEnd w:id="0"/>
    </w:p>
    <w:bookmarkStart w:id="1" w:name="AssessmentProcess"/>
    <w:p w14:paraId="68279550" w14:textId="3719D627" w:rsidR="00D8205A" w:rsidRDefault="006C3620">
      <w:pPr>
        <w:pStyle w:val="TOC1"/>
        <w:rPr>
          <w:rFonts w:eastAsiaTheme="minorEastAsia"/>
          <w:noProof/>
          <w:lang w:eastAsia="en-GB"/>
        </w:rPr>
      </w:pPr>
      <w:r>
        <w:rPr>
          <w:b/>
          <w:color w:val="1F497D" w:themeColor="text2"/>
          <w:sz w:val="24"/>
        </w:rPr>
        <w:fldChar w:fldCharType="begin"/>
      </w:r>
      <w:r>
        <w:rPr>
          <w:b/>
          <w:color w:val="1F497D" w:themeColor="text2"/>
          <w:sz w:val="24"/>
        </w:rPr>
        <w:instrText xml:space="preserve"> TOC \o "1-3" \h \z \u </w:instrText>
      </w:r>
      <w:r>
        <w:rPr>
          <w:b/>
          <w:color w:val="1F497D" w:themeColor="text2"/>
          <w:sz w:val="24"/>
        </w:rPr>
        <w:fldChar w:fldCharType="separate"/>
      </w:r>
      <w:hyperlink w:anchor="_Toc111122734" w:history="1">
        <w:r w:rsidR="00D8205A" w:rsidRPr="00EB3CE3">
          <w:rPr>
            <w:rStyle w:val="Hyperlink"/>
            <w:noProof/>
          </w:rPr>
          <w:t>Table of contents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_Toc111122734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1</w:t>
        </w:r>
        <w:r w:rsidR="00D8205A">
          <w:rPr>
            <w:noProof/>
            <w:webHidden/>
          </w:rPr>
          <w:fldChar w:fldCharType="end"/>
        </w:r>
      </w:hyperlink>
    </w:p>
    <w:p w14:paraId="51980756" w14:textId="486D03BE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35" w:history="1">
        <w:r w:rsidR="00D8205A" w:rsidRPr="00EB3CE3">
          <w:rPr>
            <w:rStyle w:val="Hyperlink"/>
            <w:noProof/>
          </w:rPr>
          <w:t>SUMMARY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_Toc111122735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1</w:t>
        </w:r>
        <w:r w:rsidR="00D8205A">
          <w:rPr>
            <w:noProof/>
            <w:webHidden/>
          </w:rPr>
          <w:fldChar w:fldCharType="end"/>
        </w:r>
      </w:hyperlink>
    </w:p>
    <w:p w14:paraId="505E4FF3" w14:textId="6431BF8D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36" w:history="1">
        <w:r w:rsidR="00D8205A" w:rsidRPr="00EB3CE3">
          <w:rPr>
            <w:rStyle w:val="Hyperlink"/>
            <w:noProof/>
          </w:rPr>
          <w:t>SCOPE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_Toc111122736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2</w:t>
        </w:r>
        <w:r w:rsidR="00D8205A">
          <w:rPr>
            <w:noProof/>
            <w:webHidden/>
          </w:rPr>
          <w:fldChar w:fldCharType="end"/>
        </w:r>
      </w:hyperlink>
    </w:p>
    <w:p w14:paraId="4D2DF1B9" w14:textId="099AD34B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37" w:history="1">
        <w:r w:rsidR="00D8205A" w:rsidRPr="00EB3CE3">
          <w:rPr>
            <w:rStyle w:val="Hyperlink"/>
            <w:noProof/>
          </w:rPr>
          <w:t>What is a suitable partnership?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_Toc111122737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2</w:t>
        </w:r>
        <w:r w:rsidR="00D8205A">
          <w:rPr>
            <w:noProof/>
            <w:webHidden/>
          </w:rPr>
          <w:fldChar w:fldCharType="end"/>
        </w:r>
      </w:hyperlink>
    </w:p>
    <w:p w14:paraId="769F14E1" w14:textId="572BD58E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38" w:history="1">
        <w:r w:rsidR="00D8205A" w:rsidRPr="00EB3CE3">
          <w:rPr>
            <w:rStyle w:val="Hyperlink"/>
            <w:noProof/>
          </w:rPr>
          <w:t>How mature is the partnership?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_Toc111122738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2</w:t>
        </w:r>
        <w:r w:rsidR="00D8205A">
          <w:rPr>
            <w:noProof/>
            <w:webHidden/>
          </w:rPr>
          <w:fldChar w:fldCharType="end"/>
        </w:r>
      </w:hyperlink>
    </w:p>
    <w:p w14:paraId="4FF0F14D" w14:textId="38915B28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39" w:history="1">
        <w:r w:rsidR="00D8205A" w:rsidRPr="00EB3CE3">
          <w:rPr>
            <w:rStyle w:val="Hyperlink"/>
            <w:noProof/>
          </w:rPr>
          <w:t>APPLICATION PROCESS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_Toc111122739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3</w:t>
        </w:r>
        <w:r w:rsidR="00D8205A">
          <w:rPr>
            <w:noProof/>
            <w:webHidden/>
          </w:rPr>
          <w:fldChar w:fldCharType="end"/>
        </w:r>
      </w:hyperlink>
    </w:p>
    <w:p w14:paraId="6965F0A9" w14:textId="6E39A8D5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40" w:history="1">
        <w:r w:rsidR="00D8205A" w:rsidRPr="00EB3CE3">
          <w:rPr>
            <w:rStyle w:val="Hyperlink"/>
            <w:noProof/>
          </w:rPr>
          <w:t>TERMS AND CONDITIONS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_Toc111122740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4</w:t>
        </w:r>
        <w:r w:rsidR="00D8205A">
          <w:rPr>
            <w:noProof/>
            <w:webHidden/>
          </w:rPr>
          <w:fldChar w:fldCharType="end"/>
        </w:r>
      </w:hyperlink>
    </w:p>
    <w:p w14:paraId="06CE6D7F" w14:textId="1A4AA8E8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41" w:history="1">
        <w:r w:rsidR="00D8205A" w:rsidRPr="00EB3CE3">
          <w:rPr>
            <w:rStyle w:val="Hyperlink"/>
            <w:noProof/>
          </w:rPr>
          <w:t>Strategic alignment, proposal themes and content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_Toc111122741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4</w:t>
        </w:r>
        <w:r w:rsidR="00D8205A">
          <w:rPr>
            <w:noProof/>
            <w:webHidden/>
          </w:rPr>
          <w:fldChar w:fldCharType="end"/>
        </w:r>
      </w:hyperlink>
    </w:p>
    <w:p w14:paraId="384B5C68" w14:textId="7A291C7C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42" w:history="1">
        <w:r w:rsidR="00D8205A" w:rsidRPr="00EB3CE3">
          <w:rPr>
            <w:rStyle w:val="Hyperlink"/>
            <w:noProof/>
          </w:rPr>
          <w:t>Partner organisations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_Toc111122742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4</w:t>
        </w:r>
        <w:r w:rsidR="00D8205A">
          <w:rPr>
            <w:noProof/>
            <w:webHidden/>
          </w:rPr>
          <w:fldChar w:fldCharType="end"/>
        </w:r>
      </w:hyperlink>
    </w:p>
    <w:p w14:paraId="3E24CF42" w14:textId="42DBCF25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43" w:history="1">
        <w:r w:rsidR="00D8205A" w:rsidRPr="00EB3CE3">
          <w:rPr>
            <w:rStyle w:val="Hyperlink"/>
            <w:noProof/>
          </w:rPr>
          <w:t>Internal requirements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_Toc111122743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5</w:t>
        </w:r>
        <w:r w:rsidR="00D8205A">
          <w:rPr>
            <w:noProof/>
            <w:webHidden/>
          </w:rPr>
          <w:fldChar w:fldCharType="end"/>
        </w:r>
      </w:hyperlink>
    </w:p>
    <w:p w14:paraId="252FE9C6" w14:textId="63D4AEA8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44" w:history="1">
        <w:r w:rsidR="00D8205A" w:rsidRPr="00EB3CE3">
          <w:rPr>
            <w:rStyle w:val="Hyperlink"/>
            <w:noProof/>
          </w:rPr>
          <w:t>Proposal duration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_Toc111122744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5</w:t>
        </w:r>
        <w:r w:rsidR="00D8205A">
          <w:rPr>
            <w:noProof/>
            <w:webHidden/>
          </w:rPr>
          <w:fldChar w:fldCharType="end"/>
        </w:r>
      </w:hyperlink>
    </w:p>
    <w:p w14:paraId="3A281FC1" w14:textId="63239250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45" w:history="1">
        <w:r w:rsidR="00D8205A" w:rsidRPr="00EB3CE3">
          <w:rPr>
            <w:rStyle w:val="Hyperlink"/>
            <w:noProof/>
          </w:rPr>
          <w:t>PROPOSAL AND ACTIVITY COSTING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_Toc111122745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5</w:t>
        </w:r>
        <w:r w:rsidR="00D8205A">
          <w:rPr>
            <w:noProof/>
            <w:webHidden/>
          </w:rPr>
          <w:fldChar w:fldCharType="end"/>
        </w:r>
      </w:hyperlink>
    </w:p>
    <w:p w14:paraId="30570C40" w14:textId="15B13A03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46" w:history="1">
        <w:r w:rsidR="00D8205A" w:rsidRPr="00EB3CE3">
          <w:rPr>
            <w:rStyle w:val="Hyperlink"/>
            <w:noProof/>
          </w:rPr>
          <w:t>CONFLICTS OF INTEREST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_Toc111122746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6</w:t>
        </w:r>
        <w:r w:rsidR="00D8205A">
          <w:rPr>
            <w:noProof/>
            <w:webHidden/>
          </w:rPr>
          <w:fldChar w:fldCharType="end"/>
        </w:r>
      </w:hyperlink>
    </w:p>
    <w:p w14:paraId="167DC4A0" w14:textId="00B8D17A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47" w:history="1">
        <w:r w:rsidR="00D8205A" w:rsidRPr="00EB3CE3">
          <w:rPr>
            <w:rStyle w:val="Hyperlink"/>
            <w:noProof/>
          </w:rPr>
          <w:t>AWARD CONDITIONS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_Toc111122747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6</w:t>
        </w:r>
        <w:r w:rsidR="00D8205A">
          <w:rPr>
            <w:noProof/>
            <w:webHidden/>
          </w:rPr>
          <w:fldChar w:fldCharType="end"/>
        </w:r>
      </w:hyperlink>
    </w:p>
    <w:p w14:paraId="71ECEBA3" w14:textId="61D3814B" w:rsidR="00D8205A" w:rsidRDefault="00000000">
      <w:pPr>
        <w:pStyle w:val="TOC2"/>
        <w:rPr>
          <w:rFonts w:eastAsiaTheme="minorEastAsia"/>
          <w:noProof/>
          <w:lang w:eastAsia="en-GB"/>
        </w:rPr>
      </w:pPr>
      <w:hyperlink w:anchor="_Toc111122748" w:history="1">
        <w:r w:rsidR="00D8205A" w:rsidRPr="00EB3CE3">
          <w:rPr>
            <w:rStyle w:val="Hyperlink"/>
            <w:noProof/>
          </w:rPr>
          <w:t>SUBMISSION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_Toc111122748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6</w:t>
        </w:r>
        <w:r w:rsidR="00D8205A">
          <w:rPr>
            <w:noProof/>
            <w:webHidden/>
          </w:rPr>
          <w:fldChar w:fldCharType="end"/>
        </w:r>
      </w:hyperlink>
    </w:p>
    <w:p w14:paraId="2918D14A" w14:textId="32FAF106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49" w:history="1">
        <w:r w:rsidR="00D8205A" w:rsidRPr="00EB3CE3">
          <w:rPr>
            <w:rStyle w:val="Hyperlink"/>
            <w:noProof/>
          </w:rPr>
          <w:t>Appendix 1: Using EPSRC IAA to develop partnerships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_Toc111122749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7</w:t>
        </w:r>
        <w:r w:rsidR="00D8205A">
          <w:rPr>
            <w:noProof/>
            <w:webHidden/>
          </w:rPr>
          <w:fldChar w:fldCharType="end"/>
        </w:r>
      </w:hyperlink>
    </w:p>
    <w:p w14:paraId="3821CE23" w14:textId="4E3677D4" w:rsidR="00D8205A" w:rsidRDefault="00000000">
      <w:pPr>
        <w:pStyle w:val="TOC3"/>
        <w:tabs>
          <w:tab w:val="right" w:leader="dot" w:pos="9016"/>
        </w:tabs>
        <w:rPr>
          <w:rFonts w:eastAsiaTheme="minorEastAsia"/>
          <w:noProof/>
          <w:lang w:eastAsia="en-GB"/>
        </w:rPr>
      </w:pPr>
      <w:hyperlink w:anchor="_Toc111122750" w:history="1">
        <w:r w:rsidR="00D8205A" w:rsidRPr="00EB3CE3">
          <w:rPr>
            <w:rStyle w:val="Hyperlink"/>
            <w:noProof/>
          </w:rPr>
          <w:t>Appendix 2: Relationship maturity levels and their characteristics</w:t>
        </w:r>
        <w:r w:rsidR="00D8205A">
          <w:rPr>
            <w:noProof/>
            <w:webHidden/>
          </w:rPr>
          <w:tab/>
        </w:r>
        <w:r w:rsidR="00D8205A">
          <w:rPr>
            <w:noProof/>
            <w:webHidden/>
          </w:rPr>
          <w:fldChar w:fldCharType="begin"/>
        </w:r>
        <w:r w:rsidR="00D8205A">
          <w:rPr>
            <w:noProof/>
            <w:webHidden/>
          </w:rPr>
          <w:instrText xml:space="preserve"> PAGEREF _Toc111122750 \h </w:instrText>
        </w:r>
        <w:r w:rsidR="00D8205A">
          <w:rPr>
            <w:noProof/>
            <w:webHidden/>
          </w:rPr>
        </w:r>
        <w:r w:rsidR="00D8205A">
          <w:rPr>
            <w:noProof/>
            <w:webHidden/>
          </w:rPr>
          <w:fldChar w:fldCharType="separate"/>
        </w:r>
        <w:r w:rsidR="00D8205A">
          <w:rPr>
            <w:noProof/>
            <w:webHidden/>
          </w:rPr>
          <w:t>8</w:t>
        </w:r>
        <w:r w:rsidR="00D8205A">
          <w:rPr>
            <w:noProof/>
            <w:webHidden/>
          </w:rPr>
          <w:fldChar w:fldCharType="end"/>
        </w:r>
      </w:hyperlink>
    </w:p>
    <w:p w14:paraId="59516D67" w14:textId="08AE9A65" w:rsidR="006C3620" w:rsidRDefault="006C3620" w:rsidP="00D134F6">
      <w:pPr>
        <w:jc w:val="both"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fldChar w:fldCharType="end"/>
      </w:r>
    </w:p>
    <w:p w14:paraId="6B3477C0" w14:textId="5E8E82C4" w:rsidR="002340E2" w:rsidRDefault="00B0498A" w:rsidP="006C3620">
      <w:pPr>
        <w:pStyle w:val="Heading2"/>
      </w:pPr>
      <w:bookmarkStart w:id="2" w:name="_Toc111122735"/>
      <w:r>
        <w:t>SUMMARY</w:t>
      </w:r>
      <w:bookmarkEnd w:id="2"/>
    </w:p>
    <w:p w14:paraId="56E2FBDB" w14:textId="113727C7" w:rsidR="002340E2" w:rsidRDefault="00E36F31" w:rsidP="00D134F6">
      <w:pPr>
        <w:jc w:val="both"/>
      </w:pPr>
      <w:r>
        <w:t>The</w:t>
      </w:r>
      <w:r w:rsidR="002340E2" w:rsidRPr="002340E2">
        <w:t xml:space="preserve"> EPSRC IAA</w:t>
      </w:r>
      <w:r w:rsidR="002340E2">
        <w:t xml:space="preserve"> seeks to support the University of Edinburgh’s ambition to increase </w:t>
      </w:r>
      <w:r w:rsidR="00E64C44">
        <w:t>its</w:t>
      </w:r>
      <w:r w:rsidR="002340E2">
        <w:t xml:space="preserve"> number of strategic partners</w:t>
      </w:r>
      <w:r w:rsidR="002526F3">
        <w:t xml:space="preserve"> in industry or government sectors</w:t>
      </w:r>
      <w:r w:rsidR="00E64C44">
        <w:t xml:space="preserve">. Funds are available to provide resources for engagement initiatives that will accelerate the </w:t>
      </w:r>
      <w:r w:rsidR="002340E2">
        <w:t xml:space="preserve">development </w:t>
      </w:r>
      <w:r w:rsidR="00E64C44">
        <w:t>a relationship, which shows the signs of being long</w:t>
      </w:r>
      <w:r w:rsidR="00024603">
        <w:t xml:space="preserve"> </w:t>
      </w:r>
      <w:r w:rsidR="00E64C44">
        <w:t>term</w:t>
      </w:r>
      <w:r w:rsidR="00EC03E0">
        <w:t>,</w:t>
      </w:r>
      <w:r w:rsidR="00E64C44">
        <w:t xml:space="preserve"> multidisciplinary</w:t>
      </w:r>
      <w:r w:rsidR="00EC03E0">
        <w:t xml:space="preserve"> and large scale</w:t>
      </w:r>
      <w:r w:rsidR="00E64C44">
        <w:t>, and has the potential to be</w:t>
      </w:r>
      <w:r w:rsidR="001F2A1C">
        <w:t>come</w:t>
      </w:r>
      <w:r w:rsidR="00CA3C4D">
        <w:t xml:space="preserve"> more</w:t>
      </w:r>
      <w:r w:rsidR="00E64C44">
        <w:t xml:space="preserve"> strategic (in the medium to long term). </w:t>
      </w:r>
    </w:p>
    <w:p w14:paraId="328223C4" w14:textId="40D49E62" w:rsidR="00FB1F1F" w:rsidRPr="002340E2" w:rsidRDefault="00B85DB3" w:rsidP="00D134F6">
      <w:pPr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Applicants are </w:t>
      </w:r>
      <w:r w:rsidRPr="00740572">
        <w:rPr>
          <w:rStyle w:val="normaltextrun"/>
          <w:rFonts w:ascii="Calibri" w:hAnsi="Calibri" w:cs="Calibri"/>
          <w:color w:val="000000"/>
          <w:shd w:val="clear" w:color="auto" w:fill="FFFFFF"/>
        </w:rPr>
        <w:t>strongly encouraged to contact the</w:t>
      </w:r>
      <w:r w:rsidR="009C0E51" w:rsidRPr="00740572">
        <w:rPr>
          <w:rStyle w:val="normaltextrun"/>
          <w:rFonts w:ascii="Calibri" w:hAnsi="Calibri" w:cs="Calibri"/>
          <w:color w:val="000000"/>
          <w:shd w:val="clear" w:color="auto" w:fill="FFFFFF"/>
        </w:rPr>
        <w:t>ir School</w:t>
      </w:r>
      <w:r w:rsidR="00322DF9" w:rsidRPr="007405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leadership, finance team and </w:t>
      </w:r>
      <w:r w:rsidR="009C0E51" w:rsidRPr="00740572">
        <w:rPr>
          <w:rStyle w:val="normaltextrun"/>
          <w:rFonts w:ascii="Calibri" w:hAnsi="Calibri" w:cs="Calibri"/>
          <w:color w:val="000000"/>
          <w:shd w:val="clear" w:color="auto" w:fill="FFFFFF"/>
        </w:rPr>
        <w:t>lead</w:t>
      </w:r>
      <w:r w:rsidRPr="0074057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2" w:tgtFrame="_blank" w:history="1">
        <w:r w:rsidRPr="00740572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Business Development or Technology Transfer colleague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at the earliest possible stage, to discuss the proposed project</w:t>
      </w:r>
      <w:r w:rsidR="00AA076C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322DF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</w:t>
      </w:r>
      <w:r w:rsidR="00506662">
        <w:rPr>
          <w:rStyle w:val="normaltextrun"/>
          <w:rFonts w:ascii="Calibri" w:hAnsi="Calibri" w:cs="Calibri"/>
          <w:color w:val="000000"/>
          <w:shd w:val="clear" w:color="auto" w:fill="FFFFFF"/>
        </w:rPr>
        <w:t>access necessary support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CE4EB2E" w14:textId="3A380D61" w:rsidR="00FC6F9A" w:rsidRDefault="006C3D33" w:rsidP="006C3620">
      <w:pPr>
        <w:pStyle w:val="Heading2"/>
      </w:pPr>
      <w:bookmarkStart w:id="3" w:name="_Toc111122736"/>
      <w:r>
        <w:lastRenderedPageBreak/>
        <w:t>SCOPE</w:t>
      </w:r>
      <w:bookmarkEnd w:id="3"/>
    </w:p>
    <w:p w14:paraId="551F2FC2" w14:textId="62FB8854" w:rsidR="00FC6F9A" w:rsidRPr="00FF5073" w:rsidRDefault="00B94AF4" w:rsidP="006C3620">
      <w:pPr>
        <w:pStyle w:val="Heading3"/>
      </w:pPr>
      <w:bookmarkStart w:id="4" w:name="_Toc111122737"/>
      <w:r>
        <w:t>What is a suitable partnership</w:t>
      </w:r>
      <w:r w:rsidR="006826A2">
        <w:t>?</w:t>
      </w:r>
      <w:bookmarkEnd w:id="4"/>
      <w:r w:rsidR="00FC6F9A" w:rsidRPr="00FF5073">
        <w:t xml:space="preserve"> </w:t>
      </w:r>
    </w:p>
    <w:p w14:paraId="2877FC78" w14:textId="2257D303" w:rsidR="00FC6F9A" w:rsidRDefault="342CE771" w:rsidP="00FC6F9A">
      <w:pPr>
        <w:jc w:val="both"/>
      </w:pPr>
      <w:r>
        <w:t xml:space="preserve">Some </w:t>
      </w:r>
      <w:r w:rsidR="2BDA8F59">
        <w:t xml:space="preserve">of the University’s </w:t>
      </w:r>
      <w:r w:rsidR="028515C2">
        <w:t xml:space="preserve">partners </w:t>
      </w:r>
      <w:r w:rsidR="3C59A384">
        <w:t xml:space="preserve">are </w:t>
      </w:r>
      <w:r w:rsidR="175D6087">
        <w:t xml:space="preserve">suitable for more strategic </w:t>
      </w:r>
      <w:r w:rsidR="2F777219">
        <w:t>partnerships</w:t>
      </w:r>
      <w:r w:rsidR="2BDA8F59">
        <w:t xml:space="preserve">. </w:t>
      </w:r>
      <w:r w:rsidR="3A853BA5">
        <w:t>Typically</w:t>
      </w:r>
      <w:r w:rsidR="3201C786">
        <w:t xml:space="preserve">, these partnerships will be </w:t>
      </w:r>
      <w:r w:rsidR="38A62786">
        <w:t xml:space="preserve">working towards a </w:t>
      </w:r>
      <w:r w:rsidR="2BDA8F59">
        <w:t>joint long</w:t>
      </w:r>
      <w:r w:rsidR="5A4E2409">
        <w:t>-</w:t>
      </w:r>
      <w:r w:rsidR="2BDA8F59">
        <w:t>term strateg</w:t>
      </w:r>
      <w:r w:rsidR="38A62786">
        <w:t>y</w:t>
      </w:r>
      <w:r w:rsidR="2BDA8F59">
        <w:t xml:space="preserve"> and </w:t>
      </w:r>
      <w:r w:rsidR="38A62786">
        <w:t xml:space="preserve">will </w:t>
      </w:r>
      <w:r w:rsidR="2BDA8F59">
        <w:t xml:space="preserve">be </w:t>
      </w:r>
      <w:r w:rsidR="10E8BDB2">
        <w:t>recognised</w:t>
      </w:r>
      <w:r w:rsidR="2BDA8F59">
        <w:t xml:space="preserve"> across </w:t>
      </w:r>
      <w:r w:rsidR="38D05BA0">
        <w:t>different parts of the University</w:t>
      </w:r>
      <w:r w:rsidR="2BDA8F59">
        <w:t xml:space="preserve">. </w:t>
      </w:r>
      <w:r w:rsidR="01536448">
        <w:t xml:space="preserve">Partners that may be suitable for a more strategic </w:t>
      </w:r>
      <w:r w:rsidR="2CC09335">
        <w:t xml:space="preserve">engagement </w:t>
      </w:r>
      <w:r w:rsidR="01536448">
        <w:t>are characterised by</w:t>
      </w:r>
      <w:r w:rsidR="2BDA8F59">
        <w:t>:</w:t>
      </w:r>
    </w:p>
    <w:p w14:paraId="6D28A390" w14:textId="76E307D4" w:rsidR="00070B3A" w:rsidRDefault="00070B3A" w:rsidP="00070B3A">
      <w:pPr>
        <w:pStyle w:val="ListParagraph"/>
        <w:numPr>
          <w:ilvl w:val="0"/>
          <w:numId w:val="25"/>
        </w:numPr>
        <w:spacing w:after="160" w:line="259" w:lineRule="auto"/>
        <w:jc w:val="both"/>
      </w:pPr>
      <w:r>
        <w:t>Having the ability to</w:t>
      </w:r>
      <w:r w:rsidRPr="00FC6F9A">
        <w:t xml:space="preserve"> </w:t>
      </w:r>
      <w:r>
        <w:t xml:space="preserve">invest significant new sums into </w:t>
      </w:r>
      <w:proofErr w:type="gramStart"/>
      <w:r>
        <w:t>University</w:t>
      </w:r>
      <w:proofErr w:type="gramEnd"/>
      <w:r>
        <w:t xml:space="preserve"> activity (£m scale cash and in</w:t>
      </w:r>
      <w:r w:rsidR="001C7556">
        <w:t>-</w:t>
      </w:r>
      <w:r>
        <w:t>kind), including via access to their supply chains and clients</w:t>
      </w:r>
    </w:p>
    <w:p w14:paraId="4B17BF9A" w14:textId="77777777" w:rsidR="00070B3A" w:rsidRDefault="00070B3A" w:rsidP="00070B3A">
      <w:pPr>
        <w:pStyle w:val="ListParagraph"/>
        <w:numPr>
          <w:ilvl w:val="0"/>
          <w:numId w:val="25"/>
        </w:numPr>
        <w:spacing w:after="160" w:line="259" w:lineRule="auto"/>
        <w:jc w:val="both"/>
      </w:pPr>
      <w:r>
        <w:t>The ability and willingness to work in partnership to attract further significant investment (through for example, influencing Government and joint bidding)</w:t>
      </w:r>
    </w:p>
    <w:p w14:paraId="691E4D30" w14:textId="77777777" w:rsidR="00070B3A" w:rsidRDefault="00070B3A" w:rsidP="00070B3A">
      <w:pPr>
        <w:pStyle w:val="ListParagraph"/>
        <w:numPr>
          <w:ilvl w:val="0"/>
          <w:numId w:val="25"/>
        </w:numPr>
        <w:spacing w:after="160" w:line="259" w:lineRule="auto"/>
        <w:jc w:val="both"/>
      </w:pPr>
      <w:r>
        <w:t xml:space="preserve">Deriving long-term value and synergy from a close strategic relationship with the University </w:t>
      </w:r>
    </w:p>
    <w:p w14:paraId="4A8406E6" w14:textId="2D4404BA" w:rsidR="00070B3A" w:rsidRDefault="00070B3A" w:rsidP="00070B3A">
      <w:pPr>
        <w:pStyle w:val="ListParagraph"/>
        <w:numPr>
          <w:ilvl w:val="0"/>
          <w:numId w:val="25"/>
        </w:numPr>
        <w:spacing w:after="160" w:line="259" w:lineRule="auto"/>
        <w:jc w:val="both"/>
      </w:pPr>
      <w:r>
        <w:t xml:space="preserve">A need or identified opportunity and willingness to work across College/University </w:t>
      </w:r>
      <w:proofErr w:type="gramStart"/>
      <w:r>
        <w:t>disciplines</w:t>
      </w:r>
      <w:proofErr w:type="gramEnd"/>
    </w:p>
    <w:p w14:paraId="460984F0" w14:textId="77777777" w:rsidR="00070B3A" w:rsidRDefault="00070B3A" w:rsidP="00070B3A">
      <w:pPr>
        <w:pStyle w:val="ListParagraph"/>
        <w:numPr>
          <w:ilvl w:val="0"/>
          <w:numId w:val="25"/>
        </w:numPr>
        <w:spacing w:after="160" w:line="259" w:lineRule="auto"/>
        <w:jc w:val="both"/>
      </w:pPr>
      <w:r>
        <w:t xml:space="preserve">Could credibly build the University partnership into their long-term ambition and </w:t>
      </w:r>
      <w:proofErr w:type="gramStart"/>
      <w:r>
        <w:t>strategy</w:t>
      </w:r>
      <w:proofErr w:type="gramEnd"/>
    </w:p>
    <w:p w14:paraId="0AFD414A" w14:textId="77777777" w:rsidR="005F5D4B" w:rsidRDefault="683A9E21" w:rsidP="005F5D4B">
      <w:pPr>
        <w:spacing w:after="160" w:line="259" w:lineRule="auto"/>
        <w:jc w:val="both"/>
      </w:pPr>
      <w:r>
        <w:t xml:space="preserve">In addition to direct investment, </w:t>
      </w:r>
      <w:r w:rsidR="5A4E2409" w:rsidRPr="0E796A76">
        <w:rPr>
          <w:b/>
          <w:bCs/>
        </w:rPr>
        <w:t>Figure 1</w:t>
      </w:r>
      <w:r w:rsidR="38E0DF26">
        <w:t xml:space="preserve"> below highlights the </w:t>
      </w:r>
      <w:r>
        <w:t xml:space="preserve">range </w:t>
      </w:r>
      <w:r w:rsidR="38E0DF26">
        <w:t>of a</w:t>
      </w:r>
      <w:r>
        <w:t>ctivity a</w:t>
      </w:r>
      <w:r w:rsidR="38E0DF26">
        <w:t xml:space="preserve"> strategic partnership</w:t>
      </w:r>
      <w:r>
        <w:t xml:space="preserve"> will influence.</w:t>
      </w:r>
    </w:p>
    <w:p w14:paraId="0BB3626B" w14:textId="1ECF9662" w:rsidR="0E796A76" w:rsidRDefault="0E796A76" w:rsidP="0E796A76">
      <w:pPr>
        <w:spacing w:after="160" w:line="259" w:lineRule="auto"/>
        <w:jc w:val="both"/>
      </w:pPr>
    </w:p>
    <w:p w14:paraId="154D920D" w14:textId="1214F2C4" w:rsidR="00024603" w:rsidRPr="00FF5073" w:rsidRDefault="5A4E2409" w:rsidP="0E796A76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69576AD9" wp14:editId="1157865C">
            <wp:extent cx="5731510" cy="29159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796A76">
        <w:rPr>
          <w:i/>
          <w:iCs/>
        </w:rPr>
        <w:t>Figure 1</w:t>
      </w:r>
    </w:p>
    <w:p w14:paraId="5BE8BD29" w14:textId="749E543C" w:rsidR="00CF5A74" w:rsidRPr="00FF5073" w:rsidRDefault="00CF5A74" w:rsidP="00D134F6">
      <w:pPr>
        <w:jc w:val="both"/>
        <w:rPr>
          <w:b/>
        </w:rPr>
      </w:pPr>
      <w:r w:rsidRPr="00FF5073">
        <w:t>Examples</w:t>
      </w:r>
      <w:r w:rsidR="003E7503">
        <w:t xml:space="preserve"> of the structure of</w:t>
      </w:r>
      <w:r w:rsidRPr="00FF5073">
        <w:t xml:space="preserve"> </w:t>
      </w:r>
      <w:r w:rsidR="00E55CC0">
        <w:t>previous partnership development projects</w:t>
      </w:r>
      <w:r w:rsidRPr="00FF5073">
        <w:t xml:space="preserve"> can be found in </w:t>
      </w:r>
      <w:r w:rsidRPr="00FF5073">
        <w:rPr>
          <w:b/>
        </w:rPr>
        <w:t>Appendix 1.</w:t>
      </w:r>
    </w:p>
    <w:p w14:paraId="0AADAFD4" w14:textId="79429543" w:rsidR="00901152" w:rsidRPr="00FF5073" w:rsidRDefault="00BB1884" w:rsidP="006C3620">
      <w:pPr>
        <w:pStyle w:val="Heading3"/>
      </w:pPr>
      <w:bookmarkStart w:id="5" w:name="_Toc111122738"/>
      <w:r>
        <w:t>How mature is the partnership</w:t>
      </w:r>
      <w:r w:rsidR="00901152" w:rsidRPr="00FF5073">
        <w:t>?</w:t>
      </w:r>
      <w:bookmarkEnd w:id="5"/>
    </w:p>
    <w:p w14:paraId="443F1B00" w14:textId="551C04D9" w:rsidR="008C575C" w:rsidRDefault="7AAF3EF4" w:rsidP="00777CD3">
      <w:pPr>
        <w:pStyle w:val="ListParagraph"/>
        <w:ind w:left="0"/>
        <w:jc w:val="both"/>
      </w:pPr>
      <w:r>
        <w:t>The p</w:t>
      </w:r>
      <w:r w:rsidR="6FA65AA3">
        <w:t xml:space="preserve">artnership development </w:t>
      </w:r>
      <w:r w:rsidR="3249C4C6">
        <w:t xml:space="preserve">proposal </w:t>
      </w:r>
      <w:r w:rsidR="6FA65AA3">
        <w:t>should be appropriate to the maturity of the relationship</w:t>
      </w:r>
      <w:r w:rsidR="683A9E21">
        <w:t xml:space="preserve">.  </w:t>
      </w:r>
      <w:r w:rsidR="5A4E2409" w:rsidRPr="0E796A76">
        <w:rPr>
          <w:b/>
          <w:bCs/>
        </w:rPr>
        <w:t>Figure 2</w:t>
      </w:r>
      <w:r w:rsidR="683A9E21">
        <w:t xml:space="preserve"> </w:t>
      </w:r>
      <w:r w:rsidR="13AE3CCA">
        <w:t>presents a model with different levels o</w:t>
      </w:r>
      <w:r w:rsidR="64D7DEDA">
        <w:t>f</w:t>
      </w:r>
      <w:r w:rsidR="13AE3CCA">
        <w:t xml:space="preserve"> maturity</w:t>
      </w:r>
      <w:r w:rsidR="683A9E21">
        <w:t xml:space="preserve">, depending on the extent of the ongoing relationship.  </w:t>
      </w:r>
      <w:r w:rsidR="76AD2EF4" w:rsidRPr="0E796A76">
        <w:rPr>
          <w:b/>
          <w:bCs/>
        </w:rPr>
        <w:t>Appendix 2</w:t>
      </w:r>
      <w:r w:rsidR="76AD2EF4">
        <w:t xml:space="preserve"> characterises the various levels in more detail.  </w:t>
      </w:r>
      <w:r w:rsidR="683A9E21" w:rsidRPr="0E796A76">
        <w:rPr>
          <w:i/>
          <w:iCs/>
        </w:rPr>
        <w:t>Business as usual</w:t>
      </w:r>
      <w:r w:rsidR="683A9E21">
        <w:t xml:space="preserve"> typically reflects levels 1-3.  The</w:t>
      </w:r>
      <w:r w:rsidR="23D7AE35">
        <w:t xml:space="preserve"> aim of the</w:t>
      </w:r>
      <w:r w:rsidR="683A9E21">
        <w:t xml:space="preserve"> </w:t>
      </w:r>
      <w:r w:rsidR="4968B140">
        <w:t xml:space="preserve">Partnership Development </w:t>
      </w:r>
      <w:r w:rsidR="23D7AE35">
        <w:t xml:space="preserve">is to support </w:t>
      </w:r>
      <w:r w:rsidR="64D7DEDA">
        <w:t>academics,</w:t>
      </w:r>
      <w:r w:rsidR="23D7AE35">
        <w:t xml:space="preserve"> their </w:t>
      </w:r>
      <w:r w:rsidR="3F0E787A">
        <w:t xml:space="preserve">industry </w:t>
      </w:r>
      <w:r w:rsidR="23D7AE35">
        <w:t>partners,</w:t>
      </w:r>
      <w:r w:rsidR="64D7DEDA">
        <w:t xml:space="preserve"> and BD staff</w:t>
      </w:r>
      <w:r w:rsidR="23D7AE35">
        <w:t xml:space="preserve"> </w:t>
      </w:r>
      <w:r w:rsidR="683A9E21">
        <w:t xml:space="preserve">to </w:t>
      </w:r>
      <w:r w:rsidR="1C2E7FBE">
        <w:t>progress partnerships to become more mature and strategically significant</w:t>
      </w:r>
      <w:r w:rsidR="683A9E21">
        <w:t xml:space="preserve">.  </w:t>
      </w:r>
    </w:p>
    <w:p w14:paraId="43FBB7AD" w14:textId="77777777" w:rsidR="008C575C" w:rsidRDefault="008C575C" w:rsidP="00777CD3">
      <w:pPr>
        <w:pStyle w:val="ListParagraph"/>
        <w:ind w:left="0"/>
        <w:jc w:val="both"/>
      </w:pPr>
    </w:p>
    <w:p w14:paraId="2AC2382C" w14:textId="661AB195" w:rsidR="00777CD3" w:rsidRDefault="3A853BA5" w:rsidP="00777CD3">
      <w:pPr>
        <w:pStyle w:val="ListParagraph"/>
        <w:ind w:left="0"/>
        <w:jc w:val="both"/>
      </w:pPr>
      <w:r w:rsidRPr="0E796A76">
        <w:rPr>
          <w:b/>
          <w:bCs/>
        </w:rPr>
        <w:lastRenderedPageBreak/>
        <w:t xml:space="preserve">Candidate </w:t>
      </w:r>
      <w:r w:rsidR="74D26EE1" w:rsidRPr="0E796A76">
        <w:rPr>
          <w:b/>
          <w:bCs/>
        </w:rPr>
        <w:t xml:space="preserve">relationships </w:t>
      </w:r>
      <w:r w:rsidR="3F0E787A" w:rsidRPr="0E796A76">
        <w:rPr>
          <w:b/>
          <w:bCs/>
        </w:rPr>
        <w:t xml:space="preserve">for this </w:t>
      </w:r>
      <w:r w:rsidR="76A6D10B" w:rsidRPr="0E796A76">
        <w:rPr>
          <w:b/>
          <w:bCs/>
        </w:rPr>
        <w:t>opportunity</w:t>
      </w:r>
      <w:r w:rsidR="3F0E787A" w:rsidRPr="0E796A76">
        <w:rPr>
          <w:b/>
          <w:bCs/>
        </w:rPr>
        <w:t xml:space="preserve"> </w:t>
      </w:r>
      <w:r w:rsidRPr="0E796A76">
        <w:rPr>
          <w:b/>
          <w:bCs/>
        </w:rPr>
        <w:t>can be at any stage in terms of maturity levels</w:t>
      </w:r>
      <w:r w:rsidR="3F0E787A">
        <w:t>,</w:t>
      </w:r>
      <w:r>
        <w:t xml:space="preserve"> and </w:t>
      </w:r>
      <w:r w:rsidR="683A9E21">
        <w:t>the program</w:t>
      </w:r>
      <w:r w:rsidR="10E8BDB2">
        <w:t>me</w:t>
      </w:r>
      <w:r w:rsidR="683A9E21">
        <w:t xml:space="preserve"> </w:t>
      </w:r>
      <w:r w:rsidR="3F0E787A">
        <w:t xml:space="preserve">is not expected </w:t>
      </w:r>
      <w:r w:rsidR="683A9E21">
        <w:t>to result in the creation of partnerships</w:t>
      </w:r>
      <w:r w:rsidR="13AE3CCA">
        <w:t xml:space="preserve"> at the highest level</w:t>
      </w:r>
      <w:r>
        <w:t xml:space="preserve">. The programme instead </w:t>
      </w:r>
      <w:r w:rsidR="3F0E787A">
        <w:t>aims to</w:t>
      </w:r>
      <w:r>
        <w:t xml:space="preserve"> support</w:t>
      </w:r>
      <w:r w:rsidR="23D7AE35">
        <w:t xml:space="preserve"> the acceleration of progress towards the next stage of maturity, </w:t>
      </w:r>
      <w:proofErr w:type="gramStart"/>
      <w:r w:rsidR="13AE3CCA">
        <w:t>e.g.</w:t>
      </w:r>
      <w:proofErr w:type="gramEnd"/>
      <w:r w:rsidR="5921BB8B">
        <w:t xml:space="preserve"> developing a broad offer for a targeted partner, expanding an existing relationship</w:t>
      </w:r>
      <w:r w:rsidR="7894A0B6">
        <w:t xml:space="preserve"> across disciplines and/or the partner’s business areas,</w:t>
      </w:r>
      <w:r w:rsidR="1BAE292C">
        <w:t xml:space="preserve"> </w:t>
      </w:r>
      <w:r w:rsidR="7E362AF4">
        <w:t xml:space="preserve">or </w:t>
      </w:r>
      <w:r w:rsidR="1BAE292C">
        <w:t>joining up the strategy</w:t>
      </w:r>
      <w:r w:rsidR="64D7DEDA">
        <w:t xml:space="preserve"> for relationships with multiple touchpoints</w:t>
      </w:r>
      <w:r w:rsidR="7E362AF4">
        <w:t xml:space="preserve"> and </w:t>
      </w:r>
      <w:r w:rsidR="4B96AA5B">
        <w:t xml:space="preserve">establishing </w:t>
      </w:r>
      <w:r w:rsidR="69D7BECA">
        <w:t>longer term priorities</w:t>
      </w:r>
      <w:r w:rsidR="683A9E21">
        <w:t>.</w:t>
      </w:r>
      <w:r w:rsidR="23D7AE35">
        <w:t xml:space="preserve"> </w:t>
      </w:r>
    </w:p>
    <w:p w14:paraId="307E3A70" w14:textId="77777777" w:rsidR="00777CD3" w:rsidRDefault="00777CD3" w:rsidP="00777CD3">
      <w:pPr>
        <w:pStyle w:val="ListParagraph"/>
        <w:ind w:left="0"/>
        <w:jc w:val="both"/>
      </w:pPr>
    </w:p>
    <w:p w14:paraId="62E1A79B" w14:textId="245F5B73" w:rsidR="00024603" w:rsidRDefault="6A152F1E" w:rsidP="0E796A76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0AC7E298" wp14:editId="60D6E491">
            <wp:extent cx="5731510" cy="3021965"/>
            <wp:effectExtent l="0" t="0" r="2540" b="698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4E2409" w:rsidRPr="0E796A76">
        <w:rPr>
          <w:i/>
          <w:iCs/>
        </w:rPr>
        <w:t>Figure 2</w:t>
      </w:r>
    </w:p>
    <w:p w14:paraId="190EEF5F" w14:textId="35AD1D6B" w:rsidR="00CF5A74" w:rsidRDefault="7C07962C" w:rsidP="00E55CC0">
      <w:pPr>
        <w:pStyle w:val="Heading2"/>
      </w:pPr>
      <w:bookmarkStart w:id="6" w:name="_Toc111122739"/>
      <w:r>
        <w:t>APPLICATION PROCESS</w:t>
      </w:r>
      <w:bookmarkEnd w:id="6"/>
    </w:p>
    <w:p w14:paraId="722F4ECB" w14:textId="7E241DDD" w:rsidR="002C46AD" w:rsidRPr="002C46AD" w:rsidRDefault="005912D7" w:rsidP="002C46AD">
      <w:r>
        <w:t xml:space="preserve">The application process consists of two stages with an initial expression of interest </w:t>
      </w:r>
      <w:r w:rsidR="00BD282F">
        <w:t xml:space="preserve">to support the </w:t>
      </w:r>
      <w:r w:rsidR="00451634">
        <w:t xml:space="preserve">applicants’ </w:t>
      </w:r>
      <w:r w:rsidR="00BD282F">
        <w:t xml:space="preserve">internal engagement </w:t>
      </w:r>
      <w:r w:rsidR="001C286A">
        <w:t xml:space="preserve">with relevant colleagues </w:t>
      </w:r>
      <w:r w:rsidR="00451634">
        <w:t>across the University.</w:t>
      </w:r>
    </w:p>
    <w:bookmarkEnd w:id="1"/>
    <w:p w14:paraId="17929004" w14:textId="37CAF434" w:rsidR="3E73063B" w:rsidRDefault="3E73063B" w:rsidP="0E796A76">
      <w:pPr>
        <w:pStyle w:val="ListParagraph"/>
        <w:numPr>
          <w:ilvl w:val="0"/>
          <w:numId w:val="1"/>
        </w:numPr>
        <w:spacing w:before="240"/>
        <w:jc w:val="both"/>
      </w:pPr>
      <w:r>
        <w:t>Expression of Interest by July 14</w:t>
      </w:r>
      <w:proofErr w:type="gramStart"/>
      <w:r>
        <w:t xml:space="preserve"> 2023</w:t>
      </w:r>
      <w:proofErr w:type="gramEnd"/>
      <w:r w:rsidR="00891FEE">
        <w:t xml:space="preserve">, complete </w:t>
      </w:r>
      <w:hyperlink r:id="rId15" w:history="1">
        <w:r w:rsidR="00891FEE" w:rsidRPr="003D2F03">
          <w:rPr>
            <w:rStyle w:val="Hyperlink"/>
            <w:color w:val="0070C0"/>
          </w:rPr>
          <w:t>the online form</w:t>
        </w:r>
      </w:hyperlink>
    </w:p>
    <w:p w14:paraId="4E0DA25B" w14:textId="7DCF4362" w:rsidR="3E73063B" w:rsidRDefault="3E73063B" w:rsidP="0E796A76">
      <w:pPr>
        <w:pStyle w:val="ListParagraph"/>
        <w:numPr>
          <w:ilvl w:val="0"/>
          <w:numId w:val="1"/>
        </w:numPr>
        <w:spacing w:before="240"/>
        <w:jc w:val="both"/>
      </w:pPr>
      <w:r>
        <w:t>Full application deadline by 12 noon 1 Sep 2023</w:t>
      </w:r>
      <w:r w:rsidR="00891FEE">
        <w:t xml:space="preserve">, submit to </w:t>
      </w:r>
      <w:hyperlink r:id="rId16" w:history="1">
        <w:r w:rsidR="00891FEE" w:rsidRPr="003D2F03">
          <w:rPr>
            <w:rStyle w:val="Hyperlink"/>
            <w:bCs/>
            <w:color w:val="0070C0"/>
          </w:rPr>
          <w:t>EPSRCIAA@ei.ed.ac.uk</w:t>
        </w:r>
      </w:hyperlink>
    </w:p>
    <w:p w14:paraId="545E9B15" w14:textId="77777777" w:rsidR="00F910B4" w:rsidRDefault="002C0A20" w:rsidP="00E36F31">
      <w:pPr>
        <w:spacing w:before="240"/>
        <w:jc w:val="both"/>
      </w:pPr>
      <w:r>
        <w:t>To apply, please c</w:t>
      </w:r>
      <w:r w:rsidR="51956E10">
        <w:t>omplete</w:t>
      </w:r>
      <w:r w:rsidR="005A31F1">
        <w:t xml:space="preserve"> the Expression of Interest using the online form by the deadline on 14 July. You will then </w:t>
      </w:r>
      <w:r w:rsidR="00F910B4">
        <w:t>be eligible to submit</w:t>
      </w:r>
      <w:r>
        <w:t xml:space="preserve"> </w:t>
      </w:r>
      <w:r w:rsidR="51956E10">
        <w:t xml:space="preserve">the </w:t>
      </w:r>
      <w:r w:rsidR="00E36F31">
        <w:t xml:space="preserve">Partnership Development </w:t>
      </w:r>
      <w:r w:rsidR="00D802C0">
        <w:t xml:space="preserve">application </w:t>
      </w:r>
      <w:r w:rsidR="7854A774">
        <w:t>form</w:t>
      </w:r>
      <w:r>
        <w:t xml:space="preserve"> </w:t>
      </w:r>
      <w:r w:rsidRPr="00F45A90">
        <w:t xml:space="preserve">to </w:t>
      </w:r>
      <w:hyperlink r:id="rId17" w:history="1">
        <w:r w:rsidRPr="003D2F03">
          <w:rPr>
            <w:rStyle w:val="Hyperlink"/>
            <w:bCs/>
            <w:color w:val="0070C0"/>
          </w:rPr>
          <w:t>EPSRCIAA@ei.ed.ac.uk</w:t>
        </w:r>
      </w:hyperlink>
      <w:r w:rsidRPr="003D2F03">
        <w:rPr>
          <w:rStyle w:val="Hyperlink"/>
          <w:bCs/>
          <w:color w:val="0070C0"/>
        </w:rPr>
        <w:t xml:space="preserve"> </w:t>
      </w:r>
      <w:r w:rsidRPr="000C23C0">
        <w:rPr>
          <w:b/>
        </w:rPr>
        <w:t>by 12:00 noon</w:t>
      </w:r>
      <w:r>
        <w:t xml:space="preserve"> on Friday </w:t>
      </w:r>
      <w:r w:rsidR="00F910B4">
        <w:t xml:space="preserve">1 September </w:t>
      </w:r>
      <w:r>
        <w:t>202</w:t>
      </w:r>
      <w:r w:rsidR="00F910B4">
        <w:t>3</w:t>
      </w:r>
      <w:r w:rsidR="49F5A065">
        <w:t>.</w:t>
      </w:r>
      <w:r w:rsidR="7854A774">
        <w:t xml:space="preserve"> </w:t>
      </w:r>
    </w:p>
    <w:p w14:paraId="542961BB" w14:textId="25A760BA" w:rsidR="003E7503" w:rsidRDefault="00CE7162" w:rsidP="001A56FB">
      <w:pPr>
        <w:jc w:val="both"/>
      </w:pPr>
      <w:r>
        <w:t>The proposal</w:t>
      </w:r>
      <w:r w:rsidR="001A56FB" w:rsidRPr="00F45A90">
        <w:t xml:space="preserve"> will be evaluated by the University’s EPSRC IAA </w:t>
      </w:r>
      <w:r>
        <w:t xml:space="preserve">board </w:t>
      </w:r>
      <w:r w:rsidR="001A56FB">
        <w:t xml:space="preserve">comprising </w:t>
      </w:r>
      <w:r w:rsidR="001A56FB" w:rsidRPr="00F45A90">
        <w:t xml:space="preserve">members </w:t>
      </w:r>
      <w:r w:rsidR="001A56FB">
        <w:t>f</w:t>
      </w:r>
      <w:r w:rsidR="001A56FB" w:rsidRPr="00F45A90">
        <w:t>rom both scientific and commercial backgrounds</w:t>
      </w:r>
      <w:r w:rsidR="001A56FB">
        <w:t xml:space="preserve">. </w:t>
      </w:r>
      <w:r w:rsidR="001A56FB">
        <w:rPr>
          <w:rFonts w:ascii="Calibri" w:eastAsia="Calibri" w:hAnsi="Calibri" w:cs="Calibri"/>
        </w:rPr>
        <w:t>A</w:t>
      </w:r>
      <w:r w:rsidR="001A56FB">
        <w:rPr>
          <w:rFonts w:ascii="Calibri" w:eastAsia="Calibri" w:hAnsi="Calibri" w:cs="Calibri"/>
          <w:spacing w:val="-1"/>
        </w:rPr>
        <w:t>pp</w:t>
      </w:r>
      <w:r w:rsidR="001A56FB">
        <w:rPr>
          <w:rFonts w:ascii="Calibri" w:eastAsia="Calibri" w:hAnsi="Calibri" w:cs="Calibri"/>
        </w:rPr>
        <w:t>l</w:t>
      </w:r>
      <w:r w:rsidR="001A56FB">
        <w:rPr>
          <w:rFonts w:ascii="Calibri" w:eastAsia="Calibri" w:hAnsi="Calibri" w:cs="Calibri"/>
          <w:spacing w:val="-1"/>
        </w:rPr>
        <w:t>i</w:t>
      </w:r>
      <w:r w:rsidR="001A56FB">
        <w:rPr>
          <w:rFonts w:ascii="Calibri" w:eastAsia="Calibri" w:hAnsi="Calibri" w:cs="Calibri"/>
        </w:rPr>
        <w:t>ca</w:t>
      </w:r>
      <w:r w:rsidR="001A56FB">
        <w:rPr>
          <w:rFonts w:ascii="Calibri" w:eastAsia="Calibri" w:hAnsi="Calibri" w:cs="Calibri"/>
          <w:spacing w:val="-1"/>
        </w:rPr>
        <w:t>n</w:t>
      </w:r>
      <w:r w:rsidR="001A56FB">
        <w:rPr>
          <w:rFonts w:ascii="Calibri" w:eastAsia="Calibri" w:hAnsi="Calibri" w:cs="Calibri"/>
          <w:spacing w:val="-2"/>
        </w:rPr>
        <w:t>t</w:t>
      </w:r>
      <w:r w:rsidR="001A56FB">
        <w:rPr>
          <w:rFonts w:ascii="Calibri" w:eastAsia="Calibri" w:hAnsi="Calibri" w:cs="Calibri"/>
        </w:rPr>
        <w:t>s</w:t>
      </w:r>
      <w:r w:rsidR="001A56FB">
        <w:rPr>
          <w:rFonts w:ascii="Calibri" w:eastAsia="Calibri" w:hAnsi="Calibri" w:cs="Calibri"/>
          <w:spacing w:val="3"/>
        </w:rPr>
        <w:t xml:space="preserve"> </w:t>
      </w:r>
      <w:r w:rsidR="001A56FB">
        <w:rPr>
          <w:rFonts w:ascii="Calibri" w:eastAsia="Calibri" w:hAnsi="Calibri" w:cs="Calibri"/>
        </w:rPr>
        <w:t>are</w:t>
      </w:r>
      <w:r w:rsidR="001A56FB">
        <w:rPr>
          <w:rFonts w:ascii="Calibri" w:eastAsia="Calibri" w:hAnsi="Calibri" w:cs="Calibri"/>
          <w:spacing w:val="1"/>
        </w:rPr>
        <w:t xml:space="preserve"> </w:t>
      </w:r>
      <w:r w:rsidR="001A56FB">
        <w:rPr>
          <w:rFonts w:ascii="Calibri" w:eastAsia="Calibri" w:hAnsi="Calibri" w:cs="Calibri"/>
          <w:spacing w:val="-1"/>
        </w:rPr>
        <w:t>u</w:t>
      </w:r>
      <w:r w:rsidR="001A56FB">
        <w:rPr>
          <w:rFonts w:ascii="Calibri" w:eastAsia="Calibri" w:hAnsi="Calibri" w:cs="Calibri"/>
          <w:spacing w:val="-2"/>
        </w:rPr>
        <w:t>r</w:t>
      </w:r>
      <w:r w:rsidR="001A56FB">
        <w:rPr>
          <w:rFonts w:ascii="Calibri" w:eastAsia="Calibri" w:hAnsi="Calibri" w:cs="Calibri"/>
          <w:spacing w:val="-1"/>
        </w:rPr>
        <w:t>g</w:t>
      </w:r>
      <w:r w:rsidR="001A56FB">
        <w:rPr>
          <w:rFonts w:ascii="Calibri" w:eastAsia="Calibri" w:hAnsi="Calibri" w:cs="Calibri"/>
          <w:spacing w:val="1"/>
        </w:rPr>
        <w:t>e</w:t>
      </w:r>
      <w:r w:rsidR="001A56FB">
        <w:rPr>
          <w:rFonts w:ascii="Calibri" w:eastAsia="Calibri" w:hAnsi="Calibri" w:cs="Calibri"/>
        </w:rPr>
        <w:t>d</w:t>
      </w:r>
      <w:r w:rsidR="001A56FB">
        <w:rPr>
          <w:rFonts w:ascii="Calibri" w:eastAsia="Calibri" w:hAnsi="Calibri" w:cs="Calibri"/>
          <w:spacing w:val="2"/>
        </w:rPr>
        <w:t xml:space="preserve"> </w:t>
      </w:r>
      <w:r w:rsidR="001A56FB">
        <w:rPr>
          <w:rFonts w:ascii="Calibri" w:eastAsia="Calibri" w:hAnsi="Calibri" w:cs="Calibri"/>
          <w:spacing w:val="1"/>
        </w:rPr>
        <w:t>t</w:t>
      </w:r>
      <w:r w:rsidR="001A56FB">
        <w:rPr>
          <w:rFonts w:ascii="Calibri" w:eastAsia="Calibri" w:hAnsi="Calibri" w:cs="Calibri"/>
        </w:rPr>
        <w:t>o</w:t>
      </w:r>
      <w:r w:rsidR="001A56FB">
        <w:rPr>
          <w:rFonts w:ascii="Calibri" w:eastAsia="Calibri" w:hAnsi="Calibri" w:cs="Calibri"/>
          <w:spacing w:val="2"/>
        </w:rPr>
        <w:t xml:space="preserve"> </w:t>
      </w:r>
      <w:r w:rsidR="001A56FB">
        <w:rPr>
          <w:rFonts w:ascii="Calibri" w:eastAsia="Calibri" w:hAnsi="Calibri" w:cs="Calibri"/>
          <w:spacing w:val="1"/>
        </w:rPr>
        <w:t>e</w:t>
      </w:r>
      <w:r w:rsidR="001A56FB">
        <w:rPr>
          <w:rFonts w:ascii="Calibri" w:eastAsia="Calibri" w:hAnsi="Calibri" w:cs="Calibri"/>
          <w:spacing w:val="-1"/>
        </w:rPr>
        <w:t>n</w:t>
      </w:r>
      <w:r w:rsidR="001A56FB">
        <w:rPr>
          <w:rFonts w:ascii="Calibri" w:eastAsia="Calibri" w:hAnsi="Calibri" w:cs="Calibri"/>
        </w:rPr>
        <w:t>sure</w:t>
      </w:r>
      <w:r w:rsidR="001A56FB">
        <w:rPr>
          <w:rFonts w:ascii="Calibri" w:eastAsia="Calibri" w:hAnsi="Calibri" w:cs="Calibri"/>
          <w:spacing w:val="1"/>
        </w:rPr>
        <w:t xml:space="preserve"> t</w:t>
      </w:r>
      <w:r w:rsidR="001A56FB">
        <w:rPr>
          <w:rFonts w:ascii="Calibri" w:eastAsia="Calibri" w:hAnsi="Calibri" w:cs="Calibri"/>
          <w:spacing w:val="-1"/>
        </w:rPr>
        <w:t>h</w:t>
      </w:r>
      <w:r w:rsidR="001A56FB">
        <w:rPr>
          <w:rFonts w:ascii="Calibri" w:eastAsia="Calibri" w:hAnsi="Calibri" w:cs="Calibri"/>
        </w:rPr>
        <w:t>at</w:t>
      </w:r>
      <w:r w:rsidR="001A56FB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proposal is </w:t>
      </w:r>
      <w:r w:rsidR="001A56FB">
        <w:rPr>
          <w:rFonts w:ascii="Calibri" w:eastAsia="Calibri" w:hAnsi="Calibri" w:cs="Calibri"/>
          <w:spacing w:val="1"/>
        </w:rPr>
        <w:t>w</w:t>
      </w:r>
      <w:r w:rsidR="001A56FB">
        <w:rPr>
          <w:rFonts w:ascii="Calibri" w:eastAsia="Calibri" w:hAnsi="Calibri" w:cs="Calibri"/>
        </w:rPr>
        <w:t>r</w:t>
      </w:r>
      <w:r w:rsidR="001A56FB">
        <w:rPr>
          <w:rFonts w:ascii="Calibri" w:eastAsia="Calibri" w:hAnsi="Calibri" w:cs="Calibri"/>
          <w:spacing w:val="-3"/>
        </w:rPr>
        <w:t>i</w:t>
      </w:r>
      <w:r w:rsidR="001A56FB">
        <w:rPr>
          <w:rFonts w:ascii="Calibri" w:eastAsia="Calibri" w:hAnsi="Calibri" w:cs="Calibri"/>
          <w:spacing w:val="1"/>
        </w:rPr>
        <w:t>tt</w:t>
      </w:r>
      <w:r w:rsidR="001A56FB">
        <w:rPr>
          <w:rFonts w:ascii="Calibri" w:eastAsia="Calibri" w:hAnsi="Calibri" w:cs="Calibri"/>
        </w:rPr>
        <w:t>en with clari</w:t>
      </w:r>
      <w:r w:rsidR="001A56FB">
        <w:rPr>
          <w:rFonts w:ascii="Calibri" w:eastAsia="Calibri" w:hAnsi="Calibri" w:cs="Calibri"/>
          <w:spacing w:val="-2"/>
        </w:rPr>
        <w:t>t</w:t>
      </w:r>
      <w:r w:rsidR="001A56FB">
        <w:rPr>
          <w:rFonts w:ascii="Calibri" w:eastAsia="Calibri" w:hAnsi="Calibri" w:cs="Calibri"/>
        </w:rPr>
        <w:t>y</w:t>
      </w:r>
      <w:r w:rsidR="001A56FB">
        <w:rPr>
          <w:rFonts w:ascii="Calibri" w:eastAsia="Calibri" w:hAnsi="Calibri" w:cs="Calibri"/>
          <w:spacing w:val="4"/>
        </w:rPr>
        <w:t xml:space="preserve"> </w:t>
      </w:r>
      <w:r w:rsidR="001A56FB">
        <w:rPr>
          <w:rFonts w:ascii="Calibri" w:eastAsia="Calibri" w:hAnsi="Calibri" w:cs="Calibri"/>
        </w:rPr>
        <w:t>a</w:t>
      </w:r>
      <w:r w:rsidR="001A56FB">
        <w:rPr>
          <w:rFonts w:ascii="Calibri" w:eastAsia="Calibri" w:hAnsi="Calibri" w:cs="Calibri"/>
          <w:spacing w:val="-1"/>
        </w:rPr>
        <w:t>n</w:t>
      </w:r>
      <w:r w:rsidR="001A56FB">
        <w:rPr>
          <w:rFonts w:ascii="Calibri" w:eastAsia="Calibri" w:hAnsi="Calibri" w:cs="Calibri"/>
        </w:rPr>
        <w:t>d</w:t>
      </w:r>
      <w:r w:rsidR="001A56FB">
        <w:rPr>
          <w:rFonts w:ascii="Calibri" w:eastAsia="Calibri" w:hAnsi="Calibri" w:cs="Calibri"/>
          <w:spacing w:val="3"/>
        </w:rPr>
        <w:t xml:space="preserve"> </w:t>
      </w:r>
      <w:r w:rsidR="001A56FB">
        <w:rPr>
          <w:rFonts w:ascii="Calibri" w:eastAsia="Calibri" w:hAnsi="Calibri" w:cs="Calibri"/>
        </w:rPr>
        <w:t>a</w:t>
      </w:r>
      <w:r w:rsidR="001A56FB">
        <w:rPr>
          <w:rFonts w:ascii="Calibri" w:eastAsia="Calibri" w:hAnsi="Calibri" w:cs="Calibri"/>
          <w:spacing w:val="1"/>
        </w:rPr>
        <w:t xml:space="preserve"> </w:t>
      </w:r>
      <w:r w:rsidR="001A56FB">
        <w:rPr>
          <w:rFonts w:ascii="Calibri" w:eastAsia="Calibri" w:hAnsi="Calibri" w:cs="Calibri"/>
          <w:spacing w:val="-1"/>
        </w:rPr>
        <w:t>n</w:t>
      </w:r>
      <w:r w:rsidR="001A56FB">
        <w:rPr>
          <w:rFonts w:ascii="Calibri" w:eastAsia="Calibri" w:hAnsi="Calibri" w:cs="Calibri"/>
          <w:spacing w:val="1"/>
        </w:rPr>
        <w:t>o</w:t>
      </w:r>
      <w:r w:rsidR="001A56FB">
        <w:rPr>
          <w:rFonts w:ascii="Calibri" w:eastAsia="Calibri" w:hAnsi="Calibri" w:cs="Calibri"/>
        </w:rPr>
        <w:t>n</w:t>
      </w:r>
      <w:r w:rsidR="001A56FB">
        <w:rPr>
          <w:rFonts w:ascii="Calibri" w:eastAsia="Calibri" w:hAnsi="Calibri" w:cs="Calibri"/>
          <w:spacing w:val="-1"/>
        </w:rPr>
        <w:t>-</w:t>
      </w:r>
      <w:r w:rsidR="001A56FB">
        <w:rPr>
          <w:rFonts w:ascii="Calibri" w:eastAsia="Calibri" w:hAnsi="Calibri" w:cs="Calibri"/>
        </w:rPr>
        <w:t>s</w:t>
      </w:r>
      <w:r w:rsidR="001A56FB">
        <w:rPr>
          <w:rFonts w:ascii="Calibri" w:eastAsia="Calibri" w:hAnsi="Calibri" w:cs="Calibri"/>
          <w:spacing w:val="-1"/>
        </w:rPr>
        <w:t>p</w:t>
      </w:r>
      <w:r w:rsidR="001A56FB">
        <w:rPr>
          <w:rFonts w:ascii="Calibri" w:eastAsia="Calibri" w:hAnsi="Calibri" w:cs="Calibri"/>
          <w:spacing w:val="1"/>
        </w:rPr>
        <w:t>e</w:t>
      </w:r>
      <w:r w:rsidR="001A56FB">
        <w:rPr>
          <w:rFonts w:ascii="Calibri" w:eastAsia="Calibri" w:hAnsi="Calibri" w:cs="Calibri"/>
        </w:rPr>
        <w:t>cial</w:t>
      </w:r>
      <w:r w:rsidR="001A56FB">
        <w:rPr>
          <w:rFonts w:ascii="Calibri" w:eastAsia="Calibri" w:hAnsi="Calibri" w:cs="Calibri"/>
          <w:spacing w:val="-3"/>
        </w:rPr>
        <w:t>i</w:t>
      </w:r>
      <w:r w:rsidR="001A56FB">
        <w:rPr>
          <w:rFonts w:ascii="Calibri" w:eastAsia="Calibri" w:hAnsi="Calibri" w:cs="Calibri"/>
        </w:rPr>
        <w:t>st</w:t>
      </w:r>
      <w:r w:rsidR="001A56FB">
        <w:rPr>
          <w:rFonts w:ascii="Calibri" w:eastAsia="Calibri" w:hAnsi="Calibri" w:cs="Calibri"/>
          <w:spacing w:val="3"/>
        </w:rPr>
        <w:t xml:space="preserve"> </w:t>
      </w:r>
      <w:r w:rsidR="001A56FB">
        <w:rPr>
          <w:rFonts w:ascii="Calibri" w:eastAsia="Calibri" w:hAnsi="Calibri" w:cs="Calibri"/>
        </w:rPr>
        <w:t>a</w:t>
      </w:r>
      <w:r w:rsidR="001A56FB">
        <w:rPr>
          <w:rFonts w:ascii="Calibri" w:eastAsia="Calibri" w:hAnsi="Calibri" w:cs="Calibri"/>
          <w:spacing w:val="-1"/>
        </w:rPr>
        <w:t>ud</w:t>
      </w:r>
      <w:r w:rsidR="001A56FB">
        <w:rPr>
          <w:rFonts w:ascii="Calibri" w:eastAsia="Calibri" w:hAnsi="Calibri" w:cs="Calibri"/>
          <w:spacing w:val="-3"/>
        </w:rPr>
        <w:t>i</w:t>
      </w:r>
      <w:r w:rsidR="001A56FB">
        <w:rPr>
          <w:rFonts w:ascii="Calibri" w:eastAsia="Calibri" w:hAnsi="Calibri" w:cs="Calibri"/>
          <w:spacing w:val="1"/>
        </w:rPr>
        <w:t>e</w:t>
      </w:r>
      <w:r w:rsidR="001A56FB">
        <w:rPr>
          <w:rFonts w:ascii="Calibri" w:eastAsia="Calibri" w:hAnsi="Calibri" w:cs="Calibri"/>
          <w:spacing w:val="-1"/>
        </w:rPr>
        <w:t>n</w:t>
      </w:r>
      <w:r w:rsidR="001A56FB">
        <w:rPr>
          <w:rFonts w:ascii="Calibri" w:eastAsia="Calibri" w:hAnsi="Calibri" w:cs="Calibri"/>
        </w:rPr>
        <w:t>ce</w:t>
      </w:r>
      <w:r w:rsidR="001A56FB">
        <w:rPr>
          <w:rFonts w:ascii="Calibri" w:eastAsia="Calibri" w:hAnsi="Calibri" w:cs="Calibri"/>
          <w:spacing w:val="4"/>
        </w:rPr>
        <w:t xml:space="preserve"> </w:t>
      </w:r>
      <w:r w:rsidR="001A56FB">
        <w:rPr>
          <w:rFonts w:ascii="Calibri" w:eastAsia="Calibri" w:hAnsi="Calibri" w:cs="Calibri"/>
        </w:rPr>
        <w:t xml:space="preserve">in </w:t>
      </w:r>
      <w:r w:rsidR="001A56FB">
        <w:rPr>
          <w:rFonts w:ascii="Calibri" w:eastAsia="Calibri" w:hAnsi="Calibri" w:cs="Calibri"/>
          <w:spacing w:val="1"/>
        </w:rPr>
        <w:t>m</w:t>
      </w:r>
      <w:r w:rsidR="001A56FB">
        <w:rPr>
          <w:rFonts w:ascii="Calibri" w:eastAsia="Calibri" w:hAnsi="Calibri" w:cs="Calibri"/>
        </w:rPr>
        <w:t>i</w:t>
      </w:r>
      <w:r w:rsidR="001A56FB">
        <w:rPr>
          <w:rFonts w:ascii="Calibri" w:eastAsia="Calibri" w:hAnsi="Calibri" w:cs="Calibri"/>
          <w:spacing w:val="-1"/>
        </w:rPr>
        <w:t>nd.</w:t>
      </w:r>
      <w:r w:rsidR="001A56FB" w:rsidRPr="00F45A90">
        <w:t xml:space="preserve"> </w:t>
      </w:r>
      <w:r w:rsidR="003E7503">
        <w:t xml:space="preserve">The panel </w:t>
      </w:r>
      <w:r w:rsidR="00FA5BFE">
        <w:t xml:space="preserve">will meet by the end of September </w:t>
      </w:r>
      <w:r w:rsidR="003E7503">
        <w:t xml:space="preserve">and </w:t>
      </w:r>
      <w:r w:rsidR="002526F3">
        <w:t>outcomes are expected within two weeks of the review meeting.</w:t>
      </w:r>
    </w:p>
    <w:p w14:paraId="3A18756F" w14:textId="349F84B6" w:rsidR="001A56FB" w:rsidRDefault="001A56FB" w:rsidP="001A56FB">
      <w:pPr>
        <w:jc w:val="both"/>
      </w:pPr>
      <w:r w:rsidRPr="00F45A90">
        <w:t>The panel will</w:t>
      </w:r>
      <w:r w:rsidR="00DB2C80">
        <w:t xml:space="preserve"> particularly</w:t>
      </w:r>
      <w:r w:rsidRPr="00F45A90">
        <w:t xml:space="preserve"> consider:</w:t>
      </w:r>
    </w:p>
    <w:p w14:paraId="575E088D" w14:textId="77777777" w:rsidR="00D731C4" w:rsidRDefault="00D731C4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 xml:space="preserve">Choice of partner organisation and its current </w:t>
      </w:r>
      <w:r w:rsidR="004A3E05">
        <w:t xml:space="preserve">relationship </w:t>
      </w:r>
      <w:r w:rsidR="00A51FB5">
        <w:t xml:space="preserve">level (ref. </w:t>
      </w:r>
      <w:r w:rsidR="00FF6DEC" w:rsidRPr="00FF5073">
        <w:rPr>
          <w:b/>
        </w:rPr>
        <w:t>F</w:t>
      </w:r>
      <w:r w:rsidR="00A51FB5" w:rsidRPr="00FF5073">
        <w:rPr>
          <w:b/>
        </w:rPr>
        <w:t>igure 2</w:t>
      </w:r>
      <w:r>
        <w:t>)</w:t>
      </w:r>
    </w:p>
    <w:p w14:paraId="4D7AF246" w14:textId="77777777" w:rsidR="004A3E05" w:rsidRDefault="004A3E05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 xml:space="preserve">Likelihood of </w:t>
      </w:r>
      <w:r w:rsidR="001C0909">
        <w:t xml:space="preserve">moving </w:t>
      </w:r>
      <w:r>
        <w:t xml:space="preserve">the relationship </w:t>
      </w:r>
      <w:r w:rsidR="001C0909">
        <w:t xml:space="preserve">up the maturity </w:t>
      </w:r>
      <w:r w:rsidR="00A51FB5">
        <w:t>level</w:t>
      </w:r>
      <w:r w:rsidR="001C0909">
        <w:t>s</w:t>
      </w:r>
      <w:r w:rsidR="00A51FB5">
        <w:t xml:space="preserve"> (ref. </w:t>
      </w:r>
      <w:r w:rsidR="00FF6DEC" w:rsidRPr="00FF5073">
        <w:rPr>
          <w:b/>
        </w:rPr>
        <w:t>F</w:t>
      </w:r>
      <w:r w:rsidR="00A51FB5" w:rsidRPr="00FF5073">
        <w:rPr>
          <w:b/>
        </w:rPr>
        <w:t>igure 2</w:t>
      </w:r>
      <w:r>
        <w:t>)</w:t>
      </w:r>
    </w:p>
    <w:p w14:paraId="1BCDFABF" w14:textId="61C31867" w:rsidR="005B2171" w:rsidRDefault="005B2171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lastRenderedPageBreak/>
        <w:t xml:space="preserve">Willingness of partners to engage (including </w:t>
      </w:r>
      <w:r w:rsidR="00A13E4B">
        <w:t xml:space="preserve">in-kind and cash </w:t>
      </w:r>
      <w:r>
        <w:t>support</w:t>
      </w:r>
      <w:r w:rsidR="0086601C">
        <w:t xml:space="preserve"> with higher expectations on matching for more mature partnerships)</w:t>
      </w:r>
    </w:p>
    <w:p w14:paraId="00AD343C" w14:textId="77777777" w:rsidR="00D731C4" w:rsidRDefault="00D731C4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Proposal’s strategic vision and ambition</w:t>
      </w:r>
    </w:p>
    <w:p w14:paraId="0FB99C3F" w14:textId="77777777" w:rsidR="001A56FB" w:rsidRDefault="001A56FB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 w:rsidRPr="00F45A90">
        <w:t>Strategic benefit to the University of Edinburgh</w:t>
      </w:r>
    </w:p>
    <w:p w14:paraId="5EABC413" w14:textId="0F206D32" w:rsidR="00CF5A74" w:rsidRDefault="004F679D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 xml:space="preserve">Level of </w:t>
      </w:r>
      <w:r w:rsidR="00CF5A74">
        <w:t xml:space="preserve">current and potential touch points of the relationship across the University </w:t>
      </w:r>
    </w:p>
    <w:p w14:paraId="7E8DF22A" w14:textId="77777777" w:rsidR="00D731C4" w:rsidRPr="00F45A90" w:rsidRDefault="00D731C4" w:rsidP="00D731C4">
      <w:pPr>
        <w:pStyle w:val="ListParagraph"/>
        <w:numPr>
          <w:ilvl w:val="0"/>
          <w:numId w:val="6"/>
        </w:numPr>
        <w:spacing w:after="160" w:line="259" w:lineRule="auto"/>
        <w:jc w:val="both"/>
      </w:pPr>
      <w:r w:rsidRPr="00F45A90">
        <w:t xml:space="preserve">Existing or potential leverage of funds from, and alignment to, other impact or industry funding streams, </w:t>
      </w:r>
      <w:proofErr w:type="gramStart"/>
      <w:r w:rsidRPr="00F45A90">
        <w:t>e.g.</w:t>
      </w:r>
      <w:proofErr w:type="gramEnd"/>
      <w:r w:rsidRPr="00F45A90">
        <w:t xml:space="preserve"> Innovate UK (UKRI), ISCF</w:t>
      </w:r>
    </w:p>
    <w:p w14:paraId="054BA273" w14:textId="77777777" w:rsidR="00D731C4" w:rsidRDefault="001A56FB" w:rsidP="001A56FB">
      <w:pPr>
        <w:pStyle w:val="ListParagraph"/>
        <w:numPr>
          <w:ilvl w:val="0"/>
          <w:numId w:val="6"/>
        </w:numPr>
        <w:spacing w:after="160" w:line="259" w:lineRule="auto"/>
        <w:jc w:val="both"/>
      </w:pPr>
      <w:r w:rsidRPr="00F45A90">
        <w:t>Viability of the proposed activities</w:t>
      </w:r>
    </w:p>
    <w:p w14:paraId="41A3BF4A" w14:textId="77777777" w:rsidR="00D731C4" w:rsidRDefault="00D731C4" w:rsidP="00D731C4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Cl</w:t>
      </w:r>
      <w:r w:rsidR="004A3E05">
        <w:t>arity of plan to achieve proposal</w:t>
      </w:r>
      <w:r>
        <w:t xml:space="preserve"> </w:t>
      </w:r>
      <w:proofErr w:type="gramStart"/>
      <w:r>
        <w:t>aims</w:t>
      </w:r>
      <w:proofErr w:type="gramEnd"/>
    </w:p>
    <w:p w14:paraId="41EE457C" w14:textId="77777777" w:rsidR="00D731C4" w:rsidRDefault="00D731C4" w:rsidP="00D731C4">
      <w:pPr>
        <w:pStyle w:val="ListParagraph"/>
        <w:numPr>
          <w:ilvl w:val="0"/>
          <w:numId w:val="6"/>
        </w:numPr>
        <w:spacing w:after="160" w:line="259" w:lineRule="auto"/>
        <w:jc w:val="both"/>
      </w:pPr>
      <w:r w:rsidRPr="00F45A90">
        <w:t xml:space="preserve">Likelihood of achieving </w:t>
      </w:r>
      <w:r>
        <w:t>impact</w:t>
      </w:r>
    </w:p>
    <w:p w14:paraId="6CEC8A73" w14:textId="06DBB255" w:rsidR="00D731C4" w:rsidRDefault="00D731C4" w:rsidP="00D731C4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 xml:space="preserve">Potential </w:t>
      </w:r>
      <w:r w:rsidR="008C0672">
        <w:t>reach and significance</w:t>
      </w:r>
      <w:r>
        <w:t xml:space="preserve"> of impact (</w:t>
      </w:r>
      <w:r w:rsidR="008C0672">
        <w:t>economic, social, and/or environmental</w:t>
      </w:r>
      <w:r>
        <w:t>)</w:t>
      </w:r>
    </w:p>
    <w:p w14:paraId="498846E7" w14:textId="02742906" w:rsidR="001A56FB" w:rsidRDefault="001A56FB" w:rsidP="001A56FB">
      <w:pPr>
        <w:spacing w:after="0" w:line="259" w:lineRule="auto"/>
        <w:jc w:val="both"/>
      </w:pPr>
      <w:r w:rsidRPr="00F45A90">
        <w:t>Where consensus is not reached across the</w:t>
      </w:r>
      <w:r w:rsidR="00CE7162">
        <w:t xml:space="preserve"> board</w:t>
      </w:r>
      <w:r w:rsidRPr="00F45A90">
        <w:t>, the final decision will be taken by the PI of the EPSRC IAA grant, Prof Andy Mount.</w:t>
      </w:r>
    </w:p>
    <w:p w14:paraId="545B1DFD" w14:textId="77777777" w:rsidR="007B6441" w:rsidRDefault="007B6441" w:rsidP="001A56FB">
      <w:pPr>
        <w:spacing w:after="0" w:line="259" w:lineRule="auto"/>
        <w:jc w:val="both"/>
      </w:pPr>
    </w:p>
    <w:p w14:paraId="17D91F7F" w14:textId="7A92E833" w:rsidR="00BE0677" w:rsidRDefault="003124FD" w:rsidP="006C3620">
      <w:pPr>
        <w:pStyle w:val="Heading2"/>
      </w:pPr>
      <w:bookmarkStart w:id="7" w:name="_Toc111122740"/>
      <w:bookmarkStart w:id="8" w:name="ApplicationCriteria"/>
      <w:r>
        <w:t>TERMS AND CONDITIONS</w:t>
      </w:r>
      <w:bookmarkEnd w:id="7"/>
    </w:p>
    <w:p w14:paraId="49B5B5E4" w14:textId="77777777" w:rsidR="004200B0" w:rsidRDefault="005906F8" w:rsidP="00B55CD8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EPSRC IAA is committed to equality of opportunity for all eligible applicants. The University has a long-standing commitment to equality, </w:t>
      </w:r>
      <w:r w:rsidR="00760CDC">
        <w:rPr>
          <w:rStyle w:val="normaltextrun"/>
          <w:rFonts w:ascii="Calibri" w:hAnsi="Calibri" w:cs="Calibri"/>
          <w:color w:val="000000"/>
          <w:shd w:val="clear" w:color="auto" w:fill="FFFFFF"/>
        </w:rPr>
        <w:t>diversity,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inclusion and to promoting a positive culture which celebrates difference, challenges </w:t>
      </w:r>
      <w:r w:rsidR="00760CDC">
        <w:rPr>
          <w:rStyle w:val="normaltextrun"/>
          <w:rFonts w:ascii="Calibri" w:hAnsi="Calibri" w:cs="Calibri"/>
          <w:color w:val="000000"/>
          <w:shd w:val="clear" w:color="auto" w:fill="FFFFFF"/>
        </w:rPr>
        <w:t>prejudice,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ensures fairness. Applications are encouraged from </w:t>
      </w:r>
      <w:r w:rsidRPr="009C0E5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research-active staff at all career stages and from all </w:t>
      </w:r>
      <w:r w:rsidR="00C15016" w:rsidRPr="009C0E51">
        <w:rPr>
          <w:rStyle w:val="normaltextrun"/>
          <w:rFonts w:ascii="Calibri" w:hAnsi="Calibri" w:cs="Calibri"/>
          <w:color w:val="000000"/>
          <w:shd w:val="clear" w:color="auto" w:fill="FFFFFF"/>
        </w:rPr>
        <w:t>disciplines within remit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D3EDC46" w14:textId="41D9DD54" w:rsidR="00B55CD8" w:rsidRPr="00B55CD8" w:rsidRDefault="003E3D9D" w:rsidP="00B55CD8">
      <w:r w:rsidRPr="003E3D9D">
        <w:rPr>
          <w:rStyle w:val="eop"/>
          <w:rFonts w:ascii="Calibri" w:hAnsi="Calibri" w:cs="Calibri"/>
          <w:color w:val="000000"/>
          <w:shd w:val="clear" w:color="auto" w:fill="FFFFFF"/>
        </w:rPr>
        <w:t xml:space="preserve">By applying to the call, applicants confirm that they are aware of and comply with the </w:t>
      </w:r>
      <w:hyperlink r:id="rId18" w:history="1">
        <w:r w:rsidR="00E946A9" w:rsidRPr="00EC444A">
          <w:rPr>
            <w:rStyle w:val="Hyperlink"/>
            <w:rFonts w:ascii="Calibri" w:hAnsi="Calibri" w:cs="Calibri"/>
            <w:color w:val="0070C0"/>
            <w:shd w:val="clear" w:color="auto" w:fill="FFFFFF"/>
          </w:rPr>
          <w:t>University guidelines on research integrity</w:t>
        </w:r>
      </w:hyperlink>
      <w:r w:rsidR="00E946A9">
        <w:rPr>
          <w:rStyle w:val="eop"/>
          <w:rFonts w:ascii="Calibri" w:hAnsi="Calibri" w:cs="Calibri"/>
          <w:color w:val="000000"/>
          <w:shd w:val="clear" w:color="auto" w:fill="FFFFFF"/>
        </w:rPr>
        <w:t xml:space="preserve"> as well as </w:t>
      </w:r>
      <w:r w:rsidRPr="003E3D9D">
        <w:rPr>
          <w:rStyle w:val="eop"/>
          <w:rFonts w:ascii="Calibri" w:hAnsi="Calibri" w:cs="Calibri"/>
          <w:color w:val="000000"/>
          <w:shd w:val="clear" w:color="auto" w:fill="FFFFFF"/>
        </w:rPr>
        <w:t xml:space="preserve">commitments to equality, diversity and inclusion, and the University’s sustainability policy, including its </w:t>
      </w:r>
      <w:hyperlink r:id="rId19" w:history="1">
        <w:r w:rsidR="009D6DF9" w:rsidRPr="009D6DF9">
          <w:rPr>
            <w:rStyle w:val="Hyperlink"/>
            <w:rFonts w:ascii="Calibri" w:hAnsi="Calibri" w:cs="Calibri"/>
            <w:color w:val="0070C0"/>
            <w:shd w:val="clear" w:color="auto" w:fill="FFFFFF"/>
          </w:rPr>
          <w:t>travel guidelines</w:t>
        </w:r>
      </w:hyperlink>
      <w:r w:rsidR="009D6DF9">
        <w:rPr>
          <w:rStyle w:val="eop"/>
          <w:rFonts w:ascii="Calibri" w:hAnsi="Calibri" w:cs="Calibri"/>
          <w:color w:val="000000"/>
          <w:shd w:val="clear" w:color="auto" w:fill="FFFFFF"/>
        </w:rPr>
        <w:t>.</w:t>
      </w:r>
    </w:p>
    <w:p w14:paraId="7F9A14F0" w14:textId="77777777" w:rsidR="00A51FB5" w:rsidRPr="00A51FB5" w:rsidRDefault="00A51FB5" w:rsidP="006C3620">
      <w:pPr>
        <w:pStyle w:val="Heading3"/>
      </w:pPr>
      <w:bookmarkStart w:id="9" w:name="_Toc111122741"/>
      <w:bookmarkStart w:id="10" w:name="StrategicAlignment"/>
      <w:bookmarkEnd w:id="8"/>
      <w:r w:rsidRPr="00A51FB5">
        <w:t>Strategic alignment</w:t>
      </w:r>
      <w:r w:rsidR="001C0909">
        <w:t>,</w:t>
      </w:r>
      <w:r w:rsidR="006F12D0">
        <w:t xml:space="preserve"> </w:t>
      </w:r>
      <w:r w:rsidRPr="00A51FB5">
        <w:t>proposal</w:t>
      </w:r>
      <w:r w:rsidR="00DB1F27">
        <w:t xml:space="preserve"> themes and</w:t>
      </w:r>
      <w:r w:rsidRPr="00A51FB5">
        <w:t xml:space="preserve"> content</w:t>
      </w:r>
      <w:bookmarkEnd w:id="9"/>
    </w:p>
    <w:bookmarkEnd w:id="10"/>
    <w:p w14:paraId="1CD1A290" w14:textId="6B36F862" w:rsidR="00DB1F27" w:rsidRDefault="00DB1F27" w:rsidP="00A51FB5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 xml:space="preserve">Overarching themes for </w:t>
      </w:r>
      <w:r w:rsidR="00CE7162">
        <w:t>the proposal</w:t>
      </w:r>
      <w:r>
        <w:t xml:space="preserve"> must fall within </w:t>
      </w:r>
      <w:r w:rsidR="00E7127F" w:rsidRPr="00E55CC0">
        <w:t xml:space="preserve">an </w:t>
      </w:r>
      <w:hyperlink r:id="rId20" w:history="1">
        <w:r w:rsidR="0086601C" w:rsidRPr="009D6DF9">
          <w:rPr>
            <w:rStyle w:val="Hyperlink"/>
            <w:color w:val="0070C0"/>
          </w:rPr>
          <w:t xml:space="preserve">EPSRC </w:t>
        </w:r>
        <w:r w:rsidR="00E7127F" w:rsidRPr="009D6DF9">
          <w:rPr>
            <w:rStyle w:val="Hyperlink"/>
            <w:color w:val="0070C0"/>
          </w:rPr>
          <w:t>theme</w:t>
        </w:r>
      </w:hyperlink>
    </w:p>
    <w:p w14:paraId="31563918" w14:textId="1CCC27F9" w:rsidR="00DB1F27" w:rsidRPr="00E55CC0" w:rsidRDefault="00B90787" w:rsidP="00A51FB5">
      <w:pPr>
        <w:pStyle w:val="ListParagraph"/>
        <w:numPr>
          <w:ilvl w:val="0"/>
          <w:numId w:val="18"/>
        </w:numPr>
        <w:spacing w:after="160" w:line="259" w:lineRule="auto"/>
        <w:jc w:val="both"/>
      </w:pPr>
      <w:r w:rsidRPr="00E55CC0">
        <w:t>P</w:t>
      </w:r>
      <w:r w:rsidR="00CE7162" w:rsidRPr="00E55CC0">
        <w:t xml:space="preserve">roposal(s) </w:t>
      </w:r>
      <w:r w:rsidR="00DB1F27" w:rsidRPr="00E55CC0">
        <w:t xml:space="preserve">for collaborative projects and secondments must </w:t>
      </w:r>
      <w:r w:rsidR="00574B02" w:rsidRPr="00E55CC0">
        <w:t xml:space="preserve">include details on underpinning research and its fit with the </w:t>
      </w:r>
      <w:hyperlink r:id="rId21" w:history="1">
        <w:r w:rsidR="00574B02" w:rsidRPr="009D6DF9">
          <w:rPr>
            <w:rStyle w:val="Hyperlink"/>
            <w:color w:val="0070C0"/>
          </w:rPr>
          <w:t>EPSRC remit</w:t>
        </w:r>
      </w:hyperlink>
    </w:p>
    <w:p w14:paraId="53D90BD5" w14:textId="7AA36CC3" w:rsidR="00A51FB5" w:rsidRDefault="00CE7162" w:rsidP="00A51FB5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>The proposal</w:t>
      </w:r>
      <w:r w:rsidR="00A51FB5">
        <w:t xml:space="preserve"> should be focussed on the development and strengthening of a</w:t>
      </w:r>
      <w:r w:rsidR="009F41B4">
        <w:t xml:space="preserve"> </w:t>
      </w:r>
      <w:r w:rsidR="00A51FB5">
        <w:t xml:space="preserve">partner relationship with strategic </w:t>
      </w:r>
      <w:proofErr w:type="gramStart"/>
      <w:r w:rsidR="00A51FB5">
        <w:t>potential</w:t>
      </w:r>
      <w:proofErr w:type="gramEnd"/>
    </w:p>
    <w:p w14:paraId="48A7DA79" w14:textId="6D6FC148" w:rsidR="00A51FB5" w:rsidRDefault="00CE7162" w:rsidP="00A51FB5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>The proposal</w:t>
      </w:r>
      <w:r w:rsidR="00A51FB5">
        <w:t xml:space="preserve"> should clearly articulate the potential strategic benefit of the relationship and outline which activities and engagement mechanisms will be utilised to achieve </w:t>
      </w:r>
      <w:proofErr w:type="gramStart"/>
      <w:r w:rsidR="00A51FB5">
        <w:t>this</w:t>
      </w:r>
      <w:proofErr w:type="gramEnd"/>
    </w:p>
    <w:p w14:paraId="2AE3CE5F" w14:textId="5184E2EC" w:rsidR="00A51FB5" w:rsidRDefault="00CE7162" w:rsidP="00A51FB5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 xml:space="preserve">The proposal </w:t>
      </w:r>
      <w:r w:rsidR="00A51FB5" w:rsidRPr="00F45A90">
        <w:t xml:space="preserve">should indicate any </w:t>
      </w:r>
      <w:r w:rsidR="00A51FB5" w:rsidRPr="003D7AE8">
        <w:t>link to funding</w:t>
      </w:r>
      <w:r w:rsidR="00A51FB5" w:rsidRPr="00F45A90">
        <w:rPr>
          <w:b/>
        </w:rPr>
        <w:t xml:space="preserve"> </w:t>
      </w:r>
      <w:r w:rsidR="00A51FB5" w:rsidRPr="00F45A90">
        <w:t xml:space="preserve">from other funding sources and outline how this could provide additional </w:t>
      </w:r>
      <w:proofErr w:type="gramStart"/>
      <w:r w:rsidR="00A51FB5" w:rsidRPr="00F45A90">
        <w:t>advantage</w:t>
      </w:r>
      <w:proofErr w:type="gramEnd"/>
      <w:r w:rsidR="00A51FB5" w:rsidRPr="00F45A90">
        <w:t xml:space="preserve"> </w:t>
      </w:r>
    </w:p>
    <w:p w14:paraId="04D7E503" w14:textId="61575201" w:rsidR="00BE0677" w:rsidRDefault="00427542" w:rsidP="060202D4">
      <w:pPr>
        <w:pStyle w:val="ListParagraph"/>
        <w:numPr>
          <w:ilvl w:val="0"/>
          <w:numId w:val="18"/>
        </w:numPr>
        <w:spacing w:after="160" w:line="259" w:lineRule="auto"/>
        <w:jc w:val="both"/>
      </w:pPr>
      <w:r>
        <w:t xml:space="preserve">The proposal </w:t>
      </w:r>
      <w:r w:rsidR="00BE0677">
        <w:t>should have a clear knowledge exchange or commercialisation</w:t>
      </w:r>
      <w:r w:rsidR="00BE0677" w:rsidRPr="060202D4">
        <w:rPr>
          <w:b/>
          <w:bCs/>
        </w:rPr>
        <w:t xml:space="preserve"> </w:t>
      </w:r>
      <w:r w:rsidR="00BE0677">
        <w:t>focus</w:t>
      </w:r>
      <w:r w:rsidR="002F42F0">
        <w:t xml:space="preserve"> with the </w:t>
      </w:r>
      <w:r w:rsidR="007E16C9">
        <w:t>short, medium and long</w:t>
      </w:r>
      <w:r w:rsidR="00A51FB5">
        <w:t>-</w:t>
      </w:r>
      <w:r w:rsidR="007E16C9">
        <w:t xml:space="preserve">term anticipated </w:t>
      </w:r>
      <w:r w:rsidR="002F42F0">
        <w:t xml:space="preserve">impact </w:t>
      </w:r>
      <w:r w:rsidR="00CA7520">
        <w:t xml:space="preserve">clearly </w:t>
      </w:r>
      <w:proofErr w:type="gramStart"/>
      <w:r w:rsidR="00CA7520">
        <w:t>identified</w:t>
      </w:r>
      <w:proofErr w:type="gramEnd"/>
    </w:p>
    <w:p w14:paraId="69795C0F" w14:textId="5785071F" w:rsidR="00346041" w:rsidRDefault="006E2328" w:rsidP="004A3E05">
      <w:pPr>
        <w:spacing w:line="259" w:lineRule="auto"/>
        <w:jc w:val="both"/>
      </w:pPr>
      <w:r>
        <w:rPr>
          <w:bCs/>
        </w:rPr>
        <w:t>F</w:t>
      </w:r>
      <w:r w:rsidR="00346041">
        <w:t xml:space="preserve">undable activities that </w:t>
      </w:r>
      <w:r w:rsidR="00535123">
        <w:t xml:space="preserve">can </w:t>
      </w:r>
      <w:r w:rsidR="00346041">
        <w:t>be utilised to support the development and strengthening of the relationship</w:t>
      </w:r>
      <w:r>
        <w:t xml:space="preserve"> are as follows:</w:t>
      </w:r>
    </w:p>
    <w:p w14:paraId="75F18A50" w14:textId="7CDA5478" w:rsidR="00D062EB" w:rsidRDefault="00D062EB" w:rsidP="00D062EB">
      <w:pPr>
        <w:pStyle w:val="ListParagraph"/>
        <w:numPr>
          <w:ilvl w:val="0"/>
          <w:numId w:val="27"/>
        </w:numPr>
        <w:spacing w:line="259" w:lineRule="auto"/>
        <w:jc w:val="both"/>
      </w:pPr>
      <w:r>
        <w:t>Workshops and events to develop propositions</w:t>
      </w:r>
      <w:r w:rsidR="00546E2D">
        <w:t xml:space="preserve">, joint plans and </w:t>
      </w:r>
      <w:proofErr w:type="gramStart"/>
      <w:r w:rsidR="00546E2D">
        <w:t>strategies</w:t>
      </w:r>
      <w:proofErr w:type="gramEnd"/>
      <w:r w:rsidR="006E2328">
        <w:t xml:space="preserve"> </w:t>
      </w:r>
    </w:p>
    <w:p w14:paraId="2FA39DD2" w14:textId="45C3511F" w:rsidR="00D062EB" w:rsidRDefault="00683A34" w:rsidP="00D062EB">
      <w:pPr>
        <w:pStyle w:val="ListParagraph"/>
        <w:numPr>
          <w:ilvl w:val="0"/>
          <w:numId w:val="27"/>
        </w:numPr>
        <w:spacing w:line="259" w:lineRule="auto"/>
        <w:jc w:val="both"/>
      </w:pPr>
      <w:r>
        <w:t xml:space="preserve">Outward and inward </w:t>
      </w:r>
      <w:r w:rsidR="00D062EB">
        <w:t>secondments</w:t>
      </w:r>
      <w:r w:rsidR="00E02088">
        <w:t xml:space="preserve"> (typically partnership champions)</w:t>
      </w:r>
    </w:p>
    <w:p w14:paraId="40293A57" w14:textId="7B7F10E0" w:rsidR="00346041" w:rsidRDefault="00D062EB" w:rsidP="00E55CC0">
      <w:pPr>
        <w:pStyle w:val="ListParagraph"/>
        <w:numPr>
          <w:ilvl w:val="0"/>
          <w:numId w:val="27"/>
        </w:numPr>
        <w:spacing w:line="259" w:lineRule="auto"/>
        <w:jc w:val="both"/>
      </w:pPr>
      <w:r>
        <w:t>Collaborative research projects</w:t>
      </w:r>
      <w:r w:rsidR="00CC55EA">
        <w:t xml:space="preserve"> </w:t>
      </w:r>
    </w:p>
    <w:p w14:paraId="2248BE2C" w14:textId="0BEB4F72" w:rsidR="007D5402" w:rsidRPr="00FF5073" w:rsidRDefault="00CC55EA" w:rsidP="007D5402">
      <w:pPr>
        <w:spacing w:line="259" w:lineRule="auto"/>
        <w:jc w:val="both"/>
      </w:pPr>
      <w:r>
        <w:lastRenderedPageBreak/>
        <w:t>Eligible costs include staff time</w:t>
      </w:r>
      <w:r w:rsidR="0084610D">
        <w:t xml:space="preserve"> and consumable</w:t>
      </w:r>
      <w:r w:rsidR="00683A34">
        <w:t>s</w:t>
      </w:r>
      <w:r w:rsidR="0084610D">
        <w:t xml:space="preserve">. </w:t>
      </w:r>
      <w:r w:rsidR="00683A34">
        <w:t>Staff t</w:t>
      </w:r>
      <w:r w:rsidR="0084610D">
        <w:t xml:space="preserve">ravel and </w:t>
      </w:r>
      <w:r w:rsidR="00683A34">
        <w:t>subsistence</w:t>
      </w:r>
      <w:r w:rsidR="007D5402">
        <w:t xml:space="preserve"> for </w:t>
      </w:r>
      <w:r w:rsidR="00683A34">
        <w:t>partner</w:t>
      </w:r>
      <w:r w:rsidR="007D5402">
        <w:t xml:space="preserve"> meetings and interactions (appropriately combined with virtual formats, in line with the </w:t>
      </w:r>
      <w:hyperlink r:id="rId22" w:history="1">
        <w:r w:rsidR="007D5402" w:rsidRPr="006B2155">
          <w:rPr>
            <w:rStyle w:val="Hyperlink"/>
          </w:rPr>
          <w:t>University Sustainable Travel Policy</w:t>
        </w:r>
      </w:hyperlink>
      <w:r w:rsidR="007D5402">
        <w:t xml:space="preserve">) </w:t>
      </w:r>
      <w:r>
        <w:t>is also fundable.</w:t>
      </w:r>
    </w:p>
    <w:p w14:paraId="08B0033C" w14:textId="77777777" w:rsidR="00DC50D3" w:rsidRPr="00DC50D3" w:rsidRDefault="00DC50D3" w:rsidP="006C3620">
      <w:pPr>
        <w:pStyle w:val="Heading3"/>
      </w:pPr>
      <w:bookmarkStart w:id="11" w:name="_Toc111122742"/>
      <w:bookmarkStart w:id="12" w:name="PartnerOrganisations"/>
      <w:r w:rsidRPr="00DC50D3">
        <w:t>Partner organisations</w:t>
      </w:r>
      <w:bookmarkEnd w:id="11"/>
    </w:p>
    <w:bookmarkEnd w:id="12"/>
    <w:p w14:paraId="35F0B477" w14:textId="5574F5FF" w:rsidR="00284770" w:rsidRPr="00F00B20" w:rsidRDefault="00284770" w:rsidP="00F00B20">
      <w:pPr>
        <w:jc w:val="both"/>
      </w:pPr>
      <w:r w:rsidRPr="00F00B20">
        <w:t xml:space="preserve">The proposal must justify the choice of partner organisation. </w:t>
      </w:r>
    </w:p>
    <w:p w14:paraId="6378D04A" w14:textId="3E49F2B4" w:rsidR="003D7AE8" w:rsidRPr="003D7AE8" w:rsidRDefault="00520073" w:rsidP="006C3620">
      <w:pPr>
        <w:pStyle w:val="ListParagraph"/>
        <w:numPr>
          <w:ilvl w:val="0"/>
          <w:numId w:val="22"/>
        </w:numPr>
        <w:spacing w:after="0"/>
        <w:jc w:val="both"/>
        <w:rPr>
          <w:rStyle w:val="apple-style-span"/>
        </w:rPr>
      </w:pPr>
      <w:r>
        <w:rPr>
          <w:rStyle w:val="apple-style-span"/>
          <w:color w:val="000000" w:themeColor="text1"/>
        </w:rPr>
        <w:t xml:space="preserve">Partner organisations can be based in the </w:t>
      </w:r>
      <w:r w:rsidR="003D7AE8" w:rsidRPr="00520073">
        <w:rPr>
          <w:rStyle w:val="apple-style-span"/>
          <w:color w:val="000000" w:themeColor="text1"/>
        </w:rPr>
        <w:t xml:space="preserve">UK </w:t>
      </w:r>
      <w:r>
        <w:rPr>
          <w:rStyle w:val="apple-style-span"/>
          <w:color w:val="000000" w:themeColor="text1"/>
        </w:rPr>
        <w:t>or</w:t>
      </w:r>
      <w:r w:rsidR="003D7AE8" w:rsidRPr="00520073">
        <w:rPr>
          <w:rStyle w:val="apple-style-span"/>
          <w:color w:val="000000" w:themeColor="text1"/>
        </w:rPr>
        <w:t xml:space="preserve"> overseas</w:t>
      </w:r>
      <w:r w:rsidR="005316A3">
        <w:rPr>
          <w:rStyle w:val="apple-style-span"/>
          <w:color w:val="000000" w:themeColor="text1"/>
        </w:rPr>
        <w:t>.</w:t>
      </w:r>
    </w:p>
    <w:p w14:paraId="2CDB8944" w14:textId="247DDD1F" w:rsidR="00665C72" w:rsidRDefault="003E31F0" w:rsidP="00EB5DAB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 xml:space="preserve">The proposal </w:t>
      </w:r>
      <w:r w:rsidR="00520073">
        <w:t xml:space="preserve">should include </w:t>
      </w:r>
      <w:r w:rsidR="00DC50D3" w:rsidRPr="003D7AE8">
        <w:t xml:space="preserve">a </w:t>
      </w:r>
      <w:r w:rsidR="00520073">
        <w:t xml:space="preserve">statement </w:t>
      </w:r>
      <w:r w:rsidR="00BF4093">
        <w:t>of</w:t>
      </w:r>
      <w:r w:rsidR="00665C72">
        <w:t xml:space="preserve"> support</w:t>
      </w:r>
      <w:r w:rsidR="00BF4093">
        <w:t xml:space="preserve"> </w:t>
      </w:r>
      <w:r w:rsidR="00520073">
        <w:t xml:space="preserve">from the partner organisation demonstrating their commitment to the </w:t>
      </w:r>
      <w:r w:rsidR="00D42EE1">
        <w:t xml:space="preserve">activities outlined in the </w:t>
      </w:r>
      <w:r w:rsidR="00520073">
        <w:t>proposal</w:t>
      </w:r>
      <w:r w:rsidR="00284770">
        <w:t xml:space="preserve"> </w:t>
      </w:r>
      <w:r w:rsidR="00F00B20">
        <w:t>and the development of the partnership.</w:t>
      </w:r>
    </w:p>
    <w:p w14:paraId="5E975AA9" w14:textId="33D307F1" w:rsidR="00D42EE1" w:rsidRDefault="00597F4C" w:rsidP="00FF5073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The expectation is that partner organisations will have existing relationships with the University</w:t>
      </w:r>
      <w:r w:rsidR="006E7EFD">
        <w:t>.</w:t>
      </w:r>
      <w:r>
        <w:t xml:space="preserve"> </w:t>
      </w:r>
      <w:r w:rsidR="0042748B">
        <w:t>T</w:t>
      </w:r>
      <w:r>
        <w:t>here may be varying degrees to thi</w:t>
      </w:r>
      <w:r w:rsidR="0042748B">
        <w:t>s, however, the application should demonstrate the added value of developing the partnership.</w:t>
      </w:r>
    </w:p>
    <w:p w14:paraId="6F7DFE67" w14:textId="77777777" w:rsidR="00DC50D3" w:rsidRPr="003D7AE8" w:rsidRDefault="003D7AE8" w:rsidP="006C3620">
      <w:pPr>
        <w:pStyle w:val="Heading3"/>
      </w:pPr>
      <w:bookmarkStart w:id="13" w:name="_Toc111122743"/>
      <w:bookmarkStart w:id="14" w:name="InternalRequirements"/>
      <w:r w:rsidRPr="003D7AE8">
        <w:t>Internal requirements</w:t>
      </w:r>
      <w:bookmarkEnd w:id="13"/>
    </w:p>
    <w:bookmarkEnd w:id="14"/>
    <w:p w14:paraId="39A831A6" w14:textId="457EE2F7" w:rsidR="00481B03" w:rsidRPr="003D7AE8" w:rsidRDefault="007A77BB" w:rsidP="00F45A90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rPr>
          <w:rFonts w:eastAsia="Times New Roman"/>
          <w:color w:val="000000" w:themeColor="text1"/>
          <w:lang w:eastAsia="en-GB"/>
        </w:rPr>
        <w:t xml:space="preserve">Applicants </w:t>
      </w:r>
      <w:r w:rsidR="00481B03" w:rsidRPr="00F45A90">
        <w:rPr>
          <w:rFonts w:eastAsia="Times New Roman"/>
          <w:color w:val="000000" w:themeColor="text1"/>
          <w:lang w:eastAsia="en-GB"/>
        </w:rPr>
        <w:t>are required to follow School research application procedures when applying for this funding</w:t>
      </w:r>
      <w:r w:rsidR="0042748B">
        <w:rPr>
          <w:rFonts w:eastAsia="Times New Roman"/>
          <w:color w:val="000000" w:themeColor="text1"/>
          <w:lang w:eastAsia="en-GB"/>
        </w:rPr>
        <w:t xml:space="preserve"> including costings.</w:t>
      </w:r>
    </w:p>
    <w:p w14:paraId="04858BDE" w14:textId="53E28205" w:rsidR="00201406" w:rsidRDefault="00123108" w:rsidP="00201406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>T</w:t>
      </w:r>
      <w:r w:rsidR="002B7A26">
        <w:t>he</w:t>
      </w:r>
      <w:r w:rsidR="00ED6168">
        <w:t xml:space="preserve"> proposal </w:t>
      </w:r>
      <w:r w:rsidR="003D7AE8" w:rsidRPr="003D7AE8">
        <w:t xml:space="preserve">for funding </w:t>
      </w:r>
      <w:r w:rsidR="00520073">
        <w:t xml:space="preserve">must be created </w:t>
      </w:r>
      <w:r w:rsidR="003D7AE8" w:rsidRPr="003D7AE8">
        <w:t xml:space="preserve">as </w:t>
      </w:r>
      <w:r>
        <w:t xml:space="preserve">an </w:t>
      </w:r>
      <w:r w:rsidR="003D7AE8" w:rsidRPr="003D7AE8">
        <w:t>opportunit</w:t>
      </w:r>
      <w:r>
        <w:t>y</w:t>
      </w:r>
      <w:r w:rsidR="003D7AE8" w:rsidRPr="003D7AE8">
        <w:t xml:space="preserve"> in </w:t>
      </w:r>
      <w:r w:rsidR="00426B68">
        <w:t>the appropriate research management databases (</w:t>
      </w:r>
      <w:r w:rsidR="00105A8F">
        <w:t>including Worktribe and IRM</w:t>
      </w:r>
      <w:r w:rsidR="00426B68">
        <w:t xml:space="preserve">) </w:t>
      </w:r>
      <w:r w:rsidR="003D7AE8" w:rsidRPr="003D7AE8">
        <w:t xml:space="preserve">prior to or upon </w:t>
      </w:r>
      <w:r w:rsidR="002E46AA">
        <w:t xml:space="preserve">the proposal </w:t>
      </w:r>
      <w:r w:rsidR="003D7AE8" w:rsidRPr="003D7AE8">
        <w:t>being submitted. No award can be mad</w:t>
      </w:r>
      <w:r w:rsidR="003D7AE8">
        <w:t>e without this being documented</w:t>
      </w:r>
      <w:r w:rsidR="00F00B20">
        <w:t>.</w:t>
      </w:r>
    </w:p>
    <w:p w14:paraId="12537FF8" w14:textId="065B1C55" w:rsidR="00201406" w:rsidRDefault="00123108" w:rsidP="00201406">
      <w:pPr>
        <w:pStyle w:val="ListParagraph"/>
        <w:numPr>
          <w:ilvl w:val="0"/>
          <w:numId w:val="4"/>
        </w:numPr>
        <w:spacing w:after="160" w:line="259" w:lineRule="auto"/>
        <w:ind w:left="360"/>
        <w:jc w:val="both"/>
      </w:pPr>
      <w:r>
        <w:t xml:space="preserve">Applications </w:t>
      </w:r>
      <w:r w:rsidR="00FB1F1F">
        <w:t>must</w:t>
      </w:r>
      <w:r>
        <w:t xml:space="preserve"> be </w:t>
      </w:r>
      <w:r w:rsidR="00082A55">
        <w:t xml:space="preserve">endorsed </w:t>
      </w:r>
      <w:r w:rsidR="00A320A9">
        <w:t xml:space="preserve">and managed by </w:t>
      </w:r>
      <w:r w:rsidR="00DB63D9">
        <w:t xml:space="preserve">the EI account team, or </w:t>
      </w:r>
      <w:r w:rsidR="00291A3C">
        <w:t>equivalent</w:t>
      </w:r>
      <w:r w:rsidR="00DB63D9">
        <w:t xml:space="preserve">, </w:t>
      </w:r>
      <w:r w:rsidR="000530A2">
        <w:t>at the lead School for the application.</w:t>
      </w:r>
    </w:p>
    <w:p w14:paraId="2861090A" w14:textId="77777777" w:rsidR="003D7AE8" w:rsidRPr="003D7AE8" w:rsidRDefault="002B7A26" w:rsidP="006C3620">
      <w:pPr>
        <w:pStyle w:val="Heading3"/>
      </w:pPr>
      <w:bookmarkStart w:id="15" w:name="_Toc111122744"/>
      <w:bookmarkStart w:id="16" w:name="ProjectDuration"/>
      <w:r>
        <w:t>Proposal</w:t>
      </w:r>
      <w:r w:rsidR="003D7AE8" w:rsidRPr="003D7AE8">
        <w:t xml:space="preserve"> duration</w:t>
      </w:r>
      <w:bookmarkEnd w:id="15"/>
    </w:p>
    <w:bookmarkEnd w:id="16"/>
    <w:p w14:paraId="645C6078" w14:textId="0779C48A" w:rsidR="00542F9D" w:rsidRPr="00542F9D" w:rsidRDefault="00542F9D" w:rsidP="00542F9D">
      <w:pPr>
        <w:pStyle w:val="ListParagraph"/>
        <w:numPr>
          <w:ilvl w:val="0"/>
          <w:numId w:val="20"/>
        </w:numPr>
      </w:pPr>
      <w:r w:rsidRPr="00542F9D">
        <w:t>The maximum duration for any proposal and its associated engagement activities is 12 months</w:t>
      </w:r>
      <w:r w:rsidR="00746E91">
        <w:t>, although funding levels and duration should be appropriate to the activities and proportional to the added value.</w:t>
      </w:r>
    </w:p>
    <w:p w14:paraId="632A4B19" w14:textId="4B974B39" w:rsidR="003E5FC2" w:rsidRDefault="003E5FC2" w:rsidP="001C0909">
      <w:pPr>
        <w:pStyle w:val="ListParagraph"/>
        <w:numPr>
          <w:ilvl w:val="0"/>
          <w:numId w:val="20"/>
        </w:numPr>
        <w:spacing w:after="160" w:line="259" w:lineRule="auto"/>
        <w:jc w:val="both"/>
      </w:pPr>
      <w:r>
        <w:t>Activities</w:t>
      </w:r>
      <w:r w:rsidR="00FF0A24">
        <w:t xml:space="preserve"> must</w:t>
      </w:r>
      <w:r>
        <w:t xml:space="preserve"> start </w:t>
      </w:r>
      <w:r w:rsidR="00C74A97">
        <w:t>by January</w:t>
      </w:r>
      <w:r w:rsidR="004C673A">
        <w:t xml:space="preserve"> 2023.</w:t>
      </w:r>
    </w:p>
    <w:p w14:paraId="16FF9498" w14:textId="77777777" w:rsidR="00BE0677" w:rsidRDefault="00A40B19" w:rsidP="006C3620">
      <w:pPr>
        <w:pStyle w:val="Heading2"/>
      </w:pPr>
      <w:bookmarkStart w:id="17" w:name="_Toc111122745"/>
      <w:bookmarkStart w:id="18" w:name="ProjectCosting"/>
      <w:r>
        <w:t xml:space="preserve">PROPOSAL </w:t>
      </w:r>
      <w:r w:rsidR="002B7A26">
        <w:t xml:space="preserve">AND ACTIVITY </w:t>
      </w:r>
      <w:r w:rsidR="00336AB4">
        <w:t>COSTING</w:t>
      </w:r>
      <w:bookmarkEnd w:id="17"/>
    </w:p>
    <w:bookmarkEnd w:id="18"/>
    <w:p w14:paraId="5E994E08" w14:textId="77777777" w:rsidR="00A326E4" w:rsidRDefault="00A326E4" w:rsidP="00A326E4">
      <w:r w:rsidRPr="00FF5073">
        <w:rPr>
          <w:b/>
        </w:rPr>
        <w:t>Table 1</w:t>
      </w:r>
      <w:r>
        <w:t xml:space="preserve"> below provides guidance on the type of resources and engagement activities as well as the maximum amount of IAA funds that can be requested for each.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A326E4" w14:paraId="4AD2F566" w14:textId="77777777" w:rsidTr="0E796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shd w:val="clear" w:color="auto" w:fill="17365D" w:themeFill="text2" w:themeFillShade="BF"/>
          </w:tcPr>
          <w:p w14:paraId="3A538417" w14:textId="77777777" w:rsidR="00A326E4" w:rsidRPr="007D58FC" w:rsidRDefault="00A326E4" w:rsidP="003A71D8">
            <w:pPr>
              <w:spacing w:line="238" w:lineRule="atLeast"/>
              <w:rPr>
                <w:rFonts w:eastAsia="Times New Roman"/>
                <w:bCs w:val="0"/>
                <w:sz w:val="24"/>
                <w:szCs w:val="24"/>
                <w:lang w:eastAsia="en-GB"/>
              </w:rPr>
            </w:pPr>
            <w:r w:rsidRPr="007D58FC">
              <w:rPr>
                <w:rFonts w:eastAsia="Times New Roman"/>
                <w:bCs w:val="0"/>
                <w:sz w:val="24"/>
                <w:szCs w:val="24"/>
                <w:lang w:eastAsia="en-GB"/>
              </w:rPr>
              <w:t>Resources</w:t>
            </w:r>
          </w:p>
        </w:tc>
        <w:tc>
          <w:tcPr>
            <w:tcW w:w="3918" w:type="dxa"/>
            <w:shd w:val="clear" w:color="auto" w:fill="17365D" w:themeFill="text2" w:themeFillShade="BF"/>
          </w:tcPr>
          <w:p w14:paraId="30FF3CF9" w14:textId="77777777" w:rsidR="00A326E4" w:rsidRPr="007D58FC" w:rsidRDefault="00A326E4" w:rsidP="003A71D8">
            <w:pPr>
              <w:spacing w:line="238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sz w:val="24"/>
                <w:szCs w:val="24"/>
                <w:lang w:eastAsia="en-GB"/>
              </w:rPr>
            </w:pPr>
            <w:r w:rsidRPr="007D58FC">
              <w:rPr>
                <w:rFonts w:eastAsia="Times New Roman"/>
                <w:bCs w:val="0"/>
                <w:sz w:val="24"/>
                <w:szCs w:val="24"/>
                <w:lang w:eastAsia="en-GB"/>
              </w:rPr>
              <w:t xml:space="preserve">Funds </w:t>
            </w:r>
            <w:r>
              <w:rPr>
                <w:rFonts w:eastAsia="Times New Roman"/>
                <w:bCs w:val="0"/>
                <w:sz w:val="24"/>
                <w:szCs w:val="24"/>
                <w:lang w:eastAsia="en-GB"/>
              </w:rPr>
              <w:t>available (up to)</w:t>
            </w:r>
          </w:p>
        </w:tc>
      </w:tr>
      <w:tr w:rsidR="00A326E4" w14:paraId="05C7A8A8" w14:textId="77777777" w:rsidTr="0E79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A1D14D6" w14:textId="77777777" w:rsidR="00A326E4" w:rsidRPr="00BF48D2" w:rsidRDefault="00A326E4" w:rsidP="003A71D8">
            <w:pPr>
              <w:spacing w:line="238" w:lineRule="atLeast"/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>Travel/accommodation/subsistence</w:t>
            </w:r>
          </w:p>
        </w:tc>
        <w:tc>
          <w:tcPr>
            <w:tcW w:w="3918" w:type="dxa"/>
          </w:tcPr>
          <w:p w14:paraId="68B513DB" w14:textId="77777777" w:rsidR="00A326E4" w:rsidRPr="00BF48D2" w:rsidRDefault="00A326E4" w:rsidP="003A71D8">
            <w:pPr>
              <w:spacing w:line="23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Cs/>
                <w:color w:val="000000" w:themeColor="text1"/>
                <w:szCs w:val="24"/>
                <w:lang w:eastAsia="en-GB"/>
              </w:rPr>
              <w:t>£5,000</w:t>
            </w:r>
          </w:p>
        </w:tc>
      </w:tr>
      <w:tr w:rsidR="00A326E4" w14:paraId="230DD3D1" w14:textId="77777777" w:rsidTr="0E79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579DDE51" w14:textId="77777777" w:rsidR="00A326E4" w:rsidRPr="00BF48D2" w:rsidRDefault="00A326E4" w:rsidP="003A71D8">
            <w:pPr>
              <w:spacing w:line="238" w:lineRule="atLeast"/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>Meeting/workshop costs (</w:t>
            </w:r>
            <w:proofErr w:type="gramStart"/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>e.g.</w:t>
            </w:r>
            <w:proofErr w:type="gramEnd"/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 xml:space="preserve"> catering)</w:t>
            </w:r>
          </w:p>
        </w:tc>
        <w:tc>
          <w:tcPr>
            <w:tcW w:w="3918" w:type="dxa"/>
          </w:tcPr>
          <w:p w14:paraId="5E66A67C" w14:textId="77777777" w:rsidR="00A326E4" w:rsidRPr="00BF48D2" w:rsidRDefault="00A326E4" w:rsidP="003A71D8">
            <w:pPr>
              <w:spacing w:line="23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Cs/>
                <w:color w:val="000000" w:themeColor="text1"/>
                <w:szCs w:val="24"/>
                <w:lang w:eastAsia="en-GB"/>
              </w:rPr>
              <w:t>£2,500</w:t>
            </w:r>
          </w:p>
        </w:tc>
      </w:tr>
      <w:tr w:rsidR="00A326E4" w14:paraId="05542216" w14:textId="77777777" w:rsidTr="0E79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6483BA90" w14:textId="77777777" w:rsidR="00A326E4" w:rsidRPr="00BF48D2" w:rsidRDefault="00A326E4" w:rsidP="003A71D8">
            <w:pPr>
              <w:spacing w:line="238" w:lineRule="atLeast"/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>Events costs (</w:t>
            </w:r>
            <w:proofErr w:type="gramStart"/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>e.g.</w:t>
            </w:r>
            <w:proofErr w:type="gramEnd"/>
            <w:r w:rsidRPr="00BF48D2">
              <w:rPr>
                <w:rFonts w:eastAsia="Times New Roman"/>
                <w:b w:val="0"/>
                <w:bCs w:val="0"/>
                <w:color w:val="000000" w:themeColor="text1"/>
                <w:szCs w:val="24"/>
                <w:lang w:eastAsia="en-GB"/>
              </w:rPr>
              <w:t xml:space="preserve"> room hire, catering)</w:t>
            </w:r>
          </w:p>
        </w:tc>
        <w:tc>
          <w:tcPr>
            <w:tcW w:w="3918" w:type="dxa"/>
          </w:tcPr>
          <w:p w14:paraId="2C9904A6" w14:textId="77777777" w:rsidR="00A326E4" w:rsidRPr="00BF48D2" w:rsidRDefault="00A326E4" w:rsidP="003A71D8">
            <w:pPr>
              <w:spacing w:line="23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Cs/>
                <w:color w:val="000000" w:themeColor="text1"/>
                <w:szCs w:val="24"/>
                <w:lang w:eastAsia="en-GB"/>
              </w:rPr>
              <w:t>£5,000</w:t>
            </w:r>
          </w:p>
        </w:tc>
      </w:tr>
      <w:tr w:rsidR="00A326E4" w14:paraId="665F99AD" w14:textId="77777777" w:rsidTr="0E796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07AC47F0" w14:textId="77777777" w:rsidR="00A326E4" w:rsidRPr="00BF48D2" w:rsidRDefault="00A326E4" w:rsidP="003A71D8">
            <w:pPr>
              <w:spacing w:line="238" w:lineRule="atLeast"/>
              <w:rPr>
                <w:rFonts w:eastAsia="Times New Roman"/>
                <w:b w:val="0"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 w:val="0"/>
                <w:color w:val="000000" w:themeColor="text1"/>
                <w:szCs w:val="24"/>
                <w:lang w:eastAsia="en-GB"/>
              </w:rPr>
              <w:t>Collaborative projects</w:t>
            </w:r>
          </w:p>
        </w:tc>
        <w:tc>
          <w:tcPr>
            <w:tcW w:w="3918" w:type="dxa"/>
          </w:tcPr>
          <w:p w14:paraId="77508086" w14:textId="6FE84CB9" w:rsidR="00A326E4" w:rsidRPr="00BF48D2" w:rsidRDefault="11D0F5BB" w:rsidP="0E796A76">
            <w:pPr>
              <w:spacing w:line="23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en-GB"/>
              </w:rPr>
            </w:pPr>
            <w:r w:rsidRPr="0E796A76">
              <w:rPr>
                <w:rFonts w:eastAsia="Times New Roman"/>
                <w:color w:val="000000" w:themeColor="text1"/>
                <w:lang w:eastAsia="en-GB"/>
              </w:rPr>
              <w:t>£</w:t>
            </w:r>
            <w:r w:rsidR="06BF0445" w:rsidRPr="0E796A76">
              <w:rPr>
                <w:rFonts w:eastAsia="Times New Roman"/>
                <w:color w:val="000000" w:themeColor="text1"/>
                <w:lang w:eastAsia="en-GB"/>
              </w:rPr>
              <w:t>6</w:t>
            </w:r>
            <w:r w:rsidRPr="0E796A76">
              <w:rPr>
                <w:rFonts w:eastAsia="Times New Roman"/>
                <w:color w:val="000000" w:themeColor="text1"/>
                <w:lang w:eastAsia="en-GB"/>
              </w:rPr>
              <w:t>0,000</w:t>
            </w:r>
          </w:p>
        </w:tc>
      </w:tr>
      <w:tr w:rsidR="00A326E4" w14:paraId="11FC2B09" w14:textId="77777777" w:rsidTr="0E796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7C976B91" w14:textId="77777777" w:rsidR="00A326E4" w:rsidRPr="00BF48D2" w:rsidRDefault="00A326E4" w:rsidP="003A71D8">
            <w:pPr>
              <w:spacing w:line="238" w:lineRule="atLeast"/>
              <w:rPr>
                <w:rFonts w:eastAsia="Times New Roman"/>
                <w:b w:val="0"/>
                <w:color w:val="000000" w:themeColor="text1"/>
                <w:szCs w:val="24"/>
                <w:lang w:eastAsia="en-GB"/>
              </w:rPr>
            </w:pPr>
            <w:r w:rsidRPr="00BF48D2">
              <w:rPr>
                <w:rFonts w:eastAsia="Times New Roman"/>
                <w:b w:val="0"/>
                <w:color w:val="000000" w:themeColor="text1"/>
                <w:szCs w:val="24"/>
                <w:lang w:eastAsia="en-GB"/>
              </w:rPr>
              <w:t>Secondments</w:t>
            </w:r>
          </w:p>
        </w:tc>
        <w:tc>
          <w:tcPr>
            <w:tcW w:w="3918" w:type="dxa"/>
          </w:tcPr>
          <w:p w14:paraId="5806A531" w14:textId="7ED28C36" w:rsidR="00A326E4" w:rsidRPr="00BF48D2" w:rsidRDefault="11D0F5BB" w:rsidP="0E796A76">
            <w:pPr>
              <w:spacing w:line="23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lang w:eastAsia="en-GB"/>
              </w:rPr>
            </w:pPr>
            <w:r w:rsidRPr="0E796A76">
              <w:rPr>
                <w:rFonts w:eastAsia="Times New Roman"/>
                <w:color w:val="000000" w:themeColor="text1"/>
                <w:lang w:eastAsia="en-GB"/>
              </w:rPr>
              <w:t>£</w:t>
            </w:r>
            <w:r w:rsidR="06BF0445" w:rsidRPr="0E796A76">
              <w:rPr>
                <w:rFonts w:eastAsia="Times New Roman"/>
                <w:color w:val="000000" w:themeColor="text1"/>
                <w:lang w:eastAsia="en-GB"/>
              </w:rPr>
              <w:t>6</w:t>
            </w:r>
            <w:r w:rsidRPr="0E796A76">
              <w:rPr>
                <w:rFonts w:eastAsia="Times New Roman"/>
                <w:color w:val="000000" w:themeColor="text1"/>
                <w:lang w:eastAsia="en-GB"/>
              </w:rPr>
              <w:t>0,000</w:t>
            </w:r>
          </w:p>
        </w:tc>
      </w:tr>
    </w:tbl>
    <w:p w14:paraId="120BB0C5" w14:textId="77777777" w:rsidR="00A326E4" w:rsidRPr="00670173" w:rsidRDefault="00A326E4" w:rsidP="00A326E4">
      <w:pPr>
        <w:jc w:val="center"/>
        <w:rPr>
          <w:i/>
        </w:rPr>
      </w:pPr>
      <w:r w:rsidRPr="00670173">
        <w:rPr>
          <w:i/>
        </w:rPr>
        <w:t>Table 1</w:t>
      </w:r>
    </w:p>
    <w:p w14:paraId="6988EB4F" w14:textId="77777777" w:rsidR="00054F0B" w:rsidRDefault="00054F0B" w:rsidP="00054F0B">
      <w:pPr>
        <w:pStyle w:val="ListParagraph"/>
        <w:numPr>
          <w:ilvl w:val="0"/>
          <w:numId w:val="28"/>
        </w:numPr>
        <w:spacing w:after="0" w:line="259" w:lineRule="auto"/>
      </w:pPr>
      <w:r>
        <w:t xml:space="preserve">A maximum of £100,000 can be requested per </w:t>
      </w:r>
      <w:proofErr w:type="gramStart"/>
      <w:r>
        <w:t>proposal</w:t>
      </w:r>
      <w:proofErr w:type="gramEnd"/>
    </w:p>
    <w:p w14:paraId="3DC1D442" w14:textId="43767CC5" w:rsidR="00054F0B" w:rsidRDefault="008D65E1" w:rsidP="00054F0B">
      <w:pPr>
        <w:pStyle w:val="ListParagraph"/>
        <w:numPr>
          <w:ilvl w:val="0"/>
          <w:numId w:val="28"/>
        </w:numPr>
      </w:pPr>
      <w:r>
        <w:t xml:space="preserve">IAA funds will only cover </w:t>
      </w:r>
      <w:r w:rsidRPr="00E55CC0">
        <w:rPr>
          <w:b/>
          <w:bCs/>
        </w:rPr>
        <w:t>direct project costs</w:t>
      </w:r>
      <w:r>
        <w:t xml:space="preserve">. </w:t>
      </w:r>
      <w:r w:rsidR="007F0DA4">
        <w:t>(</w:t>
      </w:r>
      <w:r>
        <w:t xml:space="preserve">Please refer to the </w:t>
      </w:r>
      <w:hyperlink r:id="rId23" w:history="1">
        <w:r w:rsidRPr="00A07E22">
          <w:rPr>
            <w:rStyle w:val="Hyperlink"/>
            <w:color w:val="0070C0"/>
          </w:rPr>
          <w:t xml:space="preserve">EPSRC guidance on </w:t>
        </w:r>
        <w:r w:rsidR="004441C8" w:rsidRPr="00A07E22">
          <w:rPr>
            <w:rStyle w:val="Hyperlink"/>
            <w:color w:val="0070C0"/>
          </w:rPr>
          <w:t>project costs</w:t>
        </w:r>
      </w:hyperlink>
      <w:r w:rsidR="004441C8">
        <w:t xml:space="preserve"> for definitions.</w:t>
      </w:r>
      <w:r w:rsidR="007F0DA4">
        <w:t>)</w:t>
      </w:r>
    </w:p>
    <w:p w14:paraId="1EA7F50B" w14:textId="3B7E433E" w:rsidR="00DD53CF" w:rsidRPr="00F45A90" w:rsidRDefault="0094184C" w:rsidP="00054F0B">
      <w:pPr>
        <w:pStyle w:val="ListParagraph"/>
        <w:numPr>
          <w:ilvl w:val="1"/>
          <w:numId w:val="28"/>
        </w:numPr>
      </w:pPr>
      <w:r>
        <w:t xml:space="preserve">The </w:t>
      </w:r>
      <w:r w:rsidR="00BF48D2">
        <w:t>activit</w:t>
      </w:r>
      <w:r>
        <w:t>ies</w:t>
      </w:r>
      <w:r w:rsidR="00BF48D2">
        <w:t xml:space="preserve"> </w:t>
      </w:r>
      <w:r>
        <w:t xml:space="preserve">in the proposal </w:t>
      </w:r>
      <w:r w:rsidR="00DD53CF" w:rsidRPr="00F45A90">
        <w:t xml:space="preserve">are to be </w:t>
      </w:r>
      <w:r w:rsidR="00DD53CF" w:rsidRPr="00E55CC0">
        <w:rPr>
          <w:b/>
          <w:bCs/>
        </w:rPr>
        <w:t>costed</w:t>
      </w:r>
      <w:r w:rsidR="00DD53CF">
        <w:t xml:space="preserve"> on a </w:t>
      </w:r>
      <w:hyperlink r:id="rId24" w:history="1">
        <w:r w:rsidR="00DD53CF" w:rsidRPr="00A07E22">
          <w:rPr>
            <w:rStyle w:val="Hyperlink"/>
            <w:color w:val="0070C0"/>
          </w:rPr>
          <w:t>full economic costing (</w:t>
        </w:r>
        <w:proofErr w:type="spellStart"/>
        <w:r w:rsidR="00DD53CF" w:rsidRPr="00A07E22">
          <w:rPr>
            <w:rStyle w:val="Hyperlink"/>
            <w:color w:val="0070C0"/>
          </w:rPr>
          <w:t>fEC</w:t>
        </w:r>
        <w:proofErr w:type="spellEnd"/>
        <w:r w:rsidR="00DD53CF" w:rsidRPr="00A07E22">
          <w:rPr>
            <w:rStyle w:val="Hyperlink"/>
            <w:color w:val="0070C0"/>
          </w:rPr>
          <w:t>) basis</w:t>
        </w:r>
      </w:hyperlink>
      <w:r w:rsidR="009A57F3" w:rsidRPr="00A07E22">
        <w:rPr>
          <w:rStyle w:val="Hyperlink"/>
          <w:color w:val="0070C0"/>
          <w:u w:val="none"/>
        </w:rPr>
        <w:t xml:space="preserve"> </w:t>
      </w:r>
      <w:r w:rsidR="009A57F3" w:rsidRPr="00F053B0">
        <w:rPr>
          <w:rStyle w:val="Hyperlink"/>
          <w:u w:val="none"/>
        </w:rPr>
        <w:t xml:space="preserve">and </w:t>
      </w:r>
      <w:r w:rsidR="005950B2" w:rsidRPr="00F053B0">
        <w:rPr>
          <w:rStyle w:val="Hyperlink"/>
          <w:u w:val="none"/>
        </w:rPr>
        <w:t xml:space="preserve">IAA funds requested for the </w:t>
      </w:r>
      <w:r w:rsidR="005950B2" w:rsidRPr="00E55CC0">
        <w:rPr>
          <w:rStyle w:val="Hyperlink"/>
          <w:b/>
          <w:bCs/>
          <w:u w:val="none"/>
        </w:rPr>
        <w:t>permitted costs</w:t>
      </w:r>
      <w:r w:rsidR="005950B2" w:rsidRPr="00F053B0">
        <w:rPr>
          <w:rStyle w:val="Hyperlink"/>
          <w:u w:val="none"/>
        </w:rPr>
        <w:t xml:space="preserve">. </w:t>
      </w:r>
    </w:p>
    <w:p w14:paraId="2C705AEC" w14:textId="61C0CE80" w:rsidR="005C53EB" w:rsidRDefault="00965BC7" w:rsidP="00054F0B">
      <w:pPr>
        <w:pStyle w:val="ListParagraph"/>
        <w:numPr>
          <w:ilvl w:val="1"/>
          <w:numId w:val="28"/>
        </w:numPr>
        <w:spacing w:after="160" w:line="259" w:lineRule="auto"/>
      </w:pPr>
      <w:r>
        <w:lastRenderedPageBreak/>
        <w:t xml:space="preserve">Permitted costs </w:t>
      </w:r>
      <w:r w:rsidR="00C201D6">
        <w:t xml:space="preserve">that </w:t>
      </w:r>
      <w:r w:rsidR="00460F7F">
        <w:t>IAA funds can</w:t>
      </w:r>
      <w:r w:rsidR="005C53EB">
        <w:t xml:space="preserve"> </w:t>
      </w:r>
      <w:r w:rsidR="003C1220">
        <w:t xml:space="preserve">be requested for </w:t>
      </w:r>
      <w:r w:rsidR="00C201D6">
        <w:t xml:space="preserve">are </w:t>
      </w:r>
      <w:r w:rsidR="005C53EB" w:rsidRPr="00E55CC0">
        <w:rPr>
          <w:b/>
          <w:bCs/>
        </w:rPr>
        <w:t>dire</w:t>
      </w:r>
      <w:r w:rsidR="00B50106" w:rsidRPr="00E55CC0">
        <w:rPr>
          <w:b/>
          <w:bCs/>
        </w:rPr>
        <w:t>ctly incurred</w:t>
      </w:r>
      <w:r w:rsidR="00460F7F" w:rsidRPr="00E55CC0">
        <w:rPr>
          <w:b/>
          <w:bCs/>
        </w:rPr>
        <w:t xml:space="preserve"> </w:t>
      </w:r>
      <w:r w:rsidR="003C1220" w:rsidRPr="00E55CC0">
        <w:rPr>
          <w:b/>
          <w:bCs/>
        </w:rPr>
        <w:t>costs</w:t>
      </w:r>
      <w:r w:rsidR="003C1220">
        <w:t xml:space="preserve"> </w:t>
      </w:r>
      <w:r w:rsidR="00460F7F">
        <w:t xml:space="preserve">and </w:t>
      </w:r>
      <w:r w:rsidR="00460F7F" w:rsidRPr="00E55CC0">
        <w:rPr>
          <w:b/>
          <w:bCs/>
        </w:rPr>
        <w:t>directly allocated</w:t>
      </w:r>
      <w:r w:rsidR="005C53EB" w:rsidRPr="00E55CC0">
        <w:rPr>
          <w:b/>
          <w:bCs/>
        </w:rPr>
        <w:t xml:space="preserve"> costs</w:t>
      </w:r>
      <w:r w:rsidR="00620A2A" w:rsidRPr="00E55CC0">
        <w:rPr>
          <w:b/>
          <w:bCs/>
        </w:rPr>
        <w:t xml:space="preserve"> except estate costs</w:t>
      </w:r>
      <w:r w:rsidR="00620A2A">
        <w:t>. Indirect costs cannot be funded.</w:t>
      </w:r>
    </w:p>
    <w:p w14:paraId="3A5D43A3" w14:textId="3E4A93A4" w:rsidR="006C7C2B" w:rsidRDefault="006C7C2B" w:rsidP="006C7C2B">
      <w:pPr>
        <w:pStyle w:val="ListParagraph"/>
        <w:numPr>
          <w:ilvl w:val="0"/>
          <w:numId w:val="28"/>
        </w:numPr>
        <w:spacing w:after="160" w:line="259" w:lineRule="auto"/>
      </w:pPr>
      <w:r>
        <w:t>Projects are to be costed in Worktribe thus creating a Worktribe record</w:t>
      </w:r>
      <w:r w:rsidR="00FC3DE2">
        <w:t>.</w:t>
      </w:r>
    </w:p>
    <w:p w14:paraId="6D5CE4DA" w14:textId="73D41E3B" w:rsidR="00BF4093" w:rsidRDefault="00BF4093" w:rsidP="00F053B0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IAA funds will not support basic </w:t>
      </w:r>
      <w:proofErr w:type="gramStart"/>
      <w:r>
        <w:t>research</w:t>
      </w:r>
      <w:proofErr w:type="gramEnd"/>
    </w:p>
    <w:p w14:paraId="1FC46639" w14:textId="5DFCDF89" w:rsidR="00FF5073" w:rsidRDefault="00FF5073" w:rsidP="00F053B0">
      <w:pPr>
        <w:pStyle w:val="ListParagraph"/>
        <w:numPr>
          <w:ilvl w:val="0"/>
          <w:numId w:val="28"/>
        </w:numPr>
        <w:spacing w:after="160" w:line="259" w:lineRule="auto"/>
      </w:pPr>
      <w:r>
        <w:t xml:space="preserve">Feasibility and </w:t>
      </w:r>
      <w:r w:rsidR="00197CF4">
        <w:t>proof of concept</w:t>
      </w:r>
      <w:r>
        <w:t xml:space="preserve"> applications will not be </w:t>
      </w:r>
      <w:proofErr w:type="gramStart"/>
      <w:r>
        <w:t>supported</w:t>
      </w:r>
      <w:proofErr w:type="gramEnd"/>
    </w:p>
    <w:p w14:paraId="4C926941" w14:textId="77777777" w:rsidR="00DD53CF" w:rsidRDefault="00DD53CF" w:rsidP="00F053B0">
      <w:pPr>
        <w:pStyle w:val="ListParagraph"/>
        <w:numPr>
          <w:ilvl w:val="0"/>
          <w:numId w:val="28"/>
        </w:numPr>
        <w:spacing w:after="160" w:line="259" w:lineRule="auto"/>
      </w:pPr>
      <w:r>
        <w:t>IAA funds cannot be used for direct subsidising of commercial R&amp;D</w:t>
      </w:r>
    </w:p>
    <w:p w14:paraId="27DCC692" w14:textId="77777777" w:rsidR="000709F4" w:rsidRDefault="000709F4" w:rsidP="00F053B0">
      <w:pPr>
        <w:pStyle w:val="ListParagraph"/>
        <w:numPr>
          <w:ilvl w:val="0"/>
          <w:numId w:val="28"/>
        </w:numPr>
        <w:spacing w:after="160" w:line="259" w:lineRule="auto"/>
      </w:pPr>
      <w:r w:rsidRPr="00F45A90">
        <w:t xml:space="preserve">Patent filing or similar costs associated directly to registering intellectual property rights will not be </w:t>
      </w:r>
      <w:proofErr w:type="gramStart"/>
      <w:r w:rsidRPr="00F45A90">
        <w:t>supported</w:t>
      </w:r>
      <w:proofErr w:type="gramEnd"/>
    </w:p>
    <w:p w14:paraId="1EF3FF32" w14:textId="04431CB0" w:rsidR="0037171B" w:rsidRPr="00F45A90" w:rsidRDefault="0037171B" w:rsidP="00F053B0">
      <w:pPr>
        <w:pStyle w:val="ListParagraph"/>
        <w:numPr>
          <w:ilvl w:val="0"/>
          <w:numId w:val="28"/>
        </w:numPr>
        <w:spacing w:after="160" w:line="259" w:lineRule="auto"/>
      </w:pPr>
      <w:r w:rsidRPr="00F45A90">
        <w:t>Equipment costs</w:t>
      </w:r>
      <w:r w:rsidR="00ED6168">
        <w:t xml:space="preserve"> for projects</w:t>
      </w:r>
      <w:r w:rsidRPr="00F45A90">
        <w:t xml:space="preserve"> are not normally supported. In exceptional circumstances where a clear case for why the project cannot go ahead without the equipment being provided, equipment cost requests up to a maximum of £10,000 will be considered by the </w:t>
      </w:r>
      <w:proofErr w:type="gramStart"/>
      <w:r w:rsidR="006D5203">
        <w:t>board</w:t>
      </w:r>
      <w:proofErr w:type="gramEnd"/>
    </w:p>
    <w:p w14:paraId="1191D53E" w14:textId="36AF9E27" w:rsidR="00BE0677" w:rsidRPr="006C7C2B" w:rsidRDefault="00BE0677" w:rsidP="006C7C2B">
      <w:pPr>
        <w:pStyle w:val="ListParagraph"/>
        <w:numPr>
          <w:ilvl w:val="0"/>
          <w:numId w:val="28"/>
        </w:numPr>
        <w:rPr>
          <w:b/>
        </w:rPr>
      </w:pPr>
      <w:r w:rsidRPr="00F45A90">
        <w:t>In addition to the cost rules summaris</w:t>
      </w:r>
      <w:r w:rsidR="004D5B00">
        <w:t xml:space="preserve">ed above, for </w:t>
      </w:r>
      <w:r w:rsidRPr="00F45A90">
        <w:t xml:space="preserve">all other costs </w:t>
      </w:r>
      <w:hyperlink r:id="rId25" w:history="1">
        <w:r w:rsidRPr="00060558">
          <w:rPr>
            <w:rStyle w:val="Hyperlink"/>
            <w:color w:val="0070C0"/>
          </w:rPr>
          <w:t>standard EPSRC grant cost eligibility rules will apply</w:t>
        </w:r>
      </w:hyperlink>
      <w:r w:rsidR="0009329B">
        <w:t>.</w:t>
      </w:r>
    </w:p>
    <w:p w14:paraId="22AE6838" w14:textId="288310FA" w:rsidR="00974D62" w:rsidRPr="00F053B0" w:rsidRDefault="00974D62" w:rsidP="00F053B0">
      <w:pPr>
        <w:pStyle w:val="ListParagraph"/>
        <w:numPr>
          <w:ilvl w:val="0"/>
          <w:numId w:val="28"/>
        </w:numPr>
        <w:rPr>
          <w:rFonts w:cstheme="minorHAnsi"/>
        </w:rPr>
      </w:pPr>
      <w:r>
        <w:t xml:space="preserve">Final project costs must be reflected </w:t>
      </w:r>
      <w:r w:rsidRPr="00DC19F8">
        <w:t xml:space="preserve">on financial systems </w:t>
      </w:r>
      <w:r w:rsidRPr="00F053B0">
        <w:rPr>
          <w:b/>
        </w:rPr>
        <w:t xml:space="preserve">no later than </w:t>
      </w:r>
      <w:r w:rsidR="006D5203" w:rsidRPr="00F053B0">
        <w:rPr>
          <w:b/>
        </w:rPr>
        <w:t>one</w:t>
      </w:r>
      <w:r w:rsidRPr="00F053B0">
        <w:rPr>
          <w:b/>
        </w:rPr>
        <w:t xml:space="preserve"> month after project </w:t>
      </w:r>
      <w:proofErr w:type="gramStart"/>
      <w:r w:rsidRPr="00F053B0">
        <w:rPr>
          <w:b/>
        </w:rPr>
        <w:t>completion</w:t>
      </w:r>
      <w:proofErr w:type="gramEnd"/>
    </w:p>
    <w:p w14:paraId="17E0E4C4" w14:textId="77777777" w:rsidR="0037171B" w:rsidRDefault="00D8530D" w:rsidP="006C3620">
      <w:pPr>
        <w:pStyle w:val="Heading2"/>
      </w:pPr>
      <w:bookmarkStart w:id="19" w:name="_Toc111122746"/>
      <w:bookmarkStart w:id="20" w:name="ConflictsofInterest"/>
      <w:r>
        <w:t>CONFLICTS OF INTEREST</w:t>
      </w:r>
      <w:bookmarkEnd w:id="19"/>
    </w:p>
    <w:bookmarkEnd w:id="20"/>
    <w:p w14:paraId="29B5046D" w14:textId="77777777" w:rsidR="0037171B" w:rsidRDefault="0037171B" w:rsidP="00EA59B2">
      <w:pPr>
        <w:jc w:val="both"/>
      </w:pPr>
      <w:r w:rsidRPr="0037171B">
        <w:t xml:space="preserve">All </w:t>
      </w:r>
      <w:r>
        <w:t xml:space="preserve">applicants are required to recognise and disclose activities that might give rise to actual, </w:t>
      </w:r>
      <w:proofErr w:type="gramStart"/>
      <w:r>
        <w:t>perceived</w:t>
      </w:r>
      <w:proofErr w:type="gramEnd"/>
      <w:r>
        <w:t xml:space="preserve"> or potential conflicts of interest and to ensure that such conflicts are properly managed or avoided.</w:t>
      </w:r>
    </w:p>
    <w:p w14:paraId="20779F8B" w14:textId="77777777" w:rsidR="00BE0677" w:rsidRPr="00F45A90" w:rsidRDefault="00D8530D" w:rsidP="006C3620">
      <w:pPr>
        <w:pStyle w:val="Heading2"/>
      </w:pPr>
      <w:bookmarkStart w:id="21" w:name="_Toc111122747"/>
      <w:bookmarkStart w:id="22" w:name="AwardConditions"/>
      <w:r w:rsidRPr="00F45A90">
        <w:t>AWARD CONDITIONS</w:t>
      </w:r>
      <w:bookmarkEnd w:id="21"/>
    </w:p>
    <w:bookmarkEnd w:id="22"/>
    <w:p w14:paraId="28305816" w14:textId="0B598721" w:rsidR="00BE0677" w:rsidRPr="00F45A90" w:rsidRDefault="00C73A13" w:rsidP="00F45A90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To</w:t>
      </w:r>
      <w:r w:rsidR="004D5B00">
        <w:t xml:space="preserve"> satisfy EPSRC requirements, applicants</w:t>
      </w:r>
      <w:r w:rsidR="0DB378AD">
        <w:t xml:space="preserve"> (BD and academic</w:t>
      </w:r>
      <w:r w:rsidR="00D42EE1">
        <w:t>(s)</w:t>
      </w:r>
      <w:r w:rsidR="0DB378AD">
        <w:t>)</w:t>
      </w:r>
      <w:r>
        <w:t xml:space="preserve"> must r</w:t>
      </w:r>
      <w:r w:rsidR="00BE0677">
        <w:t xml:space="preserve">eport on progress, in terms of </w:t>
      </w:r>
      <w:r w:rsidR="7C464135">
        <w:t xml:space="preserve">progress against milestones, </w:t>
      </w:r>
      <w:r w:rsidR="00BE0677">
        <w:t xml:space="preserve">output and spend, during the project at agreed </w:t>
      </w:r>
      <w:proofErr w:type="gramStart"/>
      <w:r w:rsidR="00BE0677">
        <w:t>intervals</w:t>
      </w:r>
      <w:proofErr w:type="gramEnd"/>
    </w:p>
    <w:p w14:paraId="61B00D7F" w14:textId="3CBEE801" w:rsidR="003E6FCE" w:rsidRDefault="00C73A13" w:rsidP="00F45A90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 xml:space="preserve">To satisfy EPSRC requirements, </w:t>
      </w:r>
      <w:r w:rsidR="004D5B00">
        <w:t>applicants</w:t>
      </w:r>
      <w:r>
        <w:t xml:space="preserve"> must p</w:t>
      </w:r>
      <w:r w:rsidR="00BE0677">
        <w:t>rovide</w:t>
      </w:r>
      <w:r w:rsidR="001763F5">
        <w:t xml:space="preserve"> </w:t>
      </w:r>
      <w:r w:rsidR="003E6FCE">
        <w:t>progress</w:t>
      </w:r>
      <w:r w:rsidR="3D45EB64">
        <w:t xml:space="preserve"> </w:t>
      </w:r>
      <w:r w:rsidR="003E6FCE">
        <w:t xml:space="preserve">report(s) as well as </w:t>
      </w:r>
      <w:r w:rsidR="001763F5">
        <w:t>final</w:t>
      </w:r>
      <w:r w:rsidR="00BE0677">
        <w:t xml:space="preserve"> report</w:t>
      </w:r>
      <w:r w:rsidR="003E6FCE">
        <w:t>s</w:t>
      </w:r>
      <w:r w:rsidR="00BE0677">
        <w:t xml:space="preserve"> and</w:t>
      </w:r>
      <w:r w:rsidR="00B35108">
        <w:t xml:space="preserve">, if requested, </w:t>
      </w:r>
      <w:r w:rsidR="00DC19F8">
        <w:t xml:space="preserve">contribute to a </w:t>
      </w:r>
      <w:r w:rsidR="00BE0677">
        <w:t>case study upon completion of the project</w:t>
      </w:r>
    </w:p>
    <w:p w14:paraId="3A02A23F" w14:textId="77777777" w:rsidR="00BE0677" w:rsidRPr="00F45A90" w:rsidRDefault="003E6FCE" w:rsidP="00F45A90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Further, applicants must</w:t>
      </w:r>
      <w:r w:rsidR="00BE0677">
        <w:t xml:space="preserve"> provid</w:t>
      </w:r>
      <w:r>
        <w:t>e</w:t>
      </w:r>
      <w:r w:rsidR="00BE0677">
        <w:t xml:space="preserve"> and updat</w:t>
      </w:r>
      <w:r>
        <w:t>e</w:t>
      </w:r>
      <w:r w:rsidR="00BE0677">
        <w:t xml:space="preserve"> information in </w:t>
      </w:r>
      <w:proofErr w:type="spellStart"/>
      <w:r w:rsidR="00BE0677">
        <w:t>ResearchFish</w:t>
      </w:r>
      <w:proofErr w:type="spellEnd"/>
      <w:r w:rsidR="00A40B19">
        <w:t xml:space="preserve"> for individual projects, where applicable</w:t>
      </w:r>
    </w:p>
    <w:p w14:paraId="197EEC8F" w14:textId="3E795EB7" w:rsidR="00BE0677" w:rsidRDefault="000D77EA" w:rsidP="00F45A90">
      <w:pPr>
        <w:pStyle w:val="ListParagraph"/>
        <w:numPr>
          <w:ilvl w:val="0"/>
          <w:numId w:val="8"/>
        </w:numPr>
        <w:spacing w:after="160" w:line="259" w:lineRule="auto"/>
        <w:jc w:val="both"/>
      </w:pPr>
      <w:r w:rsidRPr="00F45A90">
        <w:t>A</w:t>
      </w:r>
      <w:r w:rsidR="00BE0677" w:rsidRPr="00F45A90">
        <w:t xml:space="preserve">pplications </w:t>
      </w:r>
      <w:r w:rsidRPr="00F45A90">
        <w:t>must be</w:t>
      </w:r>
      <w:r w:rsidR="00BE0677" w:rsidRPr="00F45A90">
        <w:t xml:space="preserve"> properly costed </w:t>
      </w:r>
      <w:r w:rsidR="007929BA">
        <w:t xml:space="preserve">in Worktribe </w:t>
      </w:r>
      <w:r w:rsidR="00BE0677" w:rsidRPr="00F45A90">
        <w:t xml:space="preserve">(with only direct costs allowed) and have received approval through their usual </w:t>
      </w:r>
      <w:r w:rsidR="00F16999">
        <w:t>S</w:t>
      </w:r>
      <w:r w:rsidR="00665C72">
        <w:t>chool</w:t>
      </w:r>
      <w:r w:rsidR="00665C72" w:rsidRPr="00F45A90">
        <w:t xml:space="preserve"> </w:t>
      </w:r>
      <w:proofErr w:type="gramStart"/>
      <w:r w:rsidR="007929BA">
        <w:t>procedures</w:t>
      </w:r>
      <w:proofErr w:type="gramEnd"/>
    </w:p>
    <w:p w14:paraId="3545F627" w14:textId="02D75099" w:rsidR="00FC232E" w:rsidRPr="00F45A90" w:rsidRDefault="00FC232E" w:rsidP="00F45A90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 xml:space="preserve">All project costs must be posted </w:t>
      </w:r>
      <w:r w:rsidRPr="00DC19F8">
        <w:t xml:space="preserve">to the correct job code no later than </w:t>
      </w:r>
      <w:r w:rsidR="002F6522" w:rsidRPr="00DC19F8">
        <w:t>one month</w:t>
      </w:r>
      <w:r w:rsidRPr="00DC19F8">
        <w:t xml:space="preserve"> after project completion</w:t>
      </w:r>
      <w:r>
        <w:t xml:space="preserve">. Failure to comply with this may result in </w:t>
      </w:r>
      <w:r w:rsidR="00556DC9">
        <w:t xml:space="preserve">being disqualified from </w:t>
      </w:r>
      <w:r w:rsidR="00556DC9" w:rsidRPr="00481D92">
        <w:t>submitting applications to future programmes</w:t>
      </w:r>
      <w:r w:rsidR="00556DC9">
        <w:t xml:space="preserve"> and </w:t>
      </w:r>
      <w:r w:rsidR="00E65C98">
        <w:t xml:space="preserve">in the </w:t>
      </w:r>
      <w:r>
        <w:t xml:space="preserve">withdrawal of the </w:t>
      </w:r>
      <w:r w:rsidR="00E03655">
        <w:t xml:space="preserve">unclaimed or full amount of </w:t>
      </w:r>
      <w:r w:rsidR="00E65C98">
        <w:t xml:space="preserve">the </w:t>
      </w:r>
      <w:r>
        <w:t>award</w:t>
      </w:r>
      <w:r w:rsidR="00556DC9">
        <w:t>.</w:t>
      </w:r>
      <w:r w:rsidR="00481D92" w:rsidRPr="00481D92">
        <w:t xml:space="preserve">  </w:t>
      </w:r>
    </w:p>
    <w:p w14:paraId="58010597" w14:textId="006E7463" w:rsidR="00BE0677" w:rsidRDefault="000D77EA" w:rsidP="00F45A90">
      <w:pPr>
        <w:pStyle w:val="ListParagraph"/>
        <w:numPr>
          <w:ilvl w:val="0"/>
          <w:numId w:val="8"/>
        </w:numPr>
        <w:spacing w:after="160" w:line="259" w:lineRule="auto"/>
        <w:jc w:val="both"/>
      </w:pPr>
      <w:r>
        <w:t>A</w:t>
      </w:r>
      <w:r w:rsidR="00BE0677">
        <w:t xml:space="preserve">ny problems or issues that arise </w:t>
      </w:r>
      <w:r w:rsidR="00616E4F">
        <w:t>during</w:t>
      </w:r>
      <w:r w:rsidR="00BE0677">
        <w:t xml:space="preserve"> the project</w:t>
      </w:r>
      <w:r>
        <w:t xml:space="preserve"> must be highlighted immediately</w:t>
      </w:r>
      <w:r w:rsidR="00BE0677">
        <w:t>.  This includes identified underspend in the project period; this is important as these funds need to be reallocat</w:t>
      </w:r>
      <w:r w:rsidR="00FC232E">
        <w:t xml:space="preserve">ed to prevent their loss to </w:t>
      </w:r>
      <w:r w:rsidR="004D5B00">
        <w:t xml:space="preserve">the </w:t>
      </w:r>
      <w:proofErr w:type="gramStart"/>
      <w:r w:rsidR="004D5B00">
        <w:t>University</w:t>
      </w:r>
      <w:proofErr w:type="gramEnd"/>
      <w:r w:rsidR="004D5B00">
        <w:t xml:space="preserve"> </w:t>
      </w:r>
    </w:p>
    <w:p w14:paraId="2C9AD93F" w14:textId="3924747F" w:rsidR="00636D5C" w:rsidRPr="00F45A90" w:rsidRDefault="000C23C0" w:rsidP="7DFDE19D">
      <w:pPr>
        <w:pStyle w:val="Heading2"/>
        <w:rPr>
          <w:rFonts w:ascii="Cambria" w:hAnsi="Cambria"/>
        </w:rPr>
      </w:pPr>
      <w:bookmarkStart w:id="23" w:name="_Toc111122748"/>
      <w:bookmarkEnd w:id="23"/>
      <w:r>
        <w:t>SUBMISSION DETAILS</w:t>
      </w:r>
    </w:p>
    <w:tbl>
      <w:tblPr>
        <w:tblStyle w:val="TableGrid"/>
        <w:tblW w:w="8999" w:type="dxa"/>
        <w:tblLook w:val="04A0" w:firstRow="1" w:lastRow="0" w:firstColumn="1" w:lastColumn="0" w:noHBand="0" w:noVBand="1"/>
      </w:tblPr>
      <w:tblGrid>
        <w:gridCol w:w="1695"/>
        <w:gridCol w:w="1910"/>
        <w:gridCol w:w="2202"/>
        <w:gridCol w:w="3192"/>
      </w:tblGrid>
      <w:tr w:rsidR="00616E4F" w:rsidRPr="00F45A90" w14:paraId="66DDDDA5" w14:textId="77777777" w:rsidTr="00614578">
        <w:trPr>
          <w:trHeight w:val="229"/>
        </w:trPr>
        <w:tc>
          <w:tcPr>
            <w:tcW w:w="1695" w:type="dxa"/>
            <w:shd w:val="clear" w:color="auto" w:fill="17365D" w:themeFill="text2" w:themeFillShade="BF"/>
          </w:tcPr>
          <w:p w14:paraId="3B5665B6" w14:textId="4F988E8B" w:rsidR="00616E4F" w:rsidRPr="00F45A90" w:rsidRDefault="00616E4F" w:rsidP="00616E4F">
            <w:pPr>
              <w:jc w:val="center"/>
              <w:rPr>
                <w:b/>
              </w:rPr>
            </w:pPr>
            <w:r>
              <w:rPr>
                <w:b/>
              </w:rPr>
              <w:t>Expression of Interest</w:t>
            </w:r>
          </w:p>
        </w:tc>
        <w:tc>
          <w:tcPr>
            <w:tcW w:w="1910" w:type="dxa"/>
            <w:shd w:val="clear" w:color="auto" w:fill="17365D" w:themeFill="text2" w:themeFillShade="BF"/>
          </w:tcPr>
          <w:p w14:paraId="2C9FC5EA" w14:textId="3604C5D1" w:rsidR="00616E4F" w:rsidRPr="00F45A90" w:rsidRDefault="00616E4F" w:rsidP="003A71D8">
            <w:pPr>
              <w:jc w:val="both"/>
              <w:rPr>
                <w:b/>
              </w:rPr>
            </w:pPr>
            <w:r w:rsidRPr="00F45A90">
              <w:rPr>
                <w:b/>
              </w:rPr>
              <w:t>Deadline for applications</w:t>
            </w:r>
          </w:p>
        </w:tc>
        <w:tc>
          <w:tcPr>
            <w:tcW w:w="2202" w:type="dxa"/>
            <w:shd w:val="clear" w:color="auto" w:fill="17365D" w:themeFill="text2" w:themeFillShade="BF"/>
          </w:tcPr>
          <w:p w14:paraId="7C88D41A" w14:textId="21CF6699" w:rsidR="00616E4F" w:rsidRPr="00F45A90" w:rsidRDefault="00616E4F" w:rsidP="003A71D8">
            <w:pPr>
              <w:jc w:val="both"/>
              <w:rPr>
                <w:b/>
              </w:rPr>
            </w:pPr>
            <w:r w:rsidRPr="00F45A90">
              <w:rPr>
                <w:b/>
              </w:rPr>
              <w:t xml:space="preserve">Panel meeting </w:t>
            </w:r>
          </w:p>
        </w:tc>
        <w:tc>
          <w:tcPr>
            <w:tcW w:w="3192" w:type="dxa"/>
            <w:shd w:val="clear" w:color="auto" w:fill="17365D" w:themeFill="text2" w:themeFillShade="BF"/>
          </w:tcPr>
          <w:p w14:paraId="283DD33F" w14:textId="77777777" w:rsidR="00616E4F" w:rsidRPr="00F45A90" w:rsidRDefault="00616E4F" w:rsidP="003A71D8">
            <w:pPr>
              <w:jc w:val="both"/>
              <w:rPr>
                <w:b/>
              </w:rPr>
            </w:pPr>
            <w:r w:rsidRPr="00F45A90">
              <w:rPr>
                <w:b/>
              </w:rPr>
              <w:t>Outcomes</w:t>
            </w:r>
          </w:p>
        </w:tc>
      </w:tr>
      <w:tr w:rsidR="00616E4F" w:rsidRPr="00F45A90" w14:paraId="7BA706A8" w14:textId="77777777" w:rsidTr="00614578">
        <w:trPr>
          <w:trHeight w:val="229"/>
        </w:trPr>
        <w:tc>
          <w:tcPr>
            <w:tcW w:w="1695" w:type="dxa"/>
          </w:tcPr>
          <w:p w14:paraId="688CE0E6" w14:textId="7DA037A0" w:rsidR="00616E4F" w:rsidRPr="00F45A90" w:rsidRDefault="00616E4F" w:rsidP="003A71D8">
            <w:pPr>
              <w:jc w:val="both"/>
            </w:pPr>
            <w:r>
              <w:t>14 July</w:t>
            </w:r>
          </w:p>
        </w:tc>
        <w:tc>
          <w:tcPr>
            <w:tcW w:w="1910" w:type="dxa"/>
          </w:tcPr>
          <w:p w14:paraId="0521DA7E" w14:textId="5FAB7C2F" w:rsidR="00616E4F" w:rsidRDefault="00616E4F" w:rsidP="003A71D8">
            <w:pPr>
              <w:jc w:val="both"/>
            </w:pPr>
            <w:r>
              <w:t xml:space="preserve">12noon Friday </w:t>
            </w:r>
            <w:r w:rsidR="000E51FE">
              <w:t>1</w:t>
            </w:r>
            <w:r>
              <w:t xml:space="preserve"> </w:t>
            </w:r>
            <w:r w:rsidR="000E51FE">
              <w:t>September</w:t>
            </w:r>
            <w:r w:rsidR="00614578">
              <w:t xml:space="preserve"> </w:t>
            </w:r>
            <w:r>
              <w:t>202</w:t>
            </w:r>
            <w:r w:rsidR="00FA5BFE">
              <w:t>3</w:t>
            </w:r>
          </w:p>
        </w:tc>
        <w:tc>
          <w:tcPr>
            <w:tcW w:w="2202" w:type="dxa"/>
          </w:tcPr>
          <w:p w14:paraId="7F9CCF36" w14:textId="60B3EB47" w:rsidR="00616E4F" w:rsidRPr="00F45A90" w:rsidRDefault="00614578" w:rsidP="003A71D8">
            <w:pPr>
              <w:jc w:val="both"/>
            </w:pPr>
            <w:r>
              <w:t>Late September 2023</w:t>
            </w:r>
          </w:p>
        </w:tc>
        <w:tc>
          <w:tcPr>
            <w:tcW w:w="3192" w:type="dxa"/>
          </w:tcPr>
          <w:p w14:paraId="3DC64DE4" w14:textId="0B333B79" w:rsidR="00616E4F" w:rsidRPr="00F45A90" w:rsidRDefault="00614578" w:rsidP="003A71D8">
            <w:r>
              <w:t>O</w:t>
            </w:r>
            <w:r w:rsidR="00616E4F" w:rsidRPr="00F45A90">
              <w:t>utcomes expected within 2 weeks of the panel meeting</w:t>
            </w:r>
          </w:p>
        </w:tc>
      </w:tr>
    </w:tbl>
    <w:p w14:paraId="65E86D44" w14:textId="70205FF2" w:rsidR="00616E4F" w:rsidRDefault="00616E4F" w:rsidP="00543EC8">
      <w:pPr>
        <w:spacing w:before="240"/>
        <w:jc w:val="both"/>
      </w:pPr>
      <w:r>
        <w:t xml:space="preserve">Expressions of Interest are submitted </w:t>
      </w:r>
      <w:r w:rsidR="000E51FE">
        <w:t xml:space="preserve">by completing </w:t>
      </w:r>
      <w:hyperlink r:id="rId26" w:history="1">
        <w:r w:rsidR="000E51FE" w:rsidRPr="003D2F03">
          <w:rPr>
            <w:rStyle w:val="Hyperlink"/>
            <w:color w:val="0070C0"/>
          </w:rPr>
          <w:t>the online form</w:t>
        </w:r>
      </w:hyperlink>
      <w:r w:rsidR="000E51FE">
        <w:rPr>
          <w:color w:val="0070C0"/>
        </w:rPr>
        <w:t>.</w:t>
      </w:r>
    </w:p>
    <w:p w14:paraId="51B74B46" w14:textId="0682E06D" w:rsidR="00543EC8" w:rsidRPr="00F45A90" w:rsidRDefault="00543EC8" w:rsidP="00543EC8">
      <w:pPr>
        <w:spacing w:before="240"/>
        <w:jc w:val="both"/>
      </w:pPr>
      <w:r>
        <w:t>All proposals</w:t>
      </w:r>
      <w:r w:rsidRPr="00F45A90">
        <w:t xml:space="preserve"> must be submitted to </w:t>
      </w:r>
      <w:hyperlink r:id="rId27" w:history="1">
        <w:r w:rsidRPr="00F45A90">
          <w:rPr>
            <w:rStyle w:val="Hyperlink"/>
            <w:bCs/>
          </w:rPr>
          <w:t>EPSRCIAA@ei.ed.ac.uk</w:t>
        </w:r>
      </w:hyperlink>
      <w:r w:rsidRPr="00F45A90">
        <w:t xml:space="preserve"> and </w:t>
      </w:r>
      <w:r w:rsidRPr="00F45A90">
        <w:rPr>
          <w:rFonts w:eastAsia="Times New Roman"/>
          <w:color w:val="000000" w:themeColor="text1"/>
          <w:lang w:eastAsia="en-GB"/>
        </w:rPr>
        <w:t>should contain:</w:t>
      </w:r>
    </w:p>
    <w:p w14:paraId="56AE9600" w14:textId="4BE49DA3" w:rsidR="002B7A26" w:rsidRDefault="00D6663A" w:rsidP="002D5579">
      <w:pPr>
        <w:pStyle w:val="ListParagraph"/>
        <w:numPr>
          <w:ilvl w:val="0"/>
          <w:numId w:val="12"/>
        </w:numPr>
        <w:spacing w:after="0" w:line="238" w:lineRule="atLeast"/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lastRenderedPageBreak/>
        <w:t>Overall p</w:t>
      </w:r>
      <w:r w:rsidR="00A40B19">
        <w:rPr>
          <w:rFonts w:eastAsia="Times New Roman"/>
          <w:color w:val="000000" w:themeColor="text1"/>
          <w:lang w:eastAsia="en-GB"/>
        </w:rPr>
        <w:t>roposal</w:t>
      </w:r>
      <w:r w:rsidR="00A57F3D">
        <w:rPr>
          <w:rFonts w:eastAsia="Times New Roman"/>
          <w:color w:val="000000" w:themeColor="text1"/>
          <w:lang w:eastAsia="en-GB"/>
        </w:rPr>
        <w:t xml:space="preserve"> form</w:t>
      </w:r>
      <w:r w:rsidR="002D5579">
        <w:rPr>
          <w:rFonts w:eastAsia="Times New Roman"/>
          <w:color w:val="000000" w:themeColor="text1"/>
          <w:lang w:eastAsia="en-GB"/>
        </w:rPr>
        <w:t xml:space="preserve"> </w:t>
      </w:r>
      <w:r w:rsidR="00172AC4">
        <w:rPr>
          <w:rFonts w:eastAsia="Times New Roman"/>
          <w:color w:val="000000" w:themeColor="text1"/>
          <w:lang w:eastAsia="en-GB"/>
        </w:rPr>
        <w:t>with</w:t>
      </w:r>
      <w:r w:rsidR="002D5579">
        <w:rPr>
          <w:rFonts w:eastAsia="Times New Roman"/>
          <w:color w:val="000000" w:themeColor="text1"/>
          <w:lang w:eastAsia="en-GB"/>
        </w:rPr>
        <w:t xml:space="preserve"> sections on each of the </w:t>
      </w:r>
      <w:r w:rsidR="00172AC4">
        <w:rPr>
          <w:rFonts w:eastAsia="Times New Roman"/>
          <w:color w:val="000000" w:themeColor="text1"/>
          <w:lang w:eastAsia="en-GB"/>
        </w:rPr>
        <w:t xml:space="preserve">included </w:t>
      </w:r>
      <w:r w:rsidR="002B7A26">
        <w:rPr>
          <w:rFonts w:eastAsia="Times New Roman"/>
          <w:color w:val="000000" w:themeColor="text1"/>
          <w:lang w:eastAsia="en-GB"/>
        </w:rPr>
        <w:t>activit</w:t>
      </w:r>
      <w:r w:rsidR="00172AC4">
        <w:rPr>
          <w:rFonts w:eastAsia="Times New Roman"/>
          <w:color w:val="000000" w:themeColor="text1"/>
          <w:lang w:eastAsia="en-GB"/>
        </w:rPr>
        <w:t>ies</w:t>
      </w:r>
    </w:p>
    <w:p w14:paraId="45C9A25A" w14:textId="77777777" w:rsidR="00871279" w:rsidRPr="00345C3A" w:rsidRDefault="00871279" w:rsidP="00871279">
      <w:pPr>
        <w:pStyle w:val="ListParagraph"/>
        <w:numPr>
          <w:ilvl w:val="0"/>
          <w:numId w:val="12"/>
        </w:numPr>
        <w:spacing w:after="0" w:line="238" w:lineRule="atLeast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Worktribe costing (excel sheet)</w:t>
      </w:r>
    </w:p>
    <w:p w14:paraId="35AE9B78" w14:textId="14E4326D" w:rsidR="00636D5C" w:rsidRPr="00F45A90" w:rsidRDefault="00A40B19" w:rsidP="00F45A90">
      <w:pPr>
        <w:pStyle w:val="ListParagraph"/>
        <w:numPr>
          <w:ilvl w:val="0"/>
          <w:numId w:val="12"/>
        </w:numPr>
        <w:spacing w:after="0" w:line="238" w:lineRule="atLeast"/>
        <w:rPr>
          <w:rFonts w:eastAsia="Times New Roman"/>
          <w:color w:val="000000" w:themeColor="text1"/>
          <w:lang w:eastAsia="en-GB"/>
        </w:rPr>
      </w:pPr>
      <w:r w:rsidRPr="060202D4">
        <w:rPr>
          <w:rFonts w:eastAsia="Times New Roman"/>
          <w:color w:val="000000" w:themeColor="text1"/>
          <w:lang w:eastAsia="en-GB"/>
        </w:rPr>
        <w:t>Statement</w:t>
      </w:r>
      <w:r w:rsidR="00B35CFD">
        <w:rPr>
          <w:rFonts w:eastAsia="Times New Roman"/>
          <w:color w:val="000000" w:themeColor="text1"/>
          <w:lang w:eastAsia="en-GB"/>
        </w:rPr>
        <w:t>/letter</w:t>
      </w:r>
      <w:r w:rsidRPr="060202D4">
        <w:rPr>
          <w:rFonts w:eastAsia="Times New Roman"/>
          <w:color w:val="000000" w:themeColor="text1"/>
          <w:lang w:eastAsia="en-GB"/>
        </w:rPr>
        <w:t xml:space="preserve"> of intent</w:t>
      </w:r>
      <w:r w:rsidR="00CE2747" w:rsidRPr="060202D4">
        <w:rPr>
          <w:rFonts w:eastAsia="Times New Roman"/>
          <w:color w:val="000000" w:themeColor="text1"/>
          <w:lang w:eastAsia="en-GB"/>
        </w:rPr>
        <w:t xml:space="preserve"> from the p</w:t>
      </w:r>
      <w:r w:rsidR="00636D5C" w:rsidRPr="060202D4">
        <w:rPr>
          <w:rFonts w:eastAsia="Times New Roman"/>
          <w:color w:val="000000" w:themeColor="text1"/>
          <w:lang w:eastAsia="en-GB"/>
        </w:rPr>
        <w:t xml:space="preserve">artner </w:t>
      </w:r>
      <w:r w:rsidR="00CE2747" w:rsidRPr="060202D4">
        <w:rPr>
          <w:rFonts w:eastAsia="Times New Roman"/>
          <w:color w:val="000000" w:themeColor="text1"/>
          <w:lang w:eastAsia="en-GB"/>
        </w:rPr>
        <w:t>o</w:t>
      </w:r>
      <w:r w:rsidR="00636D5C" w:rsidRPr="060202D4">
        <w:rPr>
          <w:rFonts w:eastAsia="Times New Roman"/>
          <w:color w:val="000000" w:themeColor="text1"/>
          <w:lang w:eastAsia="en-GB"/>
        </w:rPr>
        <w:t xml:space="preserve">rganisation </w:t>
      </w:r>
    </w:p>
    <w:p w14:paraId="6E6BDD45" w14:textId="6215A7CE" w:rsidR="006C3620" w:rsidRDefault="006C3620" w:rsidP="00BC1A27"/>
    <w:p w14:paraId="6813BF15" w14:textId="18986AE4" w:rsidR="006C3620" w:rsidRDefault="006C3620" w:rsidP="006C3620"/>
    <w:p w14:paraId="762318DA" w14:textId="06E69C9A" w:rsidR="0012660B" w:rsidRDefault="0012660B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br w:type="page"/>
      </w:r>
    </w:p>
    <w:p w14:paraId="6B6183A8" w14:textId="18539617" w:rsidR="003B2446" w:rsidRPr="00FF5073" w:rsidRDefault="00665C72" w:rsidP="006C3620">
      <w:pPr>
        <w:pStyle w:val="Heading3"/>
      </w:pPr>
      <w:bookmarkStart w:id="24" w:name="_Toc111122749"/>
      <w:r w:rsidRPr="00FF5073">
        <w:lastRenderedPageBreak/>
        <w:t>A</w:t>
      </w:r>
      <w:r w:rsidR="005C6720">
        <w:t>ppendix</w:t>
      </w:r>
      <w:r w:rsidRPr="00FF5073">
        <w:t xml:space="preserve"> 1</w:t>
      </w:r>
      <w:r w:rsidR="00D42EE1" w:rsidRPr="00FF5073">
        <w:t xml:space="preserve">: </w:t>
      </w:r>
      <w:r w:rsidR="00D42EE1">
        <w:t>U</w:t>
      </w:r>
      <w:r w:rsidR="00D42EE1" w:rsidRPr="00D42EE1">
        <w:t>sing</w:t>
      </w:r>
      <w:r w:rsidR="00E30717">
        <w:t xml:space="preserve"> EPSRC</w:t>
      </w:r>
      <w:r w:rsidR="00D42EE1" w:rsidRPr="00D42EE1">
        <w:t xml:space="preserve"> I</w:t>
      </w:r>
      <w:r w:rsidR="00D42EE1">
        <w:t>AA</w:t>
      </w:r>
      <w:r w:rsidR="00D42EE1" w:rsidRPr="00D42EE1">
        <w:t xml:space="preserve"> </w:t>
      </w:r>
      <w:r w:rsidR="00D42EE1">
        <w:t>t</w:t>
      </w:r>
      <w:r w:rsidR="00D42EE1" w:rsidRPr="00D42EE1">
        <w:t xml:space="preserve">o </w:t>
      </w:r>
      <w:r w:rsidR="00F73D87">
        <w:t xml:space="preserve">develop </w:t>
      </w:r>
      <w:proofErr w:type="gramStart"/>
      <w:r w:rsidR="00F73D87">
        <w:t>partnerships</w:t>
      </w:r>
      <w:bookmarkEnd w:id="24"/>
      <w:proofErr w:type="gramEnd"/>
    </w:p>
    <w:p w14:paraId="0E66AD54" w14:textId="4BF5A04B" w:rsidR="00777CD3" w:rsidRDefault="007C384D" w:rsidP="00300CCB">
      <w:pPr>
        <w:spacing w:before="240"/>
        <w:jc w:val="both"/>
      </w:pPr>
      <w:r>
        <w:t xml:space="preserve">Several partnership development projects </w:t>
      </w:r>
      <w:r w:rsidR="00036EFF">
        <w:t>with different component parts</w:t>
      </w:r>
      <w:r w:rsidR="00036EFF">
        <w:t xml:space="preserve"> </w:t>
      </w:r>
      <w:r>
        <w:t xml:space="preserve">have been completed using the IAA funds. See two </w:t>
      </w:r>
      <w:r w:rsidR="00300CCB">
        <w:t xml:space="preserve">examples below based on </w:t>
      </w:r>
      <w:r w:rsidR="007D6784">
        <w:t xml:space="preserve">projects </w:t>
      </w:r>
      <w:r w:rsidR="00300CCB">
        <w:t>from previous call rounds.</w:t>
      </w:r>
    </w:p>
    <w:p w14:paraId="12FA5502" w14:textId="4087A372" w:rsidR="00F73D87" w:rsidRDefault="00F73D87" w:rsidP="00300CCB">
      <w:pPr>
        <w:pStyle w:val="Heading4"/>
      </w:pPr>
      <w:r>
        <w:t>Example 1</w:t>
      </w:r>
    </w:p>
    <w:p w14:paraId="42AE7622" w14:textId="71A8745A" w:rsidR="00246F83" w:rsidRDefault="00C10980" w:rsidP="00300CCB">
      <w:pPr>
        <w:spacing w:before="240"/>
        <w:jc w:val="both"/>
      </w:pPr>
      <w:r>
        <w:t xml:space="preserve">This proposal includes three components: secondment, collaborative </w:t>
      </w:r>
      <w:r w:rsidR="00EB0127">
        <w:t>project,</w:t>
      </w:r>
      <w:r>
        <w:t xml:space="preserve"> and regular meetings. The three components are designed to complement each other and form a coherent strategy for intensifying and expanding the collaboration with </w:t>
      </w:r>
      <w:r w:rsidR="00A04BE9">
        <w:t>Company X</w:t>
      </w:r>
      <w:r>
        <w:t xml:space="preserve">. The three components fit together as follows: The 6-month collaborative project focusses on exploring </w:t>
      </w:r>
      <w:r w:rsidR="00246F83">
        <w:t>topic A</w:t>
      </w:r>
      <w:r>
        <w:t xml:space="preserve">. It will bring in a </w:t>
      </w:r>
      <w:r w:rsidR="00EB0127">
        <w:t>university</w:t>
      </w:r>
      <w:r w:rsidR="00246F83">
        <w:t xml:space="preserve"> </w:t>
      </w:r>
      <w:r>
        <w:t xml:space="preserve">academic who has not worked with </w:t>
      </w:r>
      <w:r w:rsidR="00246F83">
        <w:t xml:space="preserve">the company </w:t>
      </w:r>
      <w:r>
        <w:t xml:space="preserve">before </w:t>
      </w:r>
      <w:r w:rsidR="006C208B">
        <w:t>and</w:t>
      </w:r>
      <w:r>
        <w:t xml:space="preserve"> nucleate immediately a relationship with a division of </w:t>
      </w:r>
      <w:r w:rsidR="00246F83">
        <w:t xml:space="preserve">the company </w:t>
      </w:r>
      <w:r>
        <w:t xml:space="preserve">with whom we have not yet collaborated. </w:t>
      </w:r>
    </w:p>
    <w:p w14:paraId="6E8AB32E" w14:textId="5E944351" w:rsidR="008C64CA" w:rsidRDefault="00C10980" w:rsidP="00300CCB">
      <w:pPr>
        <w:spacing w:before="240"/>
        <w:jc w:val="both"/>
      </w:pPr>
      <w:r>
        <w:t>The year-long, 1-day per week virtual secondment will enable us to scope out new opportunities to collaborate, wit</w:t>
      </w:r>
      <w:r w:rsidR="00531947">
        <w:t>hin our research group</w:t>
      </w:r>
      <w:r>
        <w:t xml:space="preserve">, and in the wider College and University. Areas of strategic importance will be identified, by the secondee and communicated to EI and a wide academic audience at Edinburgh. These strategic areas will then be explored in detail by </w:t>
      </w:r>
      <w:r w:rsidR="004A1A94">
        <w:t xml:space="preserve">the company’s scientists </w:t>
      </w:r>
      <w:r>
        <w:t xml:space="preserve">and academics at Edinburgh during the scheduled quarterly meetings. </w:t>
      </w:r>
    </w:p>
    <w:p w14:paraId="18F61315" w14:textId="62A4912C" w:rsidR="00300CCB" w:rsidRDefault="00300CCB" w:rsidP="00300CCB">
      <w:pPr>
        <w:spacing w:before="240"/>
        <w:jc w:val="both"/>
      </w:pPr>
      <w:r>
        <w:t>Component activities:</w:t>
      </w:r>
    </w:p>
    <w:p w14:paraId="0961D33C" w14:textId="060BF7C6" w:rsidR="00D60B40" w:rsidRDefault="00C10980" w:rsidP="00300CCB">
      <w:pPr>
        <w:pStyle w:val="ListParagraph"/>
        <w:numPr>
          <w:ilvl w:val="0"/>
          <w:numId w:val="33"/>
        </w:numPr>
        <w:spacing w:before="240"/>
        <w:jc w:val="both"/>
      </w:pPr>
      <w:r>
        <w:t xml:space="preserve">Collaborative project </w:t>
      </w:r>
      <w:r w:rsidR="00D60B40">
        <w:t>6 months</w:t>
      </w:r>
    </w:p>
    <w:p w14:paraId="1E01223C" w14:textId="548887AD" w:rsidR="00D60B40" w:rsidRDefault="00240EDA" w:rsidP="00300CCB">
      <w:pPr>
        <w:pStyle w:val="ListParagraph"/>
        <w:numPr>
          <w:ilvl w:val="0"/>
          <w:numId w:val="33"/>
        </w:numPr>
        <w:spacing w:before="240"/>
        <w:jc w:val="both"/>
      </w:pPr>
      <w:r>
        <w:t>1 day per week virtual partnership champion s</w:t>
      </w:r>
      <w:r w:rsidR="00C10980">
        <w:t xml:space="preserve">econdment </w:t>
      </w:r>
      <w:r w:rsidR="00D60B40">
        <w:t>12 months</w:t>
      </w:r>
    </w:p>
    <w:p w14:paraId="141420BF" w14:textId="1CC22F48" w:rsidR="00777CD3" w:rsidRDefault="00A8337B" w:rsidP="00300CCB">
      <w:pPr>
        <w:pStyle w:val="ListParagraph"/>
        <w:numPr>
          <w:ilvl w:val="0"/>
          <w:numId w:val="33"/>
        </w:numPr>
        <w:spacing w:before="240"/>
        <w:jc w:val="both"/>
      </w:pPr>
      <w:r>
        <w:t xml:space="preserve">4 quarterly meetings over </w:t>
      </w:r>
      <w:r w:rsidR="00993BC4">
        <w:t>12 months</w:t>
      </w:r>
    </w:p>
    <w:p w14:paraId="4C807568" w14:textId="6FD4E146" w:rsidR="00993BC4" w:rsidRDefault="00993BC4" w:rsidP="00300CCB">
      <w:pPr>
        <w:pStyle w:val="Heading4"/>
      </w:pPr>
      <w:r>
        <w:t>Example 2</w:t>
      </w:r>
    </w:p>
    <w:p w14:paraId="461A855E" w14:textId="0ED06BF5" w:rsidR="00394246" w:rsidRDefault="00FD7908" w:rsidP="00300CCB">
      <w:pPr>
        <w:spacing w:before="240"/>
        <w:jc w:val="both"/>
      </w:pPr>
      <w:r>
        <w:t xml:space="preserve">The proposal first phase </w:t>
      </w:r>
      <w:r w:rsidR="00300CCB">
        <w:t>(</w:t>
      </w:r>
      <w:r>
        <w:t>months 1-3</w:t>
      </w:r>
      <w:r w:rsidR="00300CCB">
        <w:t>)</w:t>
      </w:r>
      <w:r w:rsidR="00394246">
        <w:t xml:space="preserve"> </w:t>
      </w:r>
      <w:r w:rsidR="000708E9">
        <w:t xml:space="preserve">is designed to </w:t>
      </w:r>
      <w:r>
        <w:t xml:space="preserve">define and qualify a set of topics of interest to </w:t>
      </w:r>
      <w:r w:rsidR="000708E9">
        <w:t xml:space="preserve">Company Y </w:t>
      </w:r>
      <w:r>
        <w:t>and to agree a set of confidentiality terms.</w:t>
      </w:r>
      <w:r w:rsidR="00394246">
        <w:t xml:space="preserve"> </w:t>
      </w:r>
      <w:r w:rsidR="000708E9">
        <w:t>W</w:t>
      </w:r>
      <w:r w:rsidR="00394246">
        <w:t xml:space="preserve">e will hold a </w:t>
      </w:r>
      <w:r w:rsidR="000708E9">
        <w:t xml:space="preserve">meeting </w:t>
      </w:r>
      <w:r w:rsidR="00394246">
        <w:t xml:space="preserve">with </w:t>
      </w:r>
      <w:r w:rsidR="000708E9">
        <w:t xml:space="preserve">the company </w:t>
      </w:r>
      <w:r w:rsidR="00394246">
        <w:t>to confirm the</w:t>
      </w:r>
      <w:r w:rsidR="00D65307">
        <w:t xml:space="preserve"> outline of the</w:t>
      </w:r>
      <w:r w:rsidR="00394246">
        <w:t xml:space="preserve"> project followed by a workshop to define project scope and our respective obligations. Following engagement activities in </w:t>
      </w:r>
      <w:r w:rsidR="000708E9">
        <w:t xml:space="preserve">month 2 </w:t>
      </w:r>
      <w:r w:rsidR="00394246">
        <w:t>we will establish, with support from legal services, a</w:t>
      </w:r>
      <w:r w:rsidR="000708E9">
        <w:t>n</w:t>
      </w:r>
      <w:r w:rsidR="00394246">
        <w:t xml:space="preserve"> agreement to cover </w:t>
      </w:r>
      <w:r w:rsidR="000708E9">
        <w:t xml:space="preserve">the company’s </w:t>
      </w:r>
      <w:r w:rsidR="00394246">
        <w:t xml:space="preserve">requirement </w:t>
      </w:r>
      <w:r w:rsidR="000708E9">
        <w:t xml:space="preserve">and </w:t>
      </w:r>
      <w:r w:rsidR="00394246">
        <w:t xml:space="preserve">a </w:t>
      </w:r>
      <w:r w:rsidR="00471282">
        <w:t xml:space="preserve">partnership </w:t>
      </w:r>
      <w:r w:rsidR="00394246">
        <w:t xml:space="preserve">champion </w:t>
      </w:r>
      <w:r w:rsidR="00471282">
        <w:t xml:space="preserve">secondee </w:t>
      </w:r>
      <w:r w:rsidR="00394246">
        <w:t xml:space="preserve">to facilitate access and support interactions. </w:t>
      </w:r>
    </w:p>
    <w:p w14:paraId="1FFFB95F" w14:textId="04CD6B08" w:rsidR="00624845" w:rsidRDefault="000708E9" w:rsidP="00300CCB">
      <w:pPr>
        <w:spacing w:before="240"/>
        <w:jc w:val="both"/>
      </w:pPr>
      <w:r>
        <w:t xml:space="preserve">In the second phase </w:t>
      </w:r>
      <w:r w:rsidR="00A051D5">
        <w:t>(</w:t>
      </w:r>
      <w:r>
        <w:t xml:space="preserve">months </w:t>
      </w:r>
      <w:r w:rsidR="007B1A0D">
        <w:t>4-</w:t>
      </w:r>
      <w:r w:rsidR="00C61C50">
        <w:t>12</w:t>
      </w:r>
      <w:r w:rsidR="00A051D5">
        <w:t>)</w:t>
      </w:r>
      <w:r w:rsidR="00C61C50">
        <w:t xml:space="preserve"> a </w:t>
      </w:r>
      <w:r w:rsidR="00471282">
        <w:t xml:space="preserve">partnership champion </w:t>
      </w:r>
      <w:r w:rsidR="00C61C50">
        <w:t>secondee</w:t>
      </w:r>
      <w:r w:rsidR="00080C46">
        <w:t xml:space="preserve"> with the necessary technical and commercial skills to be able to move between the two organisations </w:t>
      </w:r>
      <w:r w:rsidR="00C61C50">
        <w:t xml:space="preserve">will be appointed </w:t>
      </w:r>
      <w:r w:rsidR="00080C46">
        <w:t>to optimise knowledge sharing between specialist joint teams, from Company Y &amp; the university.</w:t>
      </w:r>
      <w:r w:rsidR="00624845" w:rsidRPr="00624845">
        <w:t xml:space="preserve"> </w:t>
      </w:r>
      <w:r w:rsidR="00624845">
        <w:t>The secondee will undertake a</w:t>
      </w:r>
      <w:r w:rsidR="00FC2758">
        <w:t xml:space="preserve">n </w:t>
      </w:r>
      <w:r w:rsidR="00624845">
        <w:t>alignment exercise</w:t>
      </w:r>
      <w:r w:rsidR="006D543D">
        <w:t xml:space="preserve"> over </w:t>
      </w:r>
      <w:r w:rsidR="00A051D5">
        <w:t>7</w:t>
      </w:r>
      <w:r w:rsidR="006D543D">
        <w:t xml:space="preserve"> months</w:t>
      </w:r>
      <w:r w:rsidR="00624845">
        <w:t xml:space="preserve">. </w:t>
      </w:r>
      <w:r w:rsidR="00FC2758">
        <w:t xml:space="preserve">University and Business Development </w:t>
      </w:r>
      <w:r w:rsidR="00624845">
        <w:t xml:space="preserve">staff will help support </w:t>
      </w:r>
      <w:r w:rsidR="00A051D5">
        <w:t xml:space="preserve">four </w:t>
      </w:r>
      <w:r w:rsidR="00624845">
        <w:t>workshops and seminars to bring together experts from industry and academia to discuss the development of</w:t>
      </w:r>
      <w:r w:rsidR="00A051D5">
        <w:t xml:space="preserve"> identified topics</w:t>
      </w:r>
      <w:r w:rsidR="00624845">
        <w:t>.</w:t>
      </w:r>
      <w:r w:rsidR="00C3498D">
        <w:t xml:space="preserve"> The exercise</w:t>
      </w:r>
      <w:r w:rsidR="006D543D">
        <w:t xml:space="preserve"> </w:t>
      </w:r>
      <w:r w:rsidR="00C3498D">
        <w:t xml:space="preserve">will result in an overview document detailing joint teams, from the company &amp; the university, together with a horizon scan document detailing relevant funding opportunities. By the end of the </w:t>
      </w:r>
      <w:r w:rsidR="00A051D5">
        <w:t>project,</w:t>
      </w:r>
      <w:r w:rsidR="00C3498D">
        <w:t xml:space="preserve"> we will expect to have submitted at least 1 major funding application in support of the company’s </w:t>
      </w:r>
      <w:r w:rsidR="004926D8">
        <w:t xml:space="preserve">ambitions </w:t>
      </w:r>
      <w:r w:rsidR="00C3498D">
        <w:t xml:space="preserve">and with a platform to establish </w:t>
      </w:r>
      <w:r w:rsidR="004926D8">
        <w:t xml:space="preserve">the company </w:t>
      </w:r>
      <w:r w:rsidR="00C3498D">
        <w:t>as a managed</w:t>
      </w:r>
      <w:r w:rsidR="004926D8">
        <w:t xml:space="preserve"> partner</w:t>
      </w:r>
      <w:r w:rsidR="00C3498D">
        <w:t>.</w:t>
      </w:r>
    </w:p>
    <w:p w14:paraId="0526A234" w14:textId="77777777" w:rsidR="00300CCB" w:rsidRDefault="00300CCB" w:rsidP="00300CCB">
      <w:pPr>
        <w:spacing w:before="240"/>
        <w:jc w:val="both"/>
      </w:pPr>
      <w:r>
        <w:lastRenderedPageBreak/>
        <w:t>Component activities:</w:t>
      </w:r>
    </w:p>
    <w:p w14:paraId="118EDCE6" w14:textId="23E028C7" w:rsidR="00D702A9" w:rsidRDefault="00080C46" w:rsidP="00300CCB">
      <w:pPr>
        <w:pStyle w:val="ListParagraph"/>
        <w:numPr>
          <w:ilvl w:val="0"/>
          <w:numId w:val="34"/>
        </w:numPr>
        <w:spacing w:before="240"/>
        <w:jc w:val="both"/>
      </w:pPr>
      <w:r>
        <w:t>Meeting</w:t>
      </w:r>
      <w:r w:rsidR="00815A5E">
        <w:t xml:space="preserve"> </w:t>
      </w:r>
      <w:r>
        <w:t xml:space="preserve">and </w:t>
      </w:r>
      <w:r w:rsidR="00815A5E">
        <w:t xml:space="preserve">a </w:t>
      </w:r>
      <w:r>
        <w:t xml:space="preserve">workshop to define and qualify a set of topics of interest to </w:t>
      </w:r>
      <w:r w:rsidR="00D702A9">
        <w:t xml:space="preserve">the company </w:t>
      </w:r>
      <w:r>
        <w:t xml:space="preserve">and to agree a set of confidentiality terms. </w:t>
      </w:r>
      <w:r w:rsidR="00D702A9">
        <w:t xml:space="preserve">(3 months) </w:t>
      </w:r>
    </w:p>
    <w:p w14:paraId="59147C71" w14:textId="03E6B744" w:rsidR="00D702A9" w:rsidRDefault="00080C46" w:rsidP="00300CCB">
      <w:pPr>
        <w:pStyle w:val="ListParagraph"/>
        <w:numPr>
          <w:ilvl w:val="0"/>
          <w:numId w:val="34"/>
        </w:numPr>
        <w:spacing w:before="240"/>
        <w:jc w:val="both"/>
      </w:pPr>
      <w:r>
        <w:t xml:space="preserve">Recruitment of dedicated resource for alignment exercise. </w:t>
      </w:r>
      <w:r w:rsidR="00D702A9">
        <w:t>(2 months)</w:t>
      </w:r>
    </w:p>
    <w:p w14:paraId="6338FFD3" w14:textId="38585571" w:rsidR="00777CD3" w:rsidRDefault="00AE38E5" w:rsidP="00300CCB">
      <w:pPr>
        <w:pStyle w:val="ListParagraph"/>
        <w:numPr>
          <w:ilvl w:val="0"/>
          <w:numId w:val="34"/>
        </w:numPr>
        <w:spacing w:before="240"/>
        <w:jc w:val="both"/>
      </w:pPr>
      <w:r>
        <w:t>Secondment performing</w:t>
      </w:r>
      <w:r w:rsidR="004835A9">
        <w:t xml:space="preserve"> alignment</w:t>
      </w:r>
      <w:r>
        <w:t xml:space="preserve"> exercise </w:t>
      </w:r>
      <w:r w:rsidR="00DA012F">
        <w:t>with</w:t>
      </w:r>
      <w:r w:rsidR="000531D7">
        <w:t xml:space="preserve"> workshops and</w:t>
      </w:r>
      <w:r w:rsidR="00080C46">
        <w:t xml:space="preserve"> Horizon scan</w:t>
      </w:r>
      <w:r>
        <w:t>ning</w:t>
      </w:r>
      <w:r w:rsidR="00080C46">
        <w:t xml:space="preserve"> for funding calls around </w:t>
      </w:r>
      <w:r w:rsidR="00D702A9">
        <w:t>identified topics</w:t>
      </w:r>
      <w:r w:rsidR="00DA012F">
        <w:t>. (</w:t>
      </w:r>
      <w:r>
        <w:t>7</w:t>
      </w:r>
      <w:r w:rsidR="00DA012F">
        <w:t xml:space="preserve"> months)</w:t>
      </w:r>
    </w:p>
    <w:p w14:paraId="6E4C57F6" w14:textId="67F3911D" w:rsidR="007B6441" w:rsidRDefault="00815A5E" w:rsidP="00300CCB">
      <w:pPr>
        <w:pStyle w:val="ListParagraph"/>
        <w:numPr>
          <w:ilvl w:val="0"/>
          <w:numId w:val="34"/>
        </w:numPr>
        <w:spacing w:before="240"/>
        <w:jc w:val="both"/>
      </w:pPr>
      <w:r>
        <w:t>4</w:t>
      </w:r>
      <w:r w:rsidR="0081096C">
        <w:t xml:space="preserve"> focused workshops around </w:t>
      </w:r>
      <w:r>
        <w:t>identified priority topics (</w:t>
      </w:r>
      <w:r w:rsidR="00AE38E5">
        <w:t>6 months)</w:t>
      </w:r>
    </w:p>
    <w:p w14:paraId="5250F47A" w14:textId="77777777" w:rsidR="00D42EE1" w:rsidRDefault="00D42EE1" w:rsidP="060202D4">
      <w:pPr>
        <w:spacing w:after="0" w:line="258" w:lineRule="auto"/>
        <w:ind w:right="47"/>
        <w:jc w:val="both"/>
      </w:pPr>
    </w:p>
    <w:p w14:paraId="0D527FEE" w14:textId="77777777" w:rsidR="004526F7" w:rsidRDefault="004526F7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25" w:name="_Toc111122750"/>
      <w:r>
        <w:br w:type="page"/>
      </w:r>
    </w:p>
    <w:p w14:paraId="06BFD500" w14:textId="1703F173" w:rsidR="00777CD3" w:rsidRPr="00FF5073" w:rsidRDefault="005C6720" w:rsidP="006C3620">
      <w:pPr>
        <w:pStyle w:val="Heading3"/>
      </w:pPr>
      <w:r>
        <w:lastRenderedPageBreak/>
        <w:t>Appendix</w:t>
      </w:r>
      <w:r w:rsidR="00777CD3" w:rsidRPr="00FF5073">
        <w:t xml:space="preserve"> </w:t>
      </w:r>
      <w:r w:rsidR="00665C72" w:rsidRPr="00FF5073">
        <w:t>2</w:t>
      </w:r>
      <w:r w:rsidR="00777CD3" w:rsidRPr="00FF5073">
        <w:t xml:space="preserve">: Relationship </w:t>
      </w:r>
      <w:r w:rsidR="00D42EE1">
        <w:t>m</w:t>
      </w:r>
      <w:r w:rsidR="00777CD3" w:rsidRPr="00FF5073">
        <w:t xml:space="preserve">aturity </w:t>
      </w:r>
      <w:r w:rsidR="00D42EE1">
        <w:t>l</w:t>
      </w:r>
      <w:r w:rsidR="00777CD3" w:rsidRPr="00FF5073">
        <w:t xml:space="preserve">evels and their </w:t>
      </w:r>
      <w:r w:rsidR="00D42EE1">
        <w:t>c</w:t>
      </w:r>
      <w:r w:rsidR="00777CD3" w:rsidRPr="00FF5073">
        <w:t>haracteristics</w:t>
      </w:r>
      <w:bookmarkEnd w:id="25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2835"/>
        <w:gridCol w:w="2552"/>
      </w:tblGrid>
      <w:tr w:rsidR="00777CD3" w:rsidRPr="00C66CC1" w14:paraId="178D2A8D" w14:textId="42D109EA">
        <w:tc>
          <w:tcPr>
            <w:tcW w:w="9498" w:type="dxa"/>
            <w:gridSpan w:val="4"/>
            <w:shd w:val="clear" w:color="auto" w:fill="B8CCE4"/>
            <w:vAlign w:val="center"/>
          </w:tcPr>
          <w:p w14:paraId="085B0AF7" w14:textId="4F409C96" w:rsidR="00777CD3" w:rsidRPr="00C66CC1" w:rsidRDefault="00777CD3" w:rsidP="00CB69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Lev</w:t>
            </w:r>
            <w:r w:rsidR="00C66CC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els of Relationship Maturity - </w:t>
            </w:r>
            <w:r w:rsidRPr="00C66CC1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Development Stages</w:t>
            </w:r>
          </w:p>
          <w:p w14:paraId="27C04E6B" w14:textId="1EE7EF38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</w:tc>
      </w:tr>
      <w:tr w:rsidR="00777CD3" w:rsidRPr="00C66CC1" w14:paraId="2EF3B855" w14:textId="34136217">
        <w:tc>
          <w:tcPr>
            <w:tcW w:w="1276" w:type="dxa"/>
          </w:tcPr>
          <w:p w14:paraId="1DA6283C" w14:textId="1A0D9E62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2835" w:type="dxa"/>
          </w:tcPr>
          <w:p w14:paraId="0A624471" w14:textId="6D5BA446" w:rsidR="00777CD3" w:rsidRPr="00C66CC1" w:rsidRDefault="00777CD3" w:rsidP="00CB695E">
            <w:pPr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2835" w:type="dxa"/>
          </w:tcPr>
          <w:p w14:paraId="76E850D4" w14:textId="4EC216ED" w:rsidR="00777CD3" w:rsidRPr="00C66CC1" w:rsidRDefault="00777CD3" w:rsidP="00CB695E">
            <w:pPr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Measures of effectiveness (cumulative)</w:t>
            </w:r>
          </w:p>
        </w:tc>
        <w:tc>
          <w:tcPr>
            <w:tcW w:w="2552" w:type="dxa"/>
          </w:tcPr>
          <w:p w14:paraId="4971D48B" w14:textId="404F90E6" w:rsidR="00777CD3" w:rsidRPr="00C66CC1" w:rsidRDefault="00777CD3" w:rsidP="00CB695E">
            <w:pPr>
              <w:spacing w:after="0" w:line="240" w:lineRule="auto"/>
              <w:ind w:left="-69"/>
              <w:jc w:val="center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Typical </w:t>
            </w:r>
            <w:r w:rsidR="007434D3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Activity</w:t>
            </w:r>
          </w:p>
        </w:tc>
      </w:tr>
      <w:tr w:rsidR="00777CD3" w:rsidRPr="00C66CC1" w14:paraId="78581F22" w14:textId="30A6C1B1">
        <w:tc>
          <w:tcPr>
            <w:tcW w:w="1276" w:type="dxa"/>
          </w:tcPr>
          <w:p w14:paraId="56F35491" w14:textId="2BEB1D10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Level 0 – Foresight</w:t>
            </w:r>
          </w:p>
        </w:tc>
        <w:tc>
          <w:tcPr>
            <w:tcW w:w="2835" w:type="dxa"/>
          </w:tcPr>
          <w:p w14:paraId="500027A6" w14:textId="535B1DF6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Companies are identified as suitable targets, but do not </w:t>
            </w:r>
            <w:proofErr w:type="gramStart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as yet</w:t>
            </w:r>
            <w:proofErr w:type="gramEnd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have</w:t>
            </w:r>
            <w:r w:rsidR="002B3A80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established contacts</w:t>
            </w: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2835" w:type="dxa"/>
          </w:tcPr>
          <w:p w14:paraId="30FDF781" w14:textId="51531A79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Target lists, IRM campaigns, events, records of initial introductions.</w:t>
            </w:r>
          </w:p>
        </w:tc>
        <w:tc>
          <w:tcPr>
            <w:tcW w:w="2552" w:type="dxa"/>
          </w:tcPr>
          <w:p w14:paraId="1A0CCE6E" w14:textId="6C6941A9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Opportunity analysis and scanning.</w:t>
            </w:r>
            <w:r w:rsidR="001200FE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Proposition development</w:t>
            </w:r>
          </w:p>
        </w:tc>
      </w:tr>
      <w:tr w:rsidR="00777CD3" w:rsidRPr="00C66CC1" w14:paraId="7374DC88" w14:textId="2A85F1FB">
        <w:tc>
          <w:tcPr>
            <w:tcW w:w="1276" w:type="dxa"/>
          </w:tcPr>
          <w:p w14:paraId="67AF5F00" w14:textId="1D21F5BD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Level 1 – </w:t>
            </w:r>
          </w:p>
          <w:p w14:paraId="4DDC6262" w14:textId="4E3889B5" w:rsidR="00777CD3" w:rsidRPr="00C66CC1" w:rsidRDefault="00956E32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sz w:val="19"/>
                <w:szCs w:val="19"/>
                <w:lang w:eastAsia="en-GB"/>
              </w:rPr>
              <w:t>Individual contacts</w:t>
            </w:r>
          </w:p>
        </w:tc>
        <w:tc>
          <w:tcPr>
            <w:tcW w:w="2835" w:type="dxa"/>
          </w:tcPr>
          <w:p w14:paraId="1AB72C36" w14:textId="6AA9D850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Initial </w:t>
            </w:r>
            <w:r w:rsidR="00956E32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partnership </w:t>
            </w: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exploration and discussions, assessment on whether both sides fit.</w:t>
            </w:r>
          </w:p>
        </w:tc>
        <w:tc>
          <w:tcPr>
            <w:tcW w:w="2835" w:type="dxa"/>
          </w:tcPr>
          <w:p w14:paraId="0027C899" w14:textId="1D24B86F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Exploratory meetings recorded, initial opportunities and needs explored, information exchanged (IRM).</w:t>
            </w:r>
          </w:p>
        </w:tc>
        <w:tc>
          <w:tcPr>
            <w:tcW w:w="2552" w:type="dxa"/>
          </w:tcPr>
          <w:p w14:paraId="114732CF" w14:textId="46938367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Facilitating introductions and selling the University to potential partners.</w:t>
            </w:r>
          </w:p>
        </w:tc>
      </w:tr>
      <w:tr w:rsidR="00777CD3" w:rsidRPr="00C66CC1" w14:paraId="100A6601" w14:textId="2C5B3107">
        <w:tc>
          <w:tcPr>
            <w:tcW w:w="1276" w:type="dxa"/>
          </w:tcPr>
          <w:p w14:paraId="653D317D" w14:textId="3B42273A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Level 2 – New </w:t>
            </w:r>
            <w:r w:rsidRPr="00C66CC1">
              <w:rPr>
                <w:rFonts w:eastAsia="Times New Roman" w:cstheme="minorHAnsi"/>
                <w:b/>
                <w:iCs/>
                <w:sz w:val="19"/>
                <w:szCs w:val="19"/>
                <w:lang w:eastAsia="en-GB"/>
              </w:rPr>
              <w:t>Client</w:t>
            </w:r>
          </w:p>
          <w:p w14:paraId="77A083F7" w14:textId="73E7B156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35" w:type="dxa"/>
          </w:tcPr>
          <w:p w14:paraId="63F388B9" w14:textId="50C15E36" w:rsidR="00777CD3" w:rsidRPr="00C66CC1" w:rsidRDefault="00777CD3" w:rsidP="00CB695E">
            <w:pPr>
              <w:spacing w:after="0" w:line="240" w:lineRule="auto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Involvement is unlikely to be </w:t>
            </w:r>
            <w:proofErr w:type="gramStart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rigorous, but</w:t>
            </w:r>
            <w:proofErr w:type="gramEnd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moving towards some form of agreement. Assessment of ambitions made.</w:t>
            </w:r>
          </w:p>
        </w:tc>
        <w:tc>
          <w:tcPr>
            <w:tcW w:w="2835" w:type="dxa"/>
          </w:tcPr>
          <w:p w14:paraId="10D113ED" w14:textId="64C2D89F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Relationship begins to form Progress to NDA, </w:t>
            </w:r>
            <w:proofErr w:type="gramStart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MoU</w:t>
            </w:r>
            <w:proofErr w:type="gramEnd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or contract. </w:t>
            </w:r>
          </w:p>
          <w:p w14:paraId="3FF62218" w14:textId="083F0F1F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Opportunities captured on IRM Low level investment likely/made. </w:t>
            </w:r>
          </w:p>
          <w:p w14:paraId="6086D8FF" w14:textId="7633C272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</w:p>
        </w:tc>
        <w:tc>
          <w:tcPr>
            <w:tcW w:w="2552" w:type="dxa"/>
          </w:tcPr>
          <w:p w14:paraId="303F8627" w14:textId="5139A68E" w:rsidR="00777CD3" w:rsidRPr="00C66CC1" w:rsidRDefault="007434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Finalising </w:t>
            </w:r>
            <w:r w:rsidR="00777CD3"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contracts and agreements.</w:t>
            </w:r>
          </w:p>
        </w:tc>
      </w:tr>
      <w:tr w:rsidR="00777CD3" w:rsidRPr="00C66CC1" w14:paraId="0823E4DA" w14:textId="3BF060AA">
        <w:tc>
          <w:tcPr>
            <w:tcW w:w="1276" w:type="dxa"/>
          </w:tcPr>
          <w:p w14:paraId="79F7F40D" w14:textId="60C3FA42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Level 3 – </w:t>
            </w:r>
            <w:r w:rsidRPr="00C66CC1">
              <w:rPr>
                <w:rFonts w:eastAsia="Times New Roman" w:cstheme="minorHAnsi"/>
                <w:b/>
                <w:iCs/>
                <w:sz w:val="19"/>
                <w:szCs w:val="19"/>
                <w:lang w:eastAsia="en-GB"/>
              </w:rPr>
              <w:t>Established Client</w:t>
            </w:r>
          </w:p>
          <w:p w14:paraId="385A7FB3" w14:textId="59648FAA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35" w:type="dxa"/>
          </w:tcPr>
          <w:p w14:paraId="02E1BBF1" w14:textId="4958F131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Repeat business.</w:t>
            </w:r>
          </w:p>
          <w:p w14:paraId="28F3ABB9" w14:textId="3CC687FA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Agreement on likely interests and areas of mutual interest. Participation on larger work and bids (</w:t>
            </w:r>
            <w:proofErr w:type="gramStart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e.g.</w:t>
            </w:r>
            <w:proofErr w:type="gramEnd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IUK, ISCF etc.). </w:t>
            </w:r>
          </w:p>
          <w:p w14:paraId="270FA144" w14:textId="77792CD2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Assessment of the </w:t>
            </w:r>
            <w:proofErr w:type="gramStart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long term</w:t>
            </w:r>
            <w:proofErr w:type="gramEnd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opportunity to develop the relationship.</w:t>
            </w:r>
          </w:p>
        </w:tc>
        <w:tc>
          <w:tcPr>
            <w:tcW w:w="2835" w:type="dxa"/>
          </w:tcPr>
          <w:p w14:paraId="1DAA7C01" w14:textId="189D1F48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Relationship activity recorded on IRM.  Communities of Interest start to </w:t>
            </w:r>
            <w:proofErr w:type="gramStart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appear</w:t>
            </w:r>
            <w:proofErr w:type="gramEnd"/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and meetings held, Regular briefings and reviews of relationship, recorded on IRM.</w:t>
            </w:r>
          </w:p>
        </w:tc>
        <w:tc>
          <w:tcPr>
            <w:tcW w:w="2552" w:type="dxa"/>
          </w:tcPr>
          <w:p w14:paraId="30640516" w14:textId="4FBFF5B8" w:rsidR="00777CD3" w:rsidRPr="00C66CC1" w:rsidRDefault="007434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>I</w:t>
            </w:r>
            <w:r w:rsidR="00777CD3"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nteractions with</w:t>
            </w:r>
            <w:r w:rsidR="005F01BF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</w:t>
            </w:r>
            <w:proofErr w:type="gramStart"/>
            <w:r w:rsidR="005F01BF">
              <w:rPr>
                <w:rFonts w:eastAsia="Times New Roman" w:cstheme="minorHAnsi"/>
                <w:sz w:val="19"/>
                <w:szCs w:val="19"/>
                <w:lang w:eastAsia="en-GB"/>
              </w:rPr>
              <w:t>a</w:t>
            </w:r>
            <w:r w:rsidR="00777CD3"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number of</w:t>
            </w:r>
            <w:proofErr w:type="gramEnd"/>
            <w:r w:rsidR="00777CD3"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academics.  Some degree of stewardship required.</w:t>
            </w:r>
          </w:p>
        </w:tc>
      </w:tr>
      <w:tr w:rsidR="00777CD3" w:rsidRPr="00C66CC1" w14:paraId="2DD4223A" w14:textId="38D7FD59">
        <w:tc>
          <w:tcPr>
            <w:tcW w:w="1276" w:type="dxa"/>
          </w:tcPr>
          <w:p w14:paraId="640F3A16" w14:textId="07286A45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Level 4 – </w:t>
            </w:r>
            <w:r w:rsidRPr="00C66CC1">
              <w:rPr>
                <w:rFonts w:eastAsia="Times New Roman" w:cstheme="minorHAnsi"/>
                <w:b/>
                <w:iCs/>
                <w:sz w:val="19"/>
                <w:szCs w:val="19"/>
                <w:lang w:eastAsia="en-GB"/>
              </w:rPr>
              <w:t>Managed Partner</w:t>
            </w:r>
          </w:p>
          <w:p w14:paraId="3734555B" w14:textId="348180B4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35" w:type="dxa"/>
          </w:tcPr>
          <w:p w14:paraId="6DBB4518" w14:textId="5B47F805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Interest in various aspects of </w:t>
            </w:r>
            <w:r w:rsidR="007434D3">
              <w:rPr>
                <w:rFonts w:eastAsia="Times New Roman" w:cstheme="minorHAnsi"/>
                <w:sz w:val="19"/>
                <w:szCs w:val="19"/>
                <w:lang w:eastAsia="en-GB"/>
              </w:rPr>
              <w:t>the University</w:t>
            </w: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 xml:space="preserve"> (not restricted to research),</w:t>
            </w:r>
          </w:p>
          <w:p w14:paraId="44569D09" w14:textId="3EDDDA79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Relationship is effectively managed.</w:t>
            </w:r>
          </w:p>
          <w:p w14:paraId="49D32ABA" w14:textId="57C2DFF5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Future aspirations are agreed and shared.</w:t>
            </w:r>
          </w:p>
          <w:p w14:paraId="451AEDD9" w14:textId="00634970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Account plan/road map is agreed. Activities are focussed on bigger opportunities and strengthening relationships.</w:t>
            </w:r>
          </w:p>
        </w:tc>
        <w:tc>
          <w:tcPr>
            <w:tcW w:w="2835" w:type="dxa"/>
          </w:tcPr>
          <w:p w14:paraId="3523743A" w14:textId="64C01450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Relationship documented in an account plan.</w:t>
            </w:r>
          </w:p>
          <w:p w14:paraId="2C2E991B" w14:textId="7AC5F3B7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Interaction on a planned and managed basis.</w:t>
            </w:r>
          </w:p>
          <w:p w14:paraId="12B477F4" w14:textId="502F8CA1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Shared strategic objectives.</w:t>
            </w:r>
          </w:p>
          <w:p w14:paraId="306A88A2" w14:textId="7AE1A8D4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Communities of interest remit established.</w:t>
            </w:r>
          </w:p>
          <w:p w14:paraId="02088326" w14:textId="09842946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Interchange of staff.</w:t>
            </w:r>
          </w:p>
          <w:p w14:paraId="1B9C098C" w14:textId="04976489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Allocation of resource mechanisms available to assist in prioritisation.</w:t>
            </w:r>
          </w:p>
          <w:p w14:paraId="4C26F0F0" w14:textId="622603D7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Joint bids submitted.</w:t>
            </w:r>
          </w:p>
          <w:p w14:paraId="0CF6170F" w14:textId="0656DBB0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Productivity measured.</w:t>
            </w:r>
          </w:p>
        </w:tc>
        <w:tc>
          <w:tcPr>
            <w:tcW w:w="2552" w:type="dxa"/>
          </w:tcPr>
          <w:p w14:paraId="57DF5531" w14:textId="77532C3D" w:rsidR="00777CD3" w:rsidRPr="00C66CC1" w:rsidRDefault="007434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A</w:t>
            </w:r>
            <w:r w:rsidR="00777CD3"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greed account plan, led by nominated account manager and involving interactions with academic groupings across the University.  Dedicated stewardship required.</w:t>
            </w:r>
          </w:p>
        </w:tc>
      </w:tr>
      <w:tr w:rsidR="00777CD3" w:rsidRPr="00C66CC1" w14:paraId="671B30E8" w14:textId="1F666FFA">
        <w:tc>
          <w:tcPr>
            <w:tcW w:w="1276" w:type="dxa"/>
          </w:tcPr>
          <w:p w14:paraId="3E31D45A" w14:textId="697608EB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b/>
                <w:sz w:val="19"/>
                <w:szCs w:val="19"/>
                <w:lang w:eastAsia="en-GB"/>
              </w:rPr>
              <w:t xml:space="preserve">Level 5 – </w:t>
            </w:r>
            <w:r w:rsidRPr="00C66CC1">
              <w:rPr>
                <w:rFonts w:eastAsia="Times New Roman" w:cstheme="minorHAnsi"/>
                <w:b/>
                <w:iCs/>
                <w:sz w:val="19"/>
                <w:szCs w:val="19"/>
                <w:lang w:eastAsia="en-GB"/>
              </w:rPr>
              <w:t>Strategic Partner</w:t>
            </w:r>
          </w:p>
          <w:p w14:paraId="18AC4CE6" w14:textId="70411FF2" w:rsidR="00777CD3" w:rsidRPr="00C66CC1" w:rsidRDefault="00777CD3" w:rsidP="00CB69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en-GB"/>
              </w:rPr>
            </w:pPr>
          </w:p>
        </w:tc>
        <w:tc>
          <w:tcPr>
            <w:tcW w:w="2835" w:type="dxa"/>
          </w:tcPr>
          <w:p w14:paraId="250EE2FB" w14:textId="62C7225B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Relationships at this level focus on continually improving the productivity of the relationship.</w:t>
            </w:r>
          </w:p>
        </w:tc>
        <w:tc>
          <w:tcPr>
            <w:tcW w:w="2835" w:type="dxa"/>
          </w:tcPr>
          <w:p w14:paraId="47267F57" w14:textId="530BC2D4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Board-to-board (Executive, Vice-Chancellor) meetings.</w:t>
            </w:r>
          </w:p>
          <w:p w14:paraId="2AF00360" w14:textId="3C3AC4FD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Joint Programmes.</w:t>
            </w:r>
          </w:p>
          <w:p w14:paraId="54BE3A63" w14:textId="6B95B2C0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Joint investment in facilities.</w:t>
            </w:r>
          </w:p>
          <w:p w14:paraId="20D2D0DE" w14:textId="76A8BFBB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Productivity actively managed.</w:t>
            </w:r>
          </w:p>
          <w:p w14:paraId="52A39383" w14:textId="29F0A354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Large-scale investment and bidding,</w:t>
            </w:r>
          </w:p>
          <w:p w14:paraId="685EF1A3" w14:textId="693A0E07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Influencing of Government and external funders.</w:t>
            </w:r>
          </w:p>
          <w:p w14:paraId="1D68ED62" w14:textId="6EC66FC9" w:rsidR="00777CD3" w:rsidRPr="00C66CC1" w:rsidRDefault="00777CD3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Suite of activities to maintain strategic relationship put in place.</w:t>
            </w:r>
          </w:p>
        </w:tc>
        <w:tc>
          <w:tcPr>
            <w:tcW w:w="2552" w:type="dxa"/>
          </w:tcPr>
          <w:p w14:paraId="5D67830B" w14:textId="673D0407" w:rsidR="00777CD3" w:rsidRPr="00C66CC1" w:rsidRDefault="00BF4E88" w:rsidP="00CB695E">
            <w:pPr>
              <w:spacing w:after="0" w:line="240" w:lineRule="auto"/>
              <w:ind w:left="-69"/>
              <w:rPr>
                <w:rFonts w:eastAsia="Times New Roman" w:cstheme="minorHAnsi"/>
                <w:sz w:val="19"/>
                <w:szCs w:val="19"/>
                <w:lang w:eastAsia="en-GB"/>
              </w:rPr>
            </w:pPr>
            <w:r>
              <w:rPr>
                <w:rFonts w:eastAsia="Times New Roman" w:cstheme="minorHAnsi"/>
                <w:sz w:val="19"/>
                <w:szCs w:val="19"/>
                <w:lang w:eastAsia="en-GB"/>
              </w:rPr>
              <w:t>M</w:t>
            </w:r>
            <w:r w:rsidR="00777CD3" w:rsidRPr="00C66CC1">
              <w:rPr>
                <w:rFonts w:eastAsia="Times New Roman" w:cstheme="minorHAnsi"/>
                <w:sz w:val="19"/>
                <w:szCs w:val="19"/>
                <w:lang w:eastAsia="en-GB"/>
              </w:rPr>
              <w:t>anaged via an agreed account plan, led by the nominated account manager, involving multiple University services and academic communities and large scale, complex, ambitious programmes/investments. CEO to Principal level engagement.  High level of co-ordinated stewardship required.</w:t>
            </w:r>
          </w:p>
        </w:tc>
      </w:tr>
    </w:tbl>
    <w:p w14:paraId="19303469" w14:textId="77777777" w:rsidR="00777CD3" w:rsidRDefault="00777CD3" w:rsidP="060202D4">
      <w:pPr>
        <w:spacing w:after="0" w:line="258" w:lineRule="auto"/>
        <w:ind w:right="47"/>
        <w:jc w:val="both"/>
      </w:pPr>
    </w:p>
    <w:sectPr w:rsidR="00777CD3" w:rsidSect="002F42F0">
      <w:headerReference w:type="default" r:id="rId28"/>
      <w:footerReference w:type="default" r:id="rId29"/>
      <w:pgSz w:w="11906" w:h="16838"/>
      <w:pgMar w:top="1440" w:right="1440" w:bottom="1440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BAA8" w14:textId="77777777" w:rsidR="00B56B71" w:rsidRDefault="00B56B71" w:rsidP="008C1E2A">
      <w:pPr>
        <w:spacing w:after="0" w:line="240" w:lineRule="auto"/>
      </w:pPr>
      <w:r>
        <w:separator/>
      </w:r>
    </w:p>
  </w:endnote>
  <w:endnote w:type="continuationSeparator" w:id="0">
    <w:p w14:paraId="030D06AE" w14:textId="77777777" w:rsidR="00B56B71" w:rsidRDefault="00B56B71" w:rsidP="008C1E2A">
      <w:pPr>
        <w:spacing w:after="0" w:line="240" w:lineRule="auto"/>
      </w:pPr>
      <w:r>
        <w:continuationSeparator/>
      </w:r>
    </w:p>
  </w:endnote>
  <w:endnote w:type="continuationNotice" w:id="1">
    <w:p w14:paraId="388C0B8E" w14:textId="77777777" w:rsidR="00B56B71" w:rsidRDefault="00B56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6728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937DF" w14:textId="624659B5" w:rsidR="001C0909" w:rsidRDefault="001C09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61617F" w14:textId="77777777" w:rsidR="001C0909" w:rsidRDefault="001C0909">
    <w:pPr>
      <w:pStyle w:val="Footer"/>
    </w:pPr>
  </w:p>
  <w:p w14:paraId="21E605CD" w14:textId="77777777" w:rsidR="001C0909" w:rsidRDefault="001C09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6EEB2" w14:textId="77777777" w:rsidR="00B56B71" w:rsidRDefault="00B56B71" w:rsidP="008C1E2A">
      <w:pPr>
        <w:spacing w:after="0" w:line="240" w:lineRule="auto"/>
      </w:pPr>
      <w:r>
        <w:separator/>
      </w:r>
    </w:p>
  </w:footnote>
  <w:footnote w:type="continuationSeparator" w:id="0">
    <w:p w14:paraId="3AD1C631" w14:textId="77777777" w:rsidR="00B56B71" w:rsidRDefault="00B56B71" w:rsidP="008C1E2A">
      <w:pPr>
        <w:spacing w:after="0" w:line="240" w:lineRule="auto"/>
      </w:pPr>
      <w:r>
        <w:continuationSeparator/>
      </w:r>
    </w:p>
  </w:footnote>
  <w:footnote w:type="continuationNotice" w:id="1">
    <w:p w14:paraId="3A75534D" w14:textId="77777777" w:rsidR="00B56B71" w:rsidRDefault="00B56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A5C8" w14:textId="77777777" w:rsidR="001C0909" w:rsidRDefault="001C0909" w:rsidP="0038201B">
    <w:pPr>
      <w:pStyle w:val="Header"/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58241" behindDoc="0" locked="0" layoutInCell="1" allowOverlap="1" wp14:anchorId="33C3E25B" wp14:editId="7CCF82D0">
          <wp:simplePos x="0" y="0"/>
          <wp:positionH relativeFrom="margin">
            <wp:posOffset>4067175</wp:posOffset>
          </wp:positionH>
          <wp:positionV relativeFrom="paragraph">
            <wp:posOffset>-49530</wp:posOffset>
          </wp:positionV>
          <wp:extent cx="1389600" cy="349200"/>
          <wp:effectExtent l="0" t="0" r="1270" b="0"/>
          <wp:wrapNone/>
          <wp:docPr id="2" name="Picture 2" descr="C:\Users\v1adrean\AppData\Local\Microsoft\Windows\INetCache\Content.Word\UKRI_EP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v1adrean\AppData\Local\Microsoft\Windows\INetCache\Content.Word\UKRI_EPSR_Council-Logo_Horiz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FDA69E3" wp14:editId="391CFAEA">
          <wp:simplePos x="0" y="0"/>
          <wp:positionH relativeFrom="margin">
            <wp:posOffset>257175</wp:posOffset>
          </wp:positionH>
          <wp:positionV relativeFrom="paragraph">
            <wp:posOffset>-38735</wp:posOffset>
          </wp:positionV>
          <wp:extent cx="3211200" cy="385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_Logo2018_stacked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1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A48C717" w14:textId="77777777" w:rsidR="001C0909" w:rsidRDefault="001C0909" w:rsidP="0038201B">
    <w:pPr>
      <w:pStyle w:val="Header"/>
    </w:pPr>
  </w:p>
  <w:p w14:paraId="550AAA9A" w14:textId="77777777" w:rsidR="001C0909" w:rsidRDefault="001C0909" w:rsidP="0038201B">
    <w:pPr>
      <w:pStyle w:val="Header"/>
    </w:pPr>
  </w:p>
  <w:p w14:paraId="153FA97E" w14:textId="77777777" w:rsidR="001C0909" w:rsidRDefault="001C0909" w:rsidP="00382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CAB"/>
    <w:multiLevelType w:val="hybridMultilevel"/>
    <w:tmpl w:val="BD38A0F6"/>
    <w:lvl w:ilvl="0" w:tplc="820A58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752B1"/>
    <w:multiLevelType w:val="hybridMultilevel"/>
    <w:tmpl w:val="87F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D6601"/>
    <w:multiLevelType w:val="hybridMultilevel"/>
    <w:tmpl w:val="12F00338"/>
    <w:lvl w:ilvl="0" w:tplc="C45E05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94100"/>
    <w:multiLevelType w:val="hybridMultilevel"/>
    <w:tmpl w:val="B6AA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15FB8"/>
    <w:multiLevelType w:val="hybridMultilevel"/>
    <w:tmpl w:val="B784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3EF"/>
    <w:multiLevelType w:val="hybridMultilevel"/>
    <w:tmpl w:val="B590069A"/>
    <w:lvl w:ilvl="0" w:tplc="E52452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305"/>
    <w:multiLevelType w:val="hybridMultilevel"/>
    <w:tmpl w:val="009801EC"/>
    <w:lvl w:ilvl="0" w:tplc="5A0A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6FF2"/>
    <w:multiLevelType w:val="hybridMultilevel"/>
    <w:tmpl w:val="EC14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8643D"/>
    <w:multiLevelType w:val="hybridMultilevel"/>
    <w:tmpl w:val="6D225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11A2F"/>
    <w:multiLevelType w:val="hybridMultilevel"/>
    <w:tmpl w:val="5DC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95320"/>
    <w:multiLevelType w:val="hybridMultilevel"/>
    <w:tmpl w:val="87F2E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F0064D"/>
    <w:multiLevelType w:val="hybridMultilevel"/>
    <w:tmpl w:val="C02A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220CB"/>
    <w:multiLevelType w:val="hybridMultilevel"/>
    <w:tmpl w:val="9C70E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E07639"/>
    <w:multiLevelType w:val="hybridMultilevel"/>
    <w:tmpl w:val="567C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537D"/>
    <w:multiLevelType w:val="hybridMultilevel"/>
    <w:tmpl w:val="E662E542"/>
    <w:lvl w:ilvl="0" w:tplc="9FFE6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E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0A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A9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9E8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0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63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0F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44745"/>
    <w:multiLevelType w:val="hybridMultilevel"/>
    <w:tmpl w:val="D5FE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D01E7"/>
    <w:multiLevelType w:val="hybridMultilevel"/>
    <w:tmpl w:val="CD8876F2"/>
    <w:lvl w:ilvl="0" w:tplc="5A0A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A13F1"/>
    <w:multiLevelType w:val="hybridMultilevel"/>
    <w:tmpl w:val="6ED08E30"/>
    <w:lvl w:ilvl="0" w:tplc="5A0A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1F0F"/>
    <w:multiLevelType w:val="hybridMultilevel"/>
    <w:tmpl w:val="845C5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5D42"/>
    <w:multiLevelType w:val="hybridMultilevel"/>
    <w:tmpl w:val="59F0A380"/>
    <w:lvl w:ilvl="0" w:tplc="5A7CA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F618C"/>
    <w:multiLevelType w:val="hybridMultilevel"/>
    <w:tmpl w:val="5E0C6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02AC5"/>
    <w:multiLevelType w:val="hybridMultilevel"/>
    <w:tmpl w:val="9EA0E760"/>
    <w:lvl w:ilvl="0" w:tplc="820A5862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21F1B"/>
    <w:multiLevelType w:val="hybridMultilevel"/>
    <w:tmpl w:val="0614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58D1"/>
    <w:multiLevelType w:val="hybridMultilevel"/>
    <w:tmpl w:val="F074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D4FF7"/>
    <w:multiLevelType w:val="hybridMultilevel"/>
    <w:tmpl w:val="E9BC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37E53"/>
    <w:multiLevelType w:val="hybridMultilevel"/>
    <w:tmpl w:val="6A603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B1239B"/>
    <w:multiLevelType w:val="hybridMultilevel"/>
    <w:tmpl w:val="7742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EF113B"/>
    <w:multiLevelType w:val="hybridMultilevel"/>
    <w:tmpl w:val="7D0E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3E81"/>
    <w:multiLevelType w:val="hybridMultilevel"/>
    <w:tmpl w:val="1F60F272"/>
    <w:lvl w:ilvl="0" w:tplc="5A0A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D4052"/>
    <w:multiLevelType w:val="hybridMultilevel"/>
    <w:tmpl w:val="A4A84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06434"/>
    <w:multiLevelType w:val="hybridMultilevel"/>
    <w:tmpl w:val="A5264F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4A74AB"/>
    <w:multiLevelType w:val="hybridMultilevel"/>
    <w:tmpl w:val="290E6714"/>
    <w:lvl w:ilvl="0" w:tplc="5A0A8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7D76"/>
    <w:multiLevelType w:val="hybridMultilevel"/>
    <w:tmpl w:val="DCE0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E7621"/>
    <w:multiLevelType w:val="hybridMultilevel"/>
    <w:tmpl w:val="D566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25E32"/>
    <w:multiLevelType w:val="hybridMultilevel"/>
    <w:tmpl w:val="C1BE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21997">
    <w:abstractNumId w:val="14"/>
  </w:num>
  <w:num w:numId="2" w16cid:durableId="1032727291">
    <w:abstractNumId w:val="23"/>
  </w:num>
  <w:num w:numId="3" w16cid:durableId="1015576964">
    <w:abstractNumId w:val="33"/>
  </w:num>
  <w:num w:numId="4" w16cid:durableId="1778871172">
    <w:abstractNumId w:val="1"/>
  </w:num>
  <w:num w:numId="5" w16cid:durableId="1596867692">
    <w:abstractNumId w:val="34"/>
  </w:num>
  <w:num w:numId="6" w16cid:durableId="1583678581">
    <w:abstractNumId w:val="29"/>
  </w:num>
  <w:num w:numId="7" w16cid:durableId="38827114">
    <w:abstractNumId w:val="22"/>
  </w:num>
  <w:num w:numId="8" w16cid:durableId="1539928456">
    <w:abstractNumId w:val="21"/>
  </w:num>
  <w:num w:numId="9" w16cid:durableId="1231576227">
    <w:abstractNumId w:val="0"/>
  </w:num>
  <w:num w:numId="10" w16cid:durableId="551502388">
    <w:abstractNumId w:val="2"/>
  </w:num>
  <w:num w:numId="11" w16cid:durableId="1018192810">
    <w:abstractNumId w:val="27"/>
  </w:num>
  <w:num w:numId="12" w16cid:durableId="49378952">
    <w:abstractNumId w:val="5"/>
  </w:num>
  <w:num w:numId="13" w16cid:durableId="1200431244">
    <w:abstractNumId w:val="4"/>
  </w:num>
  <w:num w:numId="14" w16cid:durableId="549919602">
    <w:abstractNumId w:val="13"/>
  </w:num>
  <w:num w:numId="15" w16cid:durableId="1599676203">
    <w:abstractNumId w:val="11"/>
  </w:num>
  <w:num w:numId="16" w16cid:durableId="852720477">
    <w:abstractNumId w:val="32"/>
  </w:num>
  <w:num w:numId="17" w16cid:durableId="1221405118">
    <w:abstractNumId w:val="19"/>
  </w:num>
  <w:num w:numId="18" w16cid:durableId="1184785753">
    <w:abstractNumId w:val="12"/>
  </w:num>
  <w:num w:numId="19" w16cid:durableId="89354487">
    <w:abstractNumId w:val="20"/>
  </w:num>
  <w:num w:numId="20" w16cid:durableId="410857166">
    <w:abstractNumId w:val="10"/>
  </w:num>
  <w:num w:numId="21" w16cid:durableId="1415662084">
    <w:abstractNumId w:val="18"/>
  </w:num>
  <w:num w:numId="22" w16cid:durableId="535393630">
    <w:abstractNumId w:val="25"/>
  </w:num>
  <w:num w:numId="23" w16cid:durableId="2027632239">
    <w:abstractNumId w:val="3"/>
  </w:num>
  <w:num w:numId="24" w16cid:durableId="500462984">
    <w:abstractNumId w:val="30"/>
  </w:num>
  <w:num w:numId="25" w16cid:durableId="773016276">
    <w:abstractNumId w:val="15"/>
  </w:num>
  <w:num w:numId="26" w16cid:durableId="1533105563">
    <w:abstractNumId w:val="9"/>
  </w:num>
  <w:num w:numId="27" w16cid:durableId="258560605">
    <w:abstractNumId w:val="26"/>
  </w:num>
  <w:num w:numId="28" w16cid:durableId="26609643">
    <w:abstractNumId w:val="7"/>
  </w:num>
  <w:num w:numId="29" w16cid:durableId="1116828756">
    <w:abstractNumId w:val="8"/>
  </w:num>
  <w:num w:numId="30" w16cid:durableId="768698923">
    <w:abstractNumId w:val="16"/>
  </w:num>
  <w:num w:numId="31" w16cid:durableId="685402740">
    <w:abstractNumId w:val="31"/>
  </w:num>
  <w:num w:numId="32" w16cid:durableId="1052996767">
    <w:abstractNumId w:val="28"/>
  </w:num>
  <w:num w:numId="33" w16cid:durableId="148983428">
    <w:abstractNumId w:val="17"/>
  </w:num>
  <w:num w:numId="34" w16cid:durableId="875967238">
    <w:abstractNumId w:val="6"/>
  </w:num>
  <w:num w:numId="35" w16cid:durableId="1970358849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C3"/>
    <w:rsid w:val="000013F2"/>
    <w:rsid w:val="00002A9D"/>
    <w:rsid w:val="00007185"/>
    <w:rsid w:val="00013B44"/>
    <w:rsid w:val="00014F77"/>
    <w:rsid w:val="000157F1"/>
    <w:rsid w:val="00020C86"/>
    <w:rsid w:val="00024603"/>
    <w:rsid w:val="00027AF0"/>
    <w:rsid w:val="00033386"/>
    <w:rsid w:val="00034B2D"/>
    <w:rsid w:val="00036725"/>
    <w:rsid w:val="00036DB9"/>
    <w:rsid w:val="00036EFF"/>
    <w:rsid w:val="00043488"/>
    <w:rsid w:val="000530A2"/>
    <w:rsid w:val="000531D7"/>
    <w:rsid w:val="000539F5"/>
    <w:rsid w:val="00054F0B"/>
    <w:rsid w:val="0006021B"/>
    <w:rsid w:val="00060558"/>
    <w:rsid w:val="00060F94"/>
    <w:rsid w:val="00061E55"/>
    <w:rsid w:val="0006641F"/>
    <w:rsid w:val="00066C2E"/>
    <w:rsid w:val="000708E9"/>
    <w:rsid w:val="000709F4"/>
    <w:rsid w:val="00070B3A"/>
    <w:rsid w:val="000742A6"/>
    <w:rsid w:val="00074F6D"/>
    <w:rsid w:val="00076E79"/>
    <w:rsid w:val="00080C46"/>
    <w:rsid w:val="00082A55"/>
    <w:rsid w:val="00083BC2"/>
    <w:rsid w:val="00087F6E"/>
    <w:rsid w:val="000914C1"/>
    <w:rsid w:val="0009329B"/>
    <w:rsid w:val="00097AC4"/>
    <w:rsid w:val="000B03B1"/>
    <w:rsid w:val="000B78D7"/>
    <w:rsid w:val="000C0373"/>
    <w:rsid w:val="000C23C0"/>
    <w:rsid w:val="000C64F3"/>
    <w:rsid w:val="000C7966"/>
    <w:rsid w:val="000D553C"/>
    <w:rsid w:val="000D77EA"/>
    <w:rsid w:val="000E13F3"/>
    <w:rsid w:val="000E51FE"/>
    <w:rsid w:val="000F3920"/>
    <w:rsid w:val="000F3D60"/>
    <w:rsid w:val="000F41F8"/>
    <w:rsid w:val="000F5E61"/>
    <w:rsid w:val="00102288"/>
    <w:rsid w:val="001043C8"/>
    <w:rsid w:val="00105A8F"/>
    <w:rsid w:val="001158D2"/>
    <w:rsid w:val="001175A2"/>
    <w:rsid w:val="00117C4B"/>
    <w:rsid w:val="001200FE"/>
    <w:rsid w:val="001209CF"/>
    <w:rsid w:val="00123108"/>
    <w:rsid w:val="00125BE9"/>
    <w:rsid w:val="0012660B"/>
    <w:rsid w:val="0014535C"/>
    <w:rsid w:val="00151561"/>
    <w:rsid w:val="001537BF"/>
    <w:rsid w:val="00161332"/>
    <w:rsid w:val="001626DE"/>
    <w:rsid w:val="001648E3"/>
    <w:rsid w:val="0016660F"/>
    <w:rsid w:val="0017107F"/>
    <w:rsid w:val="0017169C"/>
    <w:rsid w:val="001723CC"/>
    <w:rsid w:val="00172AC4"/>
    <w:rsid w:val="001763F5"/>
    <w:rsid w:val="00180CDA"/>
    <w:rsid w:val="00186942"/>
    <w:rsid w:val="00191B2B"/>
    <w:rsid w:val="00195552"/>
    <w:rsid w:val="00197CF4"/>
    <w:rsid w:val="00197FEC"/>
    <w:rsid w:val="001A0E80"/>
    <w:rsid w:val="001A2B46"/>
    <w:rsid w:val="001A32C9"/>
    <w:rsid w:val="001A5010"/>
    <w:rsid w:val="001A56FB"/>
    <w:rsid w:val="001A6A9C"/>
    <w:rsid w:val="001A7F8A"/>
    <w:rsid w:val="001B3B9E"/>
    <w:rsid w:val="001C0909"/>
    <w:rsid w:val="001C286A"/>
    <w:rsid w:val="001C2982"/>
    <w:rsid w:val="001C7359"/>
    <w:rsid w:val="001C752D"/>
    <w:rsid w:val="001C7556"/>
    <w:rsid w:val="001C7AA7"/>
    <w:rsid w:val="001D77F6"/>
    <w:rsid w:val="001E3679"/>
    <w:rsid w:val="001E6571"/>
    <w:rsid w:val="001E68C3"/>
    <w:rsid w:val="001F02D6"/>
    <w:rsid w:val="001F0349"/>
    <w:rsid w:val="001F2A1C"/>
    <w:rsid w:val="001F3F3C"/>
    <w:rsid w:val="001F691A"/>
    <w:rsid w:val="00201406"/>
    <w:rsid w:val="00206445"/>
    <w:rsid w:val="00214CF9"/>
    <w:rsid w:val="00216822"/>
    <w:rsid w:val="00217018"/>
    <w:rsid w:val="00217426"/>
    <w:rsid w:val="00220458"/>
    <w:rsid w:val="0022591F"/>
    <w:rsid w:val="00227C1D"/>
    <w:rsid w:val="00230448"/>
    <w:rsid w:val="002340E2"/>
    <w:rsid w:val="00240EDA"/>
    <w:rsid w:val="00243E39"/>
    <w:rsid w:val="00246F83"/>
    <w:rsid w:val="00251FCC"/>
    <w:rsid w:val="00252602"/>
    <w:rsid w:val="002526F3"/>
    <w:rsid w:val="00255EDC"/>
    <w:rsid w:val="002570C3"/>
    <w:rsid w:val="0026493F"/>
    <w:rsid w:val="00265D2E"/>
    <w:rsid w:val="002751A5"/>
    <w:rsid w:val="00284770"/>
    <w:rsid w:val="0028616C"/>
    <w:rsid w:val="00287104"/>
    <w:rsid w:val="00291A3C"/>
    <w:rsid w:val="00293D84"/>
    <w:rsid w:val="002956D0"/>
    <w:rsid w:val="002A0664"/>
    <w:rsid w:val="002A756F"/>
    <w:rsid w:val="002B2C23"/>
    <w:rsid w:val="002B3A80"/>
    <w:rsid w:val="002B3DD0"/>
    <w:rsid w:val="002B5BC0"/>
    <w:rsid w:val="002B7A26"/>
    <w:rsid w:val="002C0A20"/>
    <w:rsid w:val="002C46AD"/>
    <w:rsid w:val="002C5840"/>
    <w:rsid w:val="002D2760"/>
    <w:rsid w:val="002D5579"/>
    <w:rsid w:val="002D5696"/>
    <w:rsid w:val="002D5F7D"/>
    <w:rsid w:val="002E1A49"/>
    <w:rsid w:val="002E46AA"/>
    <w:rsid w:val="002E527D"/>
    <w:rsid w:val="002F1E5F"/>
    <w:rsid w:val="002F2541"/>
    <w:rsid w:val="002F3520"/>
    <w:rsid w:val="002F42F0"/>
    <w:rsid w:val="002F6522"/>
    <w:rsid w:val="00300CCB"/>
    <w:rsid w:val="00302282"/>
    <w:rsid w:val="00307A95"/>
    <w:rsid w:val="003124FD"/>
    <w:rsid w:val="003201AD"/>
    <w:rsid w:val="00320B52"/>
    <w:rsid w:val="00321C1C"/>
    <w:rsid w:val="00321D8F"/>
    <w:rsid w:val="00322DF9"/>
    <w:rsid w:val="00324201"/>
    <w:rsid w:val="0033260B"/>
    <w:rsid w:val="00336AB4"/>
    <w:rsid w:val="00346041"/>
    <w:rsid w:val="00347AE5"/>
    <w:rsid w:val="00351C2E"/>
    <w:rsid w:val="00355A23"/>
    <w:rsid w:val="00355ADB"/>
    <w:rsid w:val="003609BC"/>
    <w:rsid w:val="00360EC1"/>
    <w:rsid w:val="00363263"/>
    <w:rsid w:val="0036659D"/>
    <w:rsid w:val="00370BEA"/>
    <w:rsid w:val="0037171B"/>
    <w:rsid w:val="00376507"/>
    <w:rsid w:val="00377EF2"/>
    <w:rsid w:val="0038201B"/>
    <w:rsid w:val="00383125"/>
    <w:rsid w:val="00394246"/>
    <w:rsid w:val="0039468C"/>
    <w:rsid w:val="0039496C"/>
    <w:rsid w:val="00396CAC"/>
    <w:rsid w:val="003A09C1"/>
    <w:rsid w:val="003B2446"/>
    <w:rsid w:val="003C1220"/>
    <w:rsid w:val="003C2BAD"/>
    <w:rsid w:val="003C3E8D"/>
    <w:rsid w:val="003C4865"/>
    <w:rsid w:val="003C56E6"/>
    <w:rsid w:val="003D2F03"/>
    <w:rsid w:val="003D4E2F"/>
    <w:rsid w:val="003D5767"/>
    <w:rsid w:val="003D7AE8"/>
    <w:rsid w:val="003E31F0"/>
    <w:rsid w:val="003E3D9D"/>
    <w:rsid w:val="003E5FC2"/>
    <w:rsid w:val="003E6FCE"/>
    <w:rsid w:val="003E7503"/>
    <w:rsid w:val="003F33AF"/>
    <w:rsid w:val="003F4468"/>
    <w:rsid w:val="003F45A8"/>
    <w:rsid w:val="003F4EE7"/>
    <w:rsid w:val="003F7EA6"/>
    <w:rsid w:val="00410A43"/>
    <w:rsid w:val="00410AEF"/>
    <w:rsid w:val="0041133F"/>
    <w:rsid w:val="00413BA4"/>
    <w:rsid w:val="0041709E"/>
    <w:rsid w:val="004200B0"/>
    <w:rsid w:val="004232E4"/>
    <w:rsid w:val="00425DF2"/>
    <w:rsid w:val="00426B68"/>
    <w:rsid w:val="0042748B"/>
    <w:rsid w:val="00427542"/>
    <w:rsid w:val="00431BE1"/>
    <w:rsid w:val="0043777E"/>
    <w:rsid w:val="00442542"/>
    <w:rsid w:val="004441C8"/>
    <w:rsid w:val="00446407"/>
    <w:rsid w:val="00446CFF"/>
    <w:rsid w:val="00451634"/>
    <w:rsid w:val="004526F7"/>
    <w:rsid w:val="00455288"/>
    <w:rsid w:val="00456606"/>
    <w:rsid w:val="00456C77"/>
    <w:rsid w:val="004609DB"/>
    <w:rsid w:val="00460F7F"/>
    <w:rsid w:val="004610EF"/>
    <w:rsid w:val="004616ED"/>
    <w:rsid w:val="00463516"/>
    <w:rsid w:val="004667C3"/>
    <w:rsid w:val="004671AD"/>
    <w:rsid w:val="00471282"/>
    <w:rsid w:val="004767D5"/>
    <w:rsid w:val="00477210"/>
    <w:rsid w:val="00477D32"/>
    <w:rsid w:val="00480AC4"/>
    <w:rsid w:val="00481436"/>
    <w:rsid w:val="00481B03"/>
    <w:rsid w:val="00481D92"/>
    <w:rsid w:val="004835A9"/>
    <w:rsid w:val="00484C9C"/>
    <w:rsid w:val="00485945"/>
    <w:rsid w:val="00486A52"/>
    <w:rsid w:val="004926D8"/>
    <w:rsid w:val="004A1A94"/>
    <w:rsid w:val="004A2C69"/>
    <w:rsid w:val="004A3E05"/>
    <w:rsid w:val="004A6846"/>
    <w:rsid w:val="004A7137"/>
    <w:rsid w:val="004C336B"/>
    <w:rsid w:val="004C3753"/>
    <w:rsid w:val="004C673A"/>
    <w:rsid w:val="004C7920"/>
    <w:rsid w:val="004D3EFC"/>
    <w:rsid w:val="004D5B00"/>
    <w:rsid w:val="004D620C"/>
    <w:rsid w:val="004D676E"/>
    <w:rsid w:val="004D7690"/>
    <w:rsid w:val="004E5508"/>
    <w:rsid w:val="004E742A"/>
    <w:rsid w:val="004F0A8B"/>
    <w:rsid w:val="004F646A"/>
    <w:rsid w:val="004F679D"/>
    <w:rsid w:val="00506662"/>
    <w:rsid w:val="00507FD3"/>
    <w:rsid w:val="00520073"/>
    <w:rsid w:val="005316A3"/>
    <w:rsid w:val="00531947"/>
    <w:rsid w:val="00533075"/>
    <w:rsid w:val="00535123"/>
    <w:rsid w:val="0054279F"/>
    <w:rsid w:val="00542F9D"/>
    <w:rsid w:val="00543EC8"/>
    <w:rsid w:val="00546E2D"/>
    <w:rsid w:val="00547317"/>
    <w:rsid w:val="00547D52"/>
    <w:rsid w:val="005523E7"/>
    <w:rsid w:val="00555BA9"/>
    <w:rsid w:val="00555BE8"/>
    <w:rsid w:val="00556DC9"/>
    <w:rsid w:val="00560F75"/>
    <w:rsid w:val="0056682E"/>
    <w:rsid w:val="00574407"/>
    <w:rsid w:val="005747B9"/>
    <w:rsid w:val="00574B02"/>
    <w:rsid w:val="00575335"/>
    <w:rsid w:val="00581821"/>
    <w:rsid w:val="005838D5"/>
    <w:rsid w:val="0058438C"/>
    <w:rsid w:val="005906F8"/>
    <w:rsid w:val="005912D7"/>
    <w:rsid w:val="005950B2"/>
    <w:rsid w:val="00597F4C"/>
    <w:rsid w:val="005A31F1"/>
    <w:rsid w:val="005B2171"/>
    <w:rsid w:val="005B478A"/>
    <w:rsid w:val="005C0B15"/>
    <w:rsid w:val="005C184B"/>
    <w:rsid w:val="005C1D96"/>
    <w:rsid w:val="005C1F1D"/>
    <w:rsid w:val="005C53EB"/>
    <w:rsid w:val="005C6720"/>
    <w:rsid w:val="005C7C07"/>
    <w:rsid w:val="005D3BC6"/>
    <w:rsid w:val="005D3C86"/>
    <w:rsid w:val="005E14AE"/>
    <w:rsid w:val="005F01BF"/>
    <w:rsid w:val="005F09C6"/>
    <w:rsid w:val="005F5D4B"/>
    <w:rsid w:val="005F7120"/>
    <w:rsid w:val="005F7420"/>
    <w:rsid w:val="006000BC"/>
    <w:rsid w:val="0060169F"/>
    <w:rsid w:val="0060581D"/>
    <w:rsid w:val="00605E60"/>
    <w:rsid w:val="00611BB6"/>
    <w:rsid w:val="00614578"/>
    <w:rsid w:val="00614D6D"/>
    <w:rsid w:val="00616E4F"/>
    <w:rsid w:val="00620A2A"/>
    <w:rsid w:val="0062156C"/>
    <w:rsid w:val="006223EB"/>
    <w:rsid w:val="00624845"/>
    <w:rsid w:val="0063406C"/>
    <w:rsid w:val="006356B1"/>
    <w:rsid w:val="00636D5C"/>
    <w:rsid w:val="00637774"/>
    <w:rsid w:val="006601AA"/>
    <w:rsid w:val="00660680"/>
    <w:rsid w:val="00664C28"/>
    <w:rsid w:val="00665BCB"/>
    <w:rsid w:val="00665C72"/>
    <w:rsid w:val="00670173"/>
    <w:rsid w:val="006734E3"/>
    <w:rsid w:val="00675D41"/>
    <w:rsid w:val="006801D1"/>
    <w:rsid w:val="006825E3"/>
    <w:rsid w:val="006826A2"/>
    <w:rsid w:val="00683A34"/>
    <w:rsid w:val="00684C4A"/>
    <w:rsid w:val="00692961"/>
    <w:rsid w:val="006949EC"/>
    <w:rsid w:val="006B2155"/>
    <w:rsid w:val="006B63F5"/>
    <w:rsid w:val="006C1431"/>
    <w:rsid w:val="006C208B"/>
    <w:rsid w:val="006C3620"/>
    <w:rsid w:val="006C3D33"/>
    <w:rsid w:val="006C402A"/>
    <w:rsid w:val="006C7C2B"/>
    <w:rsid w:val="006D3EBF"/>
    <w:rsid w:val="006D5203"/>
    <w:rsid w:val="006D543D"/>
    <w:rsid w:val="006E2328"/>
    <w:rsid w:val="006E6861"/>
    <w:rsid w:val="006E7EFD"/>
    <w:rsid w:val="006F12D0"/>
    <w:rsid w:val="006F21C0"/>
    <w:rsid w:val="00700F74"/>
    <w:rsid w:val="00701A16"/>
    <w:rsid w:val="0071095B"/>
    <w:rsid w:val="0071117B"/>
    <w:rsid w:val="007133FD"/>
    <w:rsid w:val="00714744"/>
    <w:rsid w:val="007169C9"/>
    <w:rsid w:val="00720467"/>
    <w:rsid w:val="00721B81"/>
    <w:rsid w:val="007232B5"/>
    <w:rsid w:val="00724D4A"/>
    <w:rsid w:val="00740572"/>
    <w:rsid w:val="007419C2"/>
    <w:rsid w:val="007434D3"/>
    <w:rsid w:val="00745473"/>
    <w:rsid w:val="00746E91"/>
    <w:rsid w:val="00751957"/>
    <w:rsid w:val="00757B94"/>
    <w:rsid w:val="00760CDC"/>
    <w:rsid w:val="007620A7"/>
    <w:rsid w:val="00773484"/>
    <w:rsid w:val="00775D29"/>
    <w:rsid w:val="00777CD3"/>
    <w:rsid w:val="007805FB"/>
    <w:rsid w:val="00785A3F"/>
    <w:rsid w:val="00790B91"/>
    <w:rsid w:val="007929BA"/>
    <w:rsid w:val="007A0253"/>
    <w:rsid w:val="007A3574"/>
    <w:rsid w:val="007A6F2C"/>
    <w:rsid w:val="007A70F6"/>
    <w:rsid w:val="007A77BB"/>
    <w:rsid w:val="007B072B"/>
    <w:rsid w:val="007B1256"/>
    <w:rsid w:val="007B1A0D"/>
    <w:rsid w:val="007B6441"/>
    <w:rsid w:val="007C384D"/>
    <w:rsid w:val="007D027B"/>
    <w:rsid w:val="007D2BC4"/>
    <w:rsid w:val="007D5402"/>
    <w:rsid w:val="007D6784"/>
    <w:rsid w:val="007E0742"/>
    <w:rsid w:val="007E16C9"/>
    <w:rsid w:val="007E2FFC"/>
    <w:rsid w:val="007E376F"/>
    <w:rsid w:val="007E7473"/>
    <w:rsid w:val="007F0DA4"/>
    <w:rsid w:val="007F326F"/>
    <w:rsid w:val="007F3AE4"/>
    <w:rsid w:val="007F75DC"/>
    <w:rsid w:val="00800C44"/>
    <w:rsid w:val="00804049"/>
    <w:rsid w:val="0080723A"/>
    <w:rsid w:val="0081096C"/>
    <w:rsid w:val="008112DF"/>
    <w:rsid w:val="0081467E"/>
    <w:rsid w:val="00815A5E"/>
    <w:rsid w:val="00820821"/>
    <w:rsid w:val="00824361"/>
    <w:rsid w:val="008344AE"/>
    <w:rsid w:val="00836919"/>
    <w:rsid w:val="00837735"/>
    <w:rsid w:val="0084610D"/>
    <w:rsid w:val="00856187"/>
    <w:rsid w:val="00860EFD"/>
    <w:rsid w:val="008617EA"/>
    <w:rsid w:val="00861F3B"/>
    <w:rsid w:val="0086601C"/>
    <w:rsid w:val="00870888"/>
    <w:rsid w:val="008710BA"/>
    <w:rsid w:val="00871279"/>
    <w:rsid w:val="00874340"/>
    <w:rsid w:val="00880AC6"/>
    <w:rsid w:val="00884F95"/>
    <w:rsid w:val="00891FEE"/>
    <w:rsid w:val="00893F70"/>
    <w:rsid w:val="00895B00"/>
    <w:rsid w:val="008965EF"/>
    <w:rsid w:val="00896A37"/>
    <w:rsid w:val="008B1F90"/>
    <w:rsid w:val="008B543F"/>
    <w:rsid w:val="008B5765"/>
    <w:rsid w:val="008B5CA8"/>
    <w:rsid w:val="008B6503"/>
    <w:rsid w:val="008B668A"/>
    <w:rsid w:val="008C0672"/>
    <w:rsid w:val="008C1E2A"/>
    <w:rsid w:val="008C378C"/>
    <w:rsid w:val="008C455A"/>
    <w:rsid w:val="008C4C8F"/>
    <w:rsid w:val="008C575C"/>
    <w:rsid w:val="008C64CA"/>
    <w:rsid w:val="008D1929"/>
    <w:rsid w:val="008D65E1"/>
    <w:rsid w:val="008E0808"/>
    <w:rsid w:val="008E2172"/>
    <w:rsid w:val="008E502D"/>
    <w:rsid w:val="008E5060"/>
    <w:rsid w:val="008F6B69"/>
    <w:rsid w:val="009010FF"/>
    <w:rsid w:val="00901152"/>
    <w:rsid w:val="009116CF"/>
    <w:rsid w:val="00917B31"/>
    <w:rsid w:val="0092124E"/>
    <w:rsid w:val="00924C36"/>
    <w:rsid w:val="0092619D"/>
    <w:rsid w:val="00926BE3"/>
    <w:rsid w:val="00927C15"/>
    <w:rsid w:val="00931CDD"/>
    <w:rsid w:val="00934F70"/>
    <w:rsid w:val="00935103"/>
    <w:rsid w:val="009403B7"/>
    <w:rsid w:val="0094184C"/>
    <w:rsid w:val="0094499A"/>
    <w:rsid w:val="00946813"/>
    <w:rsid w:val="00953D02"/>
    <w:rsid w:val="00956E32"/>
    <w:rsid w:val="00963420"/>
    <w:rsid w:val="00963BC3"/>
    <w:rsid w:val="009659C8"/>
    <w:rsid w:val="00965BC7"/>
    <w:rsid w:val="00967AE6"/>
    <w:rsid w:val="00974D62"/>
    <w:rsid w:val="00993BC4"/>
    <w:rsid w:val="009950F1"/>
    <w:rsid w:val="009A53BE"/>
    <w:rsid w:val="009A57F3"/>
    <w:rsid w:val="009A7D2B"/>
    <w:rsid w:val="009B1973"/>
    <w:rsid w:val="009B2A25"/>
    <w:rsid w:val="009C0E51"/>
    <w:rsid w:val="009C2E79"/>
    <w:rsid w:val="009C4338"/>
    <w:rsid w:val="009D6DF9"/>
    <w:rsid w:val="009D7781"/>
    <w:rsid w:val="009E00CA"/>
    <w:rsid w:val="009E34E1"/>
    <w:rsid w:val="009F20D3"/>
    <w:rsid w:val="009F41B4"/>
    <w:rsid w:val="009F7ADC"/>
    <w:rsid w:val="00A04A4C"/>
    <w:rsid w:val="00A04BE9"/>
    <w:rsid w:val="00A051D5"/>
    <w:rsid w:val="00A07E22"/>
    <w:rsid w:val="00A07F37"/>
    <w:rsid w:val="00A13E4B"/>
    <w:rsid w:val="00A265BF"/>
    <w:rsid w:val="00A3004B"/>
    <w:rsid w:val="00A3166C"/>
    <w:rsid w:val="00A320A9"/>
    <w:rsid w:val="00A326E4"/>
    <w:rsid w:val="00A40B19"/>
    <w:rsid w:val="00A42551"/>
    <w:rsid w:val="00A47FD3"/>
    <w:rsid w:val="00A51FB5"/>
    <w:rsid w:val="00A57F3D"/>
    <w:rsid w:val="00A6017D"/>
    <w:rsid w:val="00A62597"/>
    <w:rsid w:val="00A640C5"/>
    <w:rsid w:val="00A64383"/>
    <w:rsid w:val="00A67250"/>
    <w:rsid w:val="00A70BB7"/>
    <w:rsid w:val="00A77DA5"/>
    <w:rsid w:val="00A8337B"/>
    <w:rsid w:val="00A83830"/>
    <w:rsid w:val="00A839DE"/>
    <w:rsid w:val="00A85722"/>
    <w:rsid w:val="00A8580C"/>
    <w:rsid w:val="00A85B0D"/>
    <w:rsid w:val="00A86DCF"/>
    <w:rsid w:val="00A87929"/>
    <w:rsid w:val="00A962C3"/>
    <w:rsid w:val="00A97F3D"/>
    <w:rsid w:val="00AA076C"/>
    <w:rsid w:val="00AA1B54"/>
    <w:rsid w:val="00AA2F8D"/>
    <w:rsid w:val="00AA510F"/>
    <w:rsid w:val="00AA562B"/>
    <w:rsid w:val="00AB09A7"/>
    <w:rsid w:val="00AB0DB5"/>
    <w:rsid w:val="00AB2C1F"/>
    <w:rsid w:val="00AB42EE"/>
    <w:rsid w:val="00AB56E3"/>
    <w:rsid w:val="00AC4031"/>
    <w:rsid w:val="00AC6F50"/>
    <w:rsid w:val="00AD4DAB"/>
    <w:rsid w:val="00AD5725"/>
    <w:rsid w:val="00AD7204"/>
    <w:rsid w:val="00AE1645"/>
    <w:rsid w:val="00AE38E5"/>
    <w:rsid w:val="00AF4F54"/>
    <w:rsid w:val="00AF5E19"/>
    <w:rsid w:val="00B0498A"/>
    <w:rsid w:val="00B07A0F"/>
    <w:rsid w:val="00B10166"/>
    <w:rsid w:val="00B10E1D"/>
    <w:rsid w:val="00B20FCD"/>
    <w:rsid w:val="00B235DA"/>
    <w:rsid w:val="00B33BC1"/>
    <w:rsid w:val="00B3445C"/>
    <w:rsid w:val="00B35108"/>
    <w:rsid w:val="00B35CFD"/>
    <w:rsid w:val="00B4601E"/>
    <w:rsid w:val="00B46661"/>
    <w:rsid w:val="00B47F80"/>
    <w:rsid w:val="00B50106"/>
    <w:rsid w:val="00B54875"/>
    <w:rsid w:val="00B55CD8"/>
    <w:rsid w:val="00B56B71"/>
    <w:rsid w:val="00B56E28"/>
    <w:rsid w:val="00B624C5"/>
    <w:rsid w:val="00B77D00"/>
    <w:rsid w:val="00B85DB3"/>
    <w:rsid w:val="00B90008"/>
    <w:rsid w:val="00B90787"/>
    <w:rsid w:val="00B94AF4"/>
    <w:rsid w:val="00BA35DB"/>
    <w:rsid w:val="00BB047D"/>
    <w:rsid w:val="00BB1884"/>
    <w:rsid w:val="00BB2104"/>
    <w:rsid w:val="00BB3CA4"/>
    <w:rsid w:val="00BB4BC2"/>
    <w:rsid w:val="00BC1A27"/>
    <w:rsid w:val="00BC4D31"/>
    <w:rsid w:val="00BD282F"/>
    <w:rsid w:val="00BD51AE"/>
    <w:rsid w:val="00BD5F4D"/>
    <w:rsid w:val="00BD700C"/>
    <w:rsid w:val="00BE0677"/>
    <w:rsid w:val="00BE0A31"/>
    <w:rsid w:val="00BE131F"/>
    <w:rsid w:val="00BE7AFE"/>
    <w:rsid w:val="00BF39CD"/>
    <w:rsid w:val="00BF4093"/>
    <w:rsid w:val="00BF48D2"/>
    <w:rsid w:val="00BF4E88"/>
    <w:rsid w:val="00BF699B"/>
    <w:rsid w:val="00C011A0"/>
    <w:rsid w:val="00C03457"/>
    <w:rsid w:val="00C0366F"/>
    <w:rsid w:val="00C05E95"/>
    <w:rsid w:val="00C10980"/>
    <w:rsid w:val="00C15016"/>
    <w:rsid w:val="00C17CB3"/>
    <w:rsid w:val="00C201D6"/>
    <w:rsid w:val="00C25CD1"/>
    <w:rsid w:val="00C25CF1"/>
    <w:rsid w:val="00C26BD1"/>
    <w:rsid w:val="00C273C3"/>
    <w:rsid w:val="00C3498D"/>
    <w:rsid w:val="00C34B9B"/>
    <w:rsid w:val="00C45FB7"/>
    <w:rsid w:val="00C55D37"/>
    <w:rsid w:val="00C61C50"/>
    <w:rsid w:val="00C62D49"/>
    <w:rsid w:val="00C66CC1"/>
    <w:rsid w:val="00C72079"/>
    <w:rsid w:val="00C73101"/>
    <w:rsid w:val="00C73A13"/>
    <w:rsid w:val="00C74A97"/>
    <w:rsid w:val="00C75CC9"/>
    <w:rsid w:val="00C77A60"/>
    <w:rsid w:val="00C85DBE"/>
    <w:rsid w:val="00C950FF"/>
    <w:rsid w:val="00C97FE0"/>
    <w:rsid w:val="00CA3C4D"/>
    <w:rsid w:val="00CA3CB7"/>
    <w:rsid w:val="00CA7520"/>
    <w:rsid w:val="00CB0276"/>
    <w:rsid w:val="00CC2DC8"/>
    <w:rsid w:val="00CC55EA"/>
    <w:rsid w:val="00CD0531"/>
    <w:rsid w:val="00CD1CC6"/>
    <w:rsid w:val="00CD3851"/>
    <w:rsid w:val="00CD4CE9"/>
    <w:rsid w:val="00CD5407"/>
    <w:rsid w:val="00CE2747"/>
    <w:rsid w:val="00CE7162"/>
    <w:rsid w:val="00CF5A74"/>
    <w:rsid w:val="00CF7753"/>
    <w:rsid w:val="00D062EB"/>
    <w:rsid w:val="00D134F6"/>
    <w:rsid w:val="00D135CB"/>
    <w:rsid w:val="00D15542"/>
    <w:rsid w:val="00D1703C"/>
    <w:rsid w:val="00D21A0C"/>
    <w:rsid w:val="00D23B1F"/>
    <w:rsid w:val="00D2447C"/>
    <w:rsid w:val="00D27D38"/>
    <w:rsid w:val="00D30B7E"/>
    <w:rsid w:val="00D36E61"/>
    <w:rsid w:val="00D4013A"/>
    <w:rsid w:val="00D42EE1"/>
    <w:rsid w:val="00D46995"/>
    <w:rsid w:val="00D4734E"/>
    <w:rsid w:val="00D53EB9"/>
    <w:rsid w:val="00D60B40"/>
    <w:rsid w:val="00D65307"/>
    <w:rsid w:val="00D6663A"/>
    <w:rsid w:val="00D702A9"/>
    <w:rsid w:val="00D731C4"/>
    <w:rsid w:val="00D7403D"/>
    <w:rsid w:val="00D802C0"/>
    <w:rsid w:val="00D819B8"/>
    <w:rsid w:val="00D8205A"/>
    <w:rsid w:val="00D83648"/>
    <w:rsid w:val="00D849F0"/>
    <w:rsid w:val="00D8530D"/>
    <w:rsid w:val="00D93105"/>
    <w:rsid w:val="00D936F6"/>
    <w:rsid w:val="00D95C27"/>
    <w:rsid w:val="00DA012F"/>
    <w:rsid w:val="00DA25ED"/>
    <w:rsid w:val="00DA4807"/>
    <w:rsid w:val="00DB0ABF"/>
    <w:rsid w:val="00DB1F27"/>
    <w:rsid w:val="00DB2C80"/>
    <w:rsid w:val="00DB42C3"/>
    <w:rsid w:val="00DB63D9"/>
    <w:rsid w:val="00DC19F8"/>
    <w:rsid w:val="00DC42C6"/>
    <w:rsid w:val="00DC50D3"/>
    <w:rsid w:val="00DD3C29"/>
    <w:rsid w:val="00DD53CF"/>
    <w:rsid w:val="00DD5B35"/>
    <w:rsid w:val="00DE5910"/>
    <w:rsid w:val="00DF0940"/>
    <w:rsid w:val="00DF0CF7"/>
    <w:rsid w:val="00DF11D2"/>
    <w:rsid w:val="00DF6856"/>
    <w:rsid w:val="00DF6D96"/>
    <w:rsid w:val="00E02088"/>
    <w:rsid w:val="00E03655"/>
    <w:rsid w:val="00E126A6"/>
    <w:rsid w:val="00E15356"/>
    <w:rsid w:val="00E17B24"/>
    <w:rsid w:val="00E24D88"/>
    <w:rsid w:val="00E30717"/>
    <w:rsid w:val="00E351B6"/>
    <w:rsid w:val="00E36F31"/>
    <w:rsid w:val="00E4242D"/>
    <w:rsid w:val="00E45A18"/>
    <w:rsid w:val="00E46B6C"/>
    <w:rsid w:val="00E51A5E"/>
    <w:rsid w:val="00E52A20"/>
    <w:rsid w:val="00E531C2"/>
    <w:rsid w:val="00E55CC0"/>
    <w:rsid w:val="00E61B88"/>
    <w:rsid w:val="00E63308"/>
    <w:rsid w:val="00E64C44"/>
    <w:rsid w:val="00E64F06"/>
    <w:rsid w:val="00E65C98"/>
    <w:rsid w:val="00E67E2C"/>
    <w:rsid w:val="00E7127F"/>
    <w:rsid w:val="00E8309A"/>
    <w:rsid w:val="00E92745"/>
    <w:rsid w:val="00E93622"/>
    <w:rsid w:val="00E946A9"/>
    <w:rsid w:val="00E95596"/>
    <w:rsid w:val="00E95B3F"/>
    <w:rsid w:val="00E96E35"/>
    <w:rsid w:val="00EA204C"/>
    <w:rsid w:val="00EA59B2"/>
    <w:rsid w:val="00EA6820"/>
    <w:rsid w:val="00EA6DEC"/>
    <w:rsid w:val="00EB0127"/>
    <w:rsid w:val="00EB5DAB"/>
    <w:rsid w:val="00EB7ABD"/>
    <w:rsid w:val="00EC03E0"/>
    <w:rsid w:val="00EC444A"/>
    <w:rsid w:val="00EC696F"/>
    <w:rsid w:val="00ED0215"/>
    <w:rsid w:val="00ED489A"/>
    <w:rsid w:val="00ED5DC1"/>
    <w:rsid w:val="00ED6168"/>
    <w:rsid w:val="00EE5376"/>
    <w:rsid w:val="00EF509C"/>
    <w:rsid w:val="00F00B20"/>
    <w:rsid w:val="00F053B0"/>
    <w:rsid w:val="00F16999"/>
    <w:rsid w:val="00F2290B"/>
    <w:rsid w:val="00F23BB9"/>
    <w:rsid w:val="00F26BEE"/>
    <w:rsid w:val="00F30A41"/>
    <w:rsid w:val="00F30C1A"/>
    <w:rsid w:val="00F35B17"/>
    <w:rsid w:val="00F370FC"/>
    <w:rsid w:val="00F45A90"/>
    <w:rsid w:val="00F45F7B"/>
    <w:rsid w:val="00F46AD6"/>
    <w:rsid w:val="00F47BF6"/>
    <w:rsid w:val="00F565F4"/>
    <w:rsid w:val="00F6193A"/>
    <w:rsid w:val="00F65285"/>
    <w:rsid w:val="00F678C9"/>
    <w:rsid w:val="00F73D87"/>
    <w:rsid w:val="00F74440"/>
    <w:rsid w:val="00F80D35"/>
    <w:rsid w:val="00F82617"/>
    <w:rsid w:val="00F85368"/>
    <w:rsid w:val="00F905B3"/>
    <w:rsid w:val="00F910B4"/>
    <w:rsid w:val="00F91CC3"/>
    <w:rsid w:val="00F94BD6"/>
    <w:rsid w:val="00F9739A"/>
    <w:rsid w:val="00FA5BFE"/>
    <w:rsid w:val="00FA78D1"/>
    <w:rsid w:val="00FB1F1F"/>
    <w:rsid w:val="00FB282B"/>
    <w:rsid w:val="00FB6D1C"/>
    <w:rsid w:val="00FC1A0F"/>
    <w:rsid w:val="00FC232E"/>
    <w:rsid w:val="00FC2758"/>
    <w:rsid w:val="00FC3DE2"/>
    <w:rsid w:val="00FC5AE5"/>
    <w:rsid w:val="00FC6F9A"/>
    <w:rsid w:val="00FD1778"/>
    <w:rsid w:val="00FD3B4F"/>
    <w:rsid w:val="00FD4E0E"/>
    <w:rsid w:val="00FD7908"/>
    <w:rsid w:val="00FE0F27"/>
    <w:rsid w:val="00FE2B43"/>
    <w:rsid w:val="00FE76AF"/>
    <w:rsid w:val="00FF0A24"/>
    <w:rsid w:val="00FF3909"/>
    <w:rsid w:val="00FF424D"/>
    <w:rsid w:val="00FF5073"/>
    <w:rsid w:val="00FF6DEC"/>
    <w:rsid w:val="01536448"/>
    <w:rsid w:val="016EA5FE"/>
    <w:rsid w:val="01E4B900"/>
    <w:rsid w:val="028515C2"/>
    <w:rsid w:val="02912AB9"/>
    <w:rsid w:val="030FC1C5"/>
    <w:rsid w:val="036B84C3"/>
    <w:rsid w:val="0579E943"/>
    <w:rsid w:val="060202D4"/>
    <w:rsid w:val="06BF0445"/>
    <w:rsid w:val="0DB378AD"/>
    <w:rsid w:val="0E796A76"/>
    <w:rsid w:val="10E8BDB2"/>
    <w:rsid w:val="11D0F5BB"/>
    <w:rsid w:val="134DE871"/>
    <w:rsid w:val="13AE3CCA"/>
    <w:rsid w:val="175D6087"/>
    <w:rsid w:val="18C3173E"/>
    <w:rsid w:val="18C4B840"/>
    <w:rsid w:val="18CE0F0C"/>
    <w:rsid w:val="1BAE292C"/>
    <w:rsid w:val="1C2E7FBE"/>
    <w:rsid w:val="1CF189F4"/>
    <w:rsid w:val="1D68E416"/>
    <w:rsid w:val="1EB1D3B3"/>
    <w:rsid w:val="22E72EE6"/>
    <w:rsid w:val="23BA01EA"/>
    <w:rsid w:val="23D7AE35"/>
    <w:rsid w:val="23FBEB14"/>
    <w:rsid w:val="25CD7708"/>
    <w:rsid w:val="29F5BC93"/>
    <w:rsid w:val="2A4FEB21"/>
    <w:rsid w:val="2AFEF61C"/>
    <w:rsid w:val="2B396F5A"/>
    <w:rsid w:val="2BDA8F59"/>
    <w:rsid w:val="2CC09335"/>
    <w:rsid w:val="2F5DD6F2"/>
    <w:rsid w:val="2F777219"/>
    <w:rsid w:val="2F7D64C8"/>
    <w:rsid w:val="30BE9628"/>
    <w:rsid w:val="30C4EBA0"/>
    <w:rsid w:val="312FBBAD"/>
    <w:rsid w:val="3201C786"/>
    <w:rsid w:val="3249C4C6"/>
    <w:rsid w:val="32D7054D"/>
    <w:rsid w:val="342CE771"/>
    <w:rsid w:val="34CD5C6A"/>
    <w:rsid w:val="38A62786"/>
    <w:rsid w:val="38D05BA0"/>
    <w:rsid w:val="38E0DF26"/>
    <w:rsid w:val="3A853BA5"/>
    <w:rsid w:val="3AA9406D"/>
    <w:rsid w:val="3AEA45E5"/>
    <w:rsid w:val="3C59A384"/>
    <w:rsid w:val="3D45EB64"/>
    <w:rsid w:val="3E73063B"/>
    <w:rsid w:val="3F0E787A"/>
    <w:rsid w:val="412E9EE1"/>
    <w:rsid w:val="4823523E"/>
    <w:rsid w:val="4968B140"/>
    <w:rsid w:val="49F5A065"/>
    <w:rsid w:val="4B268E69"/>
    <w:rsid w:val="4B96AA5B"/>
    <w:rsid w:val="4BE37276"/>
    <w:rsid w:val="4E89CE31"/>
    <w:rsid w:val="4E8DD790"/>
    <w:rsid w:val="50107F94"/>
    <w:rsid w:val="51956E10"/>
    <w:rsid w:val="51AC4FF5"/>
    <w:rsid w:val="524FCD58"/>
    <w:rsid w:val="53482056"/>
    <w:rsid w:val="5921BB8B"/>
    <w:rsid w:val="5A4E2409"/>
    <w:rsid w:val="5A72289C"/>
    <w:rsid w:val="5A878710"/>
    <w:rsid w:val="5AB50A91"/>
    <w:rsid w:val="5B887893"/>
    <w:rsid w:val="5BF40752"/>
    <w:rsid w:val="5CC85CAA"/>
    <w:rsid w:val="5D0C7B50"/>
    <w:rsid w:val="5FFAD787"/>
    <w:rsid w:val="6238914F"/>
    <w:rsid w:val="62D9989C"/>
    <w:rsid w:val="64BDB3C2"/>
    <w:rsid w:val="64D7DEDA"/>
    <w:rsid w:val="66249971"/>
    <w:rsid w:val="6660C27C"/>
    <w:rsid w:val="6714756B"/>
    <w:rsid w:val="683A9E21"/>
    <w:rsid w:val="69D7BECA"/>
    <w:rsid w:val="6A152F1E"/>
    <w:rsid w:val="6FA65AA3"/>
    <w:rsid w:val="7044B4AE"/>
    <w:rsid w:val="72655286"/>
    <w:rsid w:val="74D26EE1"/>
    <w:rsid w:val="750C1B36"/>
    <w:rsid w:val="756C5CF9"/>
    <w:rsid w:val="75A02CAA"/>
    <w:rsid w:val="76A6D10B"/>
    <w:rsid w:val="76AD2EF4"/>
    <w:rsid w:val="76CC5999"/>
    <w:rsid w:val="77E34511"/>
    <w:rsid w:val="7854A774"/>
    <w:rsid w:val="7894A0B6"/>
    <w:rsid w:val="78DB71ED"/>
    <w:rsid w:val="7A13B8EB"/>
    <w:rsid w:val="7AAF3EF4"/>
    <w:rsid w:val="7C07962C"/>
    <w:rsid w:val="7C464135"/>
    <w:rsid w:val="7DFDE19D"/>
    <w:rsid w:val="7E3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0675C"/>
  <w15:docId w15:val="{03169CFB-E5ED-41CB-A3BB-4897915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E3"/>
  </w:style>
  <w:style w:type="paragraph" w:styleId="Heading1">
    <w:name w:val="heading 1"/>
    <w:basedOn w:val="Normal"/>
    <w:next w:val="Normal"/>
    <w:link w:val="Heading1Char"/>
    <w:uiPriority w:val="9"/>
    <w:qFormat/>
    <w:rsid w:val="00773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6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0C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0C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BE3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E2A"/>
  </w:style>
  <w:style w:type="paragraph" w:styleId="Footer">
    <w:name w:val="footer"/>
    <w:basedOn w:val="Normal"/>
    <w:link w:val="FooterChar"/>
    <w:uiPriority w:val="99"/>
    <w:unhideWhenUsed/>
    <w:rsid w:val="008C1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E2A"/>
  </w:style>
  <w:style w:type="character" w:styleId="CommentReference">
    <w:name w:val="annotation reference"/>
    <w:basedOn w:val="DefaultParagraphFont"/>
    <w:uiPriority w:val="99"/>
    <w:semiHidden/>
    <w:unhideWhenUsed/>
    <w:rsid w:val="00E9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2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926BE3"/>
    <w:rPr>
      <w:color w:val="auto"/>
      <w:u w:val="single"/>
    </w:rPr>
  </w:style>
  <w:style w:type="character" w:customStyle="1" w:styleId="apple-style-span">
    <w:name w:val="apple-style-span"/>
    <w:basedOn w:val="DefaultParagraphFont"/>
    <w:rsid w:val="00383125"/>
  </w:style>
  <w:style w:type="table" w:customStyle="1" w:styleId="TableGrid1">
    <w:name w:val="Table Grid1"/>
    <w:basedOn w:val="TableNormal"/>
    <w:next w:val="TableGrid"/>
    <w:uiPriority w:val="59"/>
    <w:rsid w:val="008C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0677"/>
    <w:rPr>
      <w:b/>
      <w:bCs/>
    </w:rPr>
  </w:style>
  <w:style w:type="paragraph" w:customStyle="1" w:styleId="p">
    <w:name w:val="p"/>
    <w:basedOn w:val="Normal"/>
    <w:rsid w:val="00BE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color w:val="393736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43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4">
    <w:name w:val="Grid Table 4"/>
    <w:basedOn w:val="TableNormal"/>
    <w:uiPriority w:val="49"/>
    <w:rsid w:val="004A2C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8C575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C36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51A5E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3620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7734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55CC0"/>
    <w:pPr>
      <w:tabs>
        <w:tab w:val="right" w:leader="dot" w:pos="9016"/>
      </w:tabs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66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19C2"/>
  </w:style>
  <w:style w:type="character" w:customStyle="1" w:styleId="eop">
    <w:name w:val="eop"/>
    <w:basedOn w:val="DefaultParagraphFont"/>
    <w:rsid w:val="007419C2"/>
  </w:style>
  <w:style w:type="character" w:customStyle="1" w:styleId="Heading4Char">
    <w:name w:val="Heading 4 Char"/>
    <w:basedOn w:val="DefaultParagraphFont"/>
    <w:link w:val="Heading4"/>
    <w:uiPriority w:val="9"/>
    <w:rsid w:val="00300C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00CC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5A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3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ed.ac.uk/research-office/research-integrity" TargetMode="External"/><Relationship Id="rId26" Type="http://schemas.openxmlformats.org/officeDocument/2006/relationships/hyperlink" Target="https://forms.office.com/e/Zxu7Gsts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kri.org/councils/epsrc/remit-programmes-and-priorities/our-research-portfolio-and-prior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.ac.uk/edinburgh-innovations/for-staff/commercialisation-routes/business-development-team" TargetMode="External"/><Relationship Id="rId17" Type="http://schemas.openxmlformats.org/officeDocument/2006/relationships/hyperlink" Target="mailto:EPSRCIAA@ei.ed.ac.uk" TargetMode="External"/><Relationship Id="rId25" Type="http://schemas.openxmlformats.org/officeDocument/2006/relationships/hyperlink" Target="https://www.ukri.org/councils/epsrc/guidance-for-applicants/costs-you-can-apply-fo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PSRCIAA@ei.ed.ac.uk" TargetMode="External"/><Relationship Id="rId20" Type="http://schemas.openxmlformats.org/officeDocument/2006/relationships/hyperlink" Target="https://www.ukri.org/councils/epsrc/remit-programmes-and-priorities/our-research-portfolio-and-prioritie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SRCIAA@ei.ed.ac.uk" TargetMode="External"/><Relationship Id="rId24" Type="http://schemas.openxmlformats.org/officeDocument/2006/relationships/hyperlink" Target="https://epsrc.ukri.org/funding/applicationprocess/fundingguide/resources/principlesfec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e/Zxu7GstsSe" TargetMode="External"/><Relationship Id="rId23" Type="http://schemas.openxmlformats.org/officeDocument/2006/relationships/hyperlink" Target="https://www.ukri.org/councils/epsrc/guidance-for-applicants/costs-you-can-apply-for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d.ac.uk/sustainability/topics/travel/sustainable-travel-policy-2021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www.ed.ac.uk/sustainability/topics/travel/sustainable-travel-policy-2021" TargetMode="External"/><Relationship Id="rId27" Type="http://schemas.openxmlformats.org/officeDocument/2006/relationships/hyperlink" Target="mailto:EPSRCIAA@ei.ed.ac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c1fe17-236d-46f5-bef0-20ac650e5d63">
      <UserInfo>
        <DisplayName>EI Engagement</DisplayName>
        <AccountId>1540</AccountId>
        <AccountType/>
      </UserInfo>
      <UserInfo>
        <DisplayName>Ania Gieremek</DisplayName>
        <AccountId>373</AccountId>
        <AccountType/>
      </UserInfo>
      <UserInfo>
        <DisplayName>Ian Hatch</DisplayName>
        <AccountId>249</AccountId>
        <AccountType/>
      </UserInfo>
      <UserInfo>
        <DisplayName>John Jeffrey</DisplayName>
        <AccountId>106</AccountId>
        <AccountType/>
      </UserInfo>
      <UserInfo>
        <DisplayName>Lorraine Kerr</DisplayName>
        <AccountId>129</AccountId>
        <AccountType/>
      </UserInfo>
      <UserInfo>
        <DisplayName>Emma Elliott</DisplayName>
        <AccountId>281</AccountId>
        <AccountType/>
      </UserInfo>
      <UserInfo>
        <DisplayName>Paula Lourenco</DisplayName>
        <AccountId>140</AccountId>
        <AccountType/>
      </UserInfo>
      <UserInfo>
        <DisplayName>Hjalmar Eriksson</DisplayName>
        <AccountId>462</AccountId>
        <AccountType/>
      </UserInfo>
      <UserInfo>
        <DisplayName>Beth Pittaway</DisplayName>
        <AccountId>1757</AccountId>
        <AccountType/>
      </UserInfo>
      <UserInfo>
        <DisplayName>Fiona Spence</DisplayName>
        <AccountId>1836</AccountId>
        <AccountType/>
      </UserInfo>
    </SharedWithUsers>
    <lcf76f155ced4ddcb4097134ff3c332f xmlns="71d8d697-03fe-41fb-bad2-aec8ad1c644d">
      <Terms xmlns="http://schemas.microsoft.com/office/infopath/2007/PartnerControls"/>
    </lcf76f155ced4ddcb4097134ff3c332f>
    <TaxCatchAll xmlns="3f4ce6b2-7e6f-4f89-a826-56f414c4fba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AAEB7BD765E43B82ED424FFC0081D" ma:contentTypeVersion="12" ma:contentTypeDescription="Create a new document." ma:contentTypeScope="" ma:versionID="265d357c9f0174d0135582000fc53a30">
  <xsd:schema xmlns:xsd="http://www.w3.org/2001/XMLSchema" xmlns:xs="http://www.w3.org/2001/XMLSchema" xmlns:p="http://schemas.microsoft.com/office/2006/metadata/properties" xmlns:ns2="71d8d697-03fe-41fb-bad2-aec8ad1c644d" xmlns:ns3="cfc1fe17-236d-46f5-bef0-20ac650e5d63" xmlns:ns4="3f4ce6b2-7e6f-4f89-a826-56f414c4fba6" targetNamespace="http://schemas.microsoft.com/office/2006/metadata/properties" ma:root="true" ma:fieldsID="e47baf4e27e6c9803402510ebb016e40" ns2:_="" ns3:_="" ns4:_="">
    <xsd:import namespace="71d8d697-03fe-41fb-bad2-aec8ad1c644d"/>
    <xsd:import namespace="cfc1fe17-236d-46f5-bef0-20ac650e5d63"/>
    <xsd:import namespace="3f4ce6b2-7e6f-4f89-a826-56f414c4f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8d697-03fe-41fb-bad2-aec8ad1c6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1fe17-236d-46f5-bef0-20ac650e5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ce6b2-7e6f-4f89-a826-56f414c4fba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c56a3d9-2c10-47c4-8284-6c97cbf61a76}" ma:internalName="TaxCatchAll" ma:showField="CatchAllData" ma:web="3f4ce6b2-7e6f-4f89-a826-56f414c4fb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4DED0-252C-4A6A-AC67-8BA50B5D3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51860-BA26-4A9F-AE43-6FFBE0C06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B875A7-3E44-45B9-B224-AB16AAF24F5E}">
  <ds:schemaRefs>
    <ds:schemaRef ds:uri="http://schemas.microsoft.com/office/2006/metadata/properties"/>
    <ds:schemaRef ds:uri="http://schemas.microsoft.com/office/infopath/2007/PartnerControls"/>
    <ds:schemaRef ds:uri="cfc1fe17-236d-46f5-bef0-20ac650e5d63"/>
    <ds:schemaRef ds:uri="71d8d697-03fe-41fb-bad2-aec8ad1c644d"/>
    <ds:schemaRef ds:uri="3f4ce6b2-7e6f-4f89-a826-56f414c4fba6"/>
  </ds:schemaRefs>
</ds:datastoreItem>
</file>

<file path=customXml/itemProps4.xml><?xml version="1.0" encoding="utf-8"?>
<ds:datastoreItem xmlns:ds="http://schemas.openxmlformats.org/officeDocument/2006/customXml" ds:itemID="{6C7A793A-88E1-4271-8642-F72E658CE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8d697-03fe-41fb-bad2-aec8ad1c644d"/>
    <ds:schemaRef ds:uri="cfc1fe17-236d-46f5-bef0-20ac650e5d63"/>
    <ds:schemaRef ds:uri="3f4ce6b2-7e6f-4f89-a826-56f414c4f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3173</Words>
  <Characters>18091</Characters>
  <Application>Microsoft Office Word</Application>
  <DocSecurity>0</DocSecurity>
  <Lines>150</Lines>
  <Paragraphs>42</Paragraphs>
  <ScaleCrop>false</ScaleCrop>
  <Company>RCUK SSC Ltd</Company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Porter, Lynne M.</dc:creator>
  <cp:lastModifiedBy>Hjalmar Eriksson</cp:lastModifiedBy>
  <cp:revision>48</cp:revision>
  <cp:lastPrinted>2017-07-05T09:40:00Z</cp:lastPrinted>
  <dcterms:created xsi:type="dcterms:W3CDTF">2022-08-12T12:01:00Z</dcterms:created>
  <dcterms:modified xsi:type="dcterms:W3CDTF">2023-05-19T09:38:00Z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0x010100787AAEB7BD765E43B82ED424FFC0081D</vt:lpwstr>
  </property>
  <property fmtid="{D5CDD505-2E9C-101B-9397-08002B2CF9AE}" pid="3" name="_dlc_DocIdItemGuid">
    <vt:lpwstr>23ee1683-a826-4b40-a7c8-dbd8df66b429</vt:lpwstr>
  </property>
  <property fmtid="{D5CDD505-2E9C-101B-9397-08002B2CF9AE}" pid="4" name="Order">
    <vt:r8>2720700</vt:r8>
  </property>
  <property fmtid="{D5CDD505-2E9C-101B-9397-08002B2CF9AE}" pid="5" name="xd_Signature">
    <vt:bool>false</vt:bool>
  </property>
  <property fmtid="{D5CDD505-2E9C-101B-9397-08002B2CF9AE}" pid="6" name="SharedWithUsers">
    <vt:lpwstr>15;#ERI Members;#13;#_SPOCacheRead;#2617;#KERR Lorraine;#2906;#MORROW John;#118;#JEFFREY John;#1982;#HATCH Ian;#3742;#GIEREMEK Ania</vt:lpwstr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dlc_DocId">
    <vt:lpwstr>J47MQKMV7YRM-139-27207</vt:lpwstr>
  </property>
  <property fmtid="{D5CDD505-2E9C-101B-9397-08002B2CF9AE}" pid="10" name="TriggerFlowInfo">
    <vt:lpwstr/>
  </property>
  <property fmtid="{D5CDD505-2E9C-101B-9397-08002B2CF9AE}" pid="11" name="_dlc_DocIdUrl">
    <vt:lpwstr>https://uoe.sharepoint.com/sites/eri/marketing/_layouts/15/DocIdRedir.aspx?ID=J47MQKMV7YRM-139-27207, J47MQKMV7YRM-139-27207</vt:lpwstr>
  </property>
  <property fmtid="{D5CDD505-2E9C-101B-9397-08002B2CF9AE}" pid="12" name="Preview">
    <vt:lpwstr>, 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