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11058"/>
      </w:tblGrid>
      <w:tr w:rsidR="00143F31" w14:paraId="4EF91955" w14:textId="77777777" w:rsidTr="000A6EA7">
        <w:trPr>
          <w:trHeight w:val="1531"/>
        </w:trPr>
        <w:tc>
          <w:tcPr>
            <w:tcW w:w="11058" w:type="dxa"/>
            <w:shd w:val="clear" w:color="auto" w:fill="BFBFBF" w:themeFill="background1" w:themeFillShade="BF"/>
          </w:tcPr>
          <w:p w14:paraId="7709D339" w14:textId="0E787790" w:rsidR="00143F31" w:rsidRDefault="00905424">
            <w:r>
              <w:rPr>
                <w:noProof/>
                <w:color w:val="2B579A"/>
                <w:shd w:val="clear" w:color="auto" w:fill="E6E6E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4B06828F" wp14:editId="062654A1">
                      <wp:simplePos x="0" y="0"/>
                      <wp:positionH relativeFrom="column">
                        <wp:posOffset>1013161</wp:posOffset>
                      </wp:positionH>
                      <wp:positionV relativeFrom="paragraph">
                        <wp:posOffset>82910</wp:posOffset>
                      </wp:positionV>
                      <wp:extent cx="4561205" cy="66929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1205" cy="6692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6CC820" w14:textId="77777777" w:rsidR="009D1603" w:rsidRDefault="009D1603" w:rsidP="000222C1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03141E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University of Edinburgh </w:t>
                                  </w:r>
                                </w:p>
                                <w:p w14:paraId="43D9D60D" w14:textId="6F882ADD" w:rsidR="009D1603" w:rsidRPr="0003141E" w:rsidRDefault="00B1125D" w:rsidP="000222C1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Commercial Customer Policy</w:t>
                                  </w:r>
                                  <w:r w:rsidR="009D1603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type id="_x0000_t202" coordsize="21600,21600" o:spt="202" path="m,l,21600r21600,l21600,xe" w14:anchorId="4B06828F">
                      <v:stroke joinstyle="miter"/>
                      <v:path gradientshapeok="t" o:connecttype="rect"/>
                    </v:shapetype>
                    <v:shape id="Text Box 2" style="position:absolute;margin-left:79.8pt;margin-top:6.55pt;width:359.15pt;height:52.7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bfbfbf [2412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">
                      <v:textbox>
                        <w:txbxContent>
                          <w:p w:rsidR="009D1603" w:rsidP="000222C1" w:rsidRDefault="009D1603" w14:paraId="286CC820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3141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University of Edinburgh </w:t>
                            </w:r>
                          </w:p>
                          <w:p w:rsidRPr="0003141E" w:rsidR="009D1603" w:rsidP="000222C1" w:rsidRDefault="00B1125D" w14:paraId="43D9D60D" w14:textId="6F882ADD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Commercial Customer Policy</w:t>
                            </w:r>
                            <w:r w:rsidR="009D160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="Arial"/>
                <w:noProof/>
                <w:color w:val="2B579A"/>
                <w:shd w:val="clear" w:color="auto" w:fill="E6E6E6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35B2A4D3" wp14:editId="16B1D043">
                  <wp:simplePos x="0" y="0"/>
                  <wp:positionH relativeFrom="column">
                    <wp:posOffset>-63795</wp:posOffset>
                  </wp:positionH>
                  <wp:positionV relativeFrom="paragraph">
                    <wp:posOffset>-11741</wp:posOffset>
                  </wp:positionV>
                  <wp:extent cx="986790" cy="986790"/>
                  <wp:effectExtent l="0" t="0" r="3810" b="381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vatar-roundel-corporate-blu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986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43F31" w:rsidRPr="009263D3" w14:paraId="50F7F58C" w14:textId="77777777" w:rsidTr="000A6EA7">
        <w:trPr>
          <w:trHeight w:val="567"/>
        </w:trPr>
        <w:tc>
          <w:tcPr>
            <w:tcW w:w="11058" w:type="dxa"/>
            <w:shd w:val="clear" w:color="auto" w:fill="F2F2F2" w:themeFill="background1" w:themeFillShade="F2"/>
            <w:vAlign w:val="center"/>
          </w:tcPr>
          <w:p w14:paraId="454DB3CF" w14:textId="1BEE6EDE" w:rsidR="00143F31" w:rsidRPr="009263D3" w:rsidRDefault="00143F31" w:rsidP="00143F31">
            <w:pPr>
              <w:rPr>
                <w:rFonts w:cstheme="minorHAnsi"/>
                <w:b/>
                <w:noProof/>
                <w:lang w:eastAsia="en-GB"/>
              </w:rPr>
            </w:pPr>
            <w:r w:rsidRPr="009263D3">
              <w:rPr>
                <w:rFonts w:cstheme="minorHAnsi"/>
                <w:b/>
                <w:noProof/>
                <w:lang w:eastAsia="en-GB"/>
              </w:rPr>
              <w:t>Purpose</w:t>
            </w:r>
          </w:p>
        </w:tc>
      </w:tr>
      <w:tr w:rsidR="00143F31" w:rsidRPr="009263D3" w14:paraId="523C4583" w14:textId="77777777" w:rsidTr="000A6EA7">
        <w:trPr>
          <w:trHeight w:val="567"/>
        </w:trPr>
        <w:tc>
          <w:tcPr>
            <w:tcW w:w="11058" w:type="dxa"/>
          </w:tcPr>
          <w:p w14:paraId="545666EC" w14:textId="77777777" w:rsidR="001251F2" w:rsidRDefault="001251F2" w:rsidP="00F92F66">
            <w:pPr>
              <w:rPr>
                <w:rFonts w:cstheme="minorHAnsi"/>
              </w:rPr>
            </w:pPr>
          </w:p>
          <w:p w14:paraId="69AB4B17" w14:textId="322E0D75" w:rsidR="00606868" w:rsidRDefault="00F92F66" w:rsidP="00F92F66">
            <w:pPr>
              <w:rPr>
                <w:rFonts w:cstheme="minorHAnsi"/>
              </w:rPr>
            </w:pPr>
            <w:r w:rsidRPr="00F92F66">
              <w:rPr>
                <w:rFonts w:cstheme="minorHAnsi"/>
              </w:rPr>
              <w:t>The purpose of th</w:t>
            </w:r>
            <w:r>
              <w:rPr>
                <w:rFonts w:cstheme="minorHAnsi"/>
              </w:rPr>
              <w:t>e</w:t>
            </w:r>
            <w:r w:rsidRPr="00F92F66">
              <w:rPr>
                <w:rFonts w:cstheme="minorHAnsi"/>
              </w:rPr>
              <w:t xml:space="preserve"> policy is to describe how the University of Edinburgh will </w:t>
            </w:r>
            <w:r w:rsidR="001251F2">
              <w:rPr>
                <w:rFonts w:cstheme="minorHAnsi"/>
              </w:rPr>
              <w:t>manage the financial administration of its commercial activity and how it engage</w:t>
            </w:r>
            <w:r w:rsidR="007C0FC8">
              <w:rPr>
                <w:rFonts w:cstheme="minorHAnsi"/>
              </w:rPr>
              <w:t>s</w:t>
            </w:r>
            <w:r w:rsidR="001251F2">
              <w:rPr>
                <w:rFonts w:cstheme="minorHAnsi"/>
              </w:rPr>
              <w:t xml:space="preserve"> with its </w:t>
            </w:r>
            <w:r w:rsidR="00F4417F">
              <w:rPr>
                <w:rFonts w:cstheme="minorHAnsi"/>
              </w:rPr>
              <w:t xml:space="preserve">corporate </w:t>
            </w:r>
            <w:r w:rsidR="001251F2">
              <w:rPr>
                <w:rFonts w:cstheme="minorHAnsi"/>
              </w:rPr>
              <w:t>commercial customers</w:t>
            </w:r>
            <w:r w:rsidRPr="00F92F66">
              <w:rPr>
                <w:rFonts w:cstheme="minorHAnsi"/>
              </w:rPr>
              <w:t xml:space="preserve">. </w:t>
            </w:r>
          </w:p>
          <w:p w14:paraId="4E7EAB88" w14:textId="77777777" w:rsidR="0095762F" w:rsidRDefault="0095762F" w:rsidP="001251F2">
            <w:pPr>
              <w:spacing w:after="120"/>
            </w:pPr>
          </w:p>
          <w:p w14:paraId="6E306915" w14:textId="32C1C3BB" w:rsidR="00D00156" w:rsidRPr="00A65A2E" w:rsidRDefault="00D00156" w:rsidP="001251F2">
            <w:pPr>
              <w:spacing w:after="120"/>
            </w:pPr>
            <w:r w:rsidRPr="009159AF">
              <w:t>This Policy should be read in conjunction with other University</w:t>
            </w:r>
            <w:r w:rsidR="001251F2" w:rsidRPr="009159AF">
              <w:t xml:space="preserve"> regulations and</w:t>
            </w:r>
            <w:r w:rsidRPr="009159AF">
              <w:t xml:space="preserve"> policies including the </w:t>
            </w:r>
            <w:hyperlink r:id="rId12">
              <w:r w:rsidRPr="009159AF">
                <w:rPr>
                  <w:rStyle w:val="Hyperlink"/>
                </w:rPr>
                <w:t>Conflict of Interest</w:t>
              </w:r>
            </w:hyperlink>
            <w:r w:rsidRPr="009159AF">
              <w:t xml:space="preserve">, </w:t>
            </w:r>
            <w:hyperlink r:id="rId13">
              <w:r w:rsidRPr="009159AF">
                <w:rPr>
                  <w:rStyle w:val="Hyperlink"/>
                </w:rPr>
                <w:t>Anti-Bribery &amp; Corruption Policy</w:t>
              </w:r>
            </w:hyperlink>
            <w:r w:rsidR="003E59B8" w:rsidRPr="009159AF">
              <w:t xml:space="preserve"> and </w:t>
            </w:r>
            <w:r w:rsidRPr="009159AF">
              <w:t xml:space="preserve"> </w:t>
            </w:r>
            <w:hyperlink r:id="rId14">
              <w:r w:rsidRPr="009159AF">
                <w:rPr>
                  <w:rStyle w:val="Hyperlink"/>
                </w:rPr>
                <w:t>Fraud Policy</w:t>
              </w:r>
            </w:hyperlink>
            <w:r w:rsidR="003E59B8" w:rsidRPr="009159AF">
              <w:t>.</w:t>
            </w:r>
          </w:p>
        </w:tc>
      </w:tr>
      <w:tr w:rsidR="00897090" w:rsidRPr="009263D3" w14:paraId="274A8087" w14:textId="77777777" w:rsidTr="000A6EA7">
        <w:trPr>
          <w:trHeight w:val="567"/>
        </w:trPr>
        <w:tc>
          <w:tcPr>
            <w:tcW w:w="11058" w:type="dxa"/>
            <w:shd w:val="clear" w:color="auto" w:fill="F2F2F2" w:themeFill="background1" w:themeFillShade="F2"/>
            <w:vAlign w:val="center"/>
          </w:tcPr>
          <w:p w14:paraId="23D7C26C" w14:textId="3DBFE49A" w:rsidR="00897090" w:rsidRDefault="00897090" w:rsidP="00143F31">
            <w:pPr>
              <w:rPr>
                <w:rFonts w:cstheme="minorHAnsi"/>
                <w:b/>
                <w:noProof/>
                <w:lang w:eastAsia="en-GB"/>
              </w:rPr>
            </w:pPr>
            <w:r w:rsidRPr="009263D3">
              <w:rPr>
                <w:rFonts w:cstheme="minorHAnsi"/>
                <w:b/>
                <w:noProof/>
                <w:lang w:eastAsia="en-GB"/>
              </w:rPr>
              <w:t>Scope</w:t>
            </w:r>
          </w:p>
        </w:tc>
      </w:tr>
      <w:tr w:rsidR="00897090" w:rsidRPr="009263D3" w14:paraId="7005EB21" w14:textId="77777777" w:rsidTr="000A6EA7">
        <w:trPr>
          <w:trHeight w:val="567"/>
        </w:trPr>
        <w:tc>
          <w:tcPr>
            <w:tcW w:w="11058" w:type="dxa"/>
            <w:shd w:val="clear" w:color="auto" w:fill="auto"/>
            <w:vAlign w:val="center"/>
          </w:tcPr>
          <w:p w14:paraId="00EB37DF" w14:textId="2BC71965" w:rsidR="00F92F66" w:rsidRDefault="001251F2" w:rsidP="00F92F66">
            <w:pPr>
              <w:rPr>
                <w:rFonts w:cstheme="minorHAnsi"/>
              </w:rPr>
            </w:pPr>
            <w:r w:rsidRPr="0081634D">
              <w:rPr>
                <w:rStyle w:val="Style1Char"/>
                <w:rFonts w:cstheme="minorHAnsi"/>
              </w:rPr>
              <w:t xml:space="preserve">The University offers a range of commercial goods and services to individuals and organisations. </w:t>
            </w:r>
            <w:r>
              <w:t xml:space="preserve">This policy applies to all commercial services offered by the University and its subsidiaries, where the value of the transaction is over £50 (exclusive of VAT treatment). </w:t>
            </w:r>
          </w:p>
          <w:p w14:paraId="1D177267" w14:textId="3DE757AA" w:rsidR="00F92F66" w:rsidRDefault="00F92F66" w:rsidP="00F92F66">
            <w:pPr>
              <w:rPr>
                <w:rFonts w:cstheme="minorHAnsi"/>
              </w:rPr>
            </w:pPr>
          </w:p>
          <w:p w14:paraId="306C9ECA" w14:textId="10261402" w:rsidR="00F92F66" w:rsidRDefault="00897090" w:rsidP="00F92F66">
            <w:pPr>
              <w:rPr>
                <w:rFonts w:cstheme="minorHAnsi"/>
              </w:rPr>
            </w:pPr>
            <w:r w:rsidRPr="005F0B18">
              <w:rPr>
                <w:rFonts w:cstheme="minorHAnsi"/>
              </w:rPr>
              <w:t>For the avoidance of doubt</w:t>
            </w:r>
            <w:r w:rsidR="007C0FC8">
              <w:rPr>
                <w:rFonts w:cstheme="minorHAnsi"/>
              </w:rPr>
              <w:t>,</w:t>
            </w:r>
            <w:r w:rsidRPr="005F0B18">
              <w:rPr>
                <w:rFonts w:cstheme="minorHAnsi"/>
              </w:rPr>
              <w:t xml:space="preserve"> this policy supersedes any other University, College/Support Group or School/ Planning Unit guidance on </w:t>
            </w:r>
            <w:r w:rsidR="001251F2">
              <w:rPr>
                <w:rFonts w:cstheme="minorHAnsi"/>
              </w:rPr>
              <w:t>commercial activity.</w:t>
            </w:r>
          </w:p>
          <w:p w14:paraId="68390F1E" w14:textId="6DECCC75" w:rsidR="00897090" w:rsidRDefault="00897090" w:rsidP="00F92F66">
            <w:pPr>
              <w:rPr>
                <w:rFonts w:cstheme="minorHAnsi"/>
                <w:b/>
                <w:noProof/>
                <w:lang w:eastAsia="en-GB"/>
              </w:rPr>
            </w:pPr>
            <w:r w:rsidRPr="005F0B18">
              <w:rPr>
                <w:rFonts w:cstheme="minorHAnsi"/>
              </w:rPr>
              <w:t xml:space="preserve"> </w:t>
            </w:r>
          </w:p>
        </w:tc>
      </w:tr>
      <w:tr w:rsidR="00897090" w:rsidRPr="009263D3" w14:paraId="661C9B9D" w14:textId="77777777" w:rsidTr="000A6EA7">
        <w:trPr>
          <w:trHeight w:val="567"/>
        </w:trPr>
        <w:tc>
          <w:tcPr>
            <w:tcW w:w="11058" w:type="dxa"/>
            <w:shd w:val="clear" w:color="auto" w:fill="F2F2F2" w:themeFill="background1" w:themeFillShade="F2"/>
            <w:vAlign w:val="center"/>
          </w:tcPr>
          <w:p w14:paraId="2C236D15" w14:textId="16EAB351" w:rsidR="00897090" w:rsidRDefault="00897090" w:rsidP="00897090">
            <w:pPr>
              <w:rPr>
                <w:rFonts w:cstheme="minorHAnsi"/>
                <w:b/>
                <w:noProof/>
                <w:lang w:eastAsia="en-GB"/>
              </w:rPr>
            </w:pPr>
            <w:r w:rsidRPr="00493533">
              <w:rPr>
                <w:rFonts w:cstheme="minorHAnsi"/>
                <w:b/>
              </w:rPr>
              <w:t>Exclusions</w:t>
            </w:r>
          </w:p>
        </w:tc>
      </w:tr>
      <w:tr w:rsidR="00897090" w:rsidRPr="009263D3" w14:paraId="7B63E444" w14:textId="77777777" w:rsidTr="000A6EA7">
        <w:trPr>
          <w:trHeight w:val="567"/>
        </w:trPr>
        <w:tc>
          <w:tcPr>
            <w:tcW w:w="11058" w:type="dxa"/>
            <w:shd w:val="clear" w:color="auto" w:fill="auto"/>
            <w:vAlign w:val="center"/>
          </w:tcPr>
          <w:p w14:paraId="5F828B1F" w14:textId="12355F0D" w:rsidR="00A36483" w:rsidRDefault="0031246B" w:rsidP="00EE48EE">
            <w:r>
              <w:rPr>
                <w:rFonts w:cstheme="minorHAnsi"/>
                <w:noProof/>
                <w:lang w:eastAsia="en-GB"/>
              </w:rPr>
              <w:t xml:space="preserve">The policy </w:t>
            </w:r>
            <w:r>
              <w:t xml:space="preserve">does not apply to tuition fees, student accommodation or research services </w:t>
            </w:r>
            <w:r w:rsidR="007C0FC8">
              <w:t>that</w:t>
            </w:r>
            <w:r>
              <w:t xml:space="preserve"> have their</w:t>
            </w:r>
            <w:r w:rsidR="00EE48EE">
              <w:t xml:space="preserve"> own due diligence processes.</w:t>
            </w:r>
          </w:p>
          <w:p w14:paraId="5D114A7F" w14:textId="6D11B153" w:rsidR="00482967" w:rsidRPr="00482967" w:rsidRDefault="00482967" w:rsidP="00EE48EE">
            <w:pPr>
              <w:rPr>
                <w:rFonts w:cstheme="minorHAnsi"/>
              </w:rPr>
            </w:pPr>
          </w:p>
        </w:tc>
      </w:tr>
      <w:tr w:rsidR="00897090" w:rsidRPr="009263D3" w14:paraId="52CE30E0" w14:textId="77777777" w:rsidTr="000A6EA7">
        <w:trPr>
          <w:trHeight w:val="567"/>
        </w:trPr>
        <w:tc>
          <w:tcPr>
            <w:tcW w:w="11058" w:type="dxa"/>
            <w:shd w:val="clear" w:color="auto" w:fill="F2F2F2" w:themeFill="background1" w:themeFillShade="F2"/>
            <w:vAlign w:val="center"/>
          </w:tcPr>
          <w:p w14:paraId="6D43883B" w14:textId="15DDA11E" w:rsidR="00897090" w:rsidRPr="009263D3" w:rsidRDefault="00897090" w:rsidP="00897090">
            <w:pPr>
              <w:rPr>
                <w:rFonts w:cstheme="minorHAnsi"/>
                <w:b/>
                <w:noProof/>
                <w:lang w:eastAsia="en-GB"/>
              </w:rPr>
            </w:pPr>
            <w:r w:rsidRPr="009263D3">
              <w:rPr>
                <w:rFonts w:cstheme="minorHAnsi"/>
                <w:b/>
                <w:noProof/>
                <w:lang w:eastAsia="en-GB"/>
              </w:rPr>
              <w:t>Principles</w:t>
            </w:r>
          </w:p>
        </w:tc>
      </w:tr>
      <w:tr w:rsidR="00897090" w:rsidRPr="009263D3" w14:paraId="10B93A1C" w14:textId="77777777" w:rsidTr="000A6EA7">
        <w:trPr>
          <w:trHeight w:val="3263"/>
        </w:trPr>
        <w:tc>
          <w:tcPr>
            <w:tcW w:w="11058" w:type="dxa"/>
          </w:tcPr>
          <w:p w14:paraId="5D98C553" w14:textId="77777777" w:rsidR="009159AF" w:rsidRDefault="009159AF" w:rsidP="009159AF"/>
          <w:p w14:paraId="541E1212" w14:textId="0D18AFD4" w:rsidR="008F086F" w:rsidRPr="009159AF" w:rsidRDefault="00F4417F" w:rsidP="009159AF">
            <w:pPr>
              <w:rPr>
                <w:rFonts w:cstheme="minorHAnsi"/>
              </w:rPr>
            </w:pPr>
            <w:r w:rsidRPr="009159AF">
              <w:rPr>
                <w:rFonts w:cstheme="minorHAnsi"/>
              </w:rPr>
              <w:t xml:space="preserve">Before engaging in any trading, </w:t>
            </w:r>
            <w:r w:rsidR="008F086F" w:rsidRPr="009159AF">
              <w:rPr>
                <w:rFonts w:cstheme="minorHAnsi"/>
              </w:rPr>
              <w:t>Departments must assess</w:t>
            </w:r>
            <w:r w:rsidRPr="009159AF">
              <w:rPr>
                <w:rFonts w:cstheme="minorHAnsi"/>
              </w:rPr>
              <w:t xml:space="preserve"> if it satisfies a primary purpose</w:t>
            </w:r>
            <w:r w:rsidR="00F75700">
              <w:rPr>
                <w:rFonts w:cstheme="minorHAnsi"/>
              </w:rPr>
              <w:t>, is ancillary or non</w:t>
            </w:r>
            <w:r w:rsidR="007C0FC8">
              <w:rPr>
                <w:rFonts w:cstheme="minorHAnsi"/>
              </w:rPr>
              <w:t>-</w:t>
            </w:r>
            <w:r w:rsidR="00F75700">
              <w:rPr>
                <w:rFonts w:cstheme="minorHAnsi"/>
              </w:rPr>
              <w:t>primary purpose</w:t>
            </w:r>
            <w:r w:rsidRPr="009159AF">
              <w:rPr>
                <w:rFonts w:cstheme="minorHAnsi"/>
              </w:rPr>
              <w:t>.</w:t>
            </w:r>
            <w:r w:rsidR="008F086F" w:rsidRPr="009159AF">
              <w:rPr>
                <w:rFonts w:cstheme="minorHAnsi"/>
              </w:rPr>
              <w:t xml:space="preserve"> </w:t>
            </w:r>
            <w:r w:rsidRPr="009159AF">
              <w:rPr>
                <w:rFonts w:cstheme="minorHAnsi"/>
              </w:rPr>
              <w:t xml:space="preserve">Non-primary purpose trading can impact the charitable status of </w:t>
            </w:r>
            <w:r w:rsidR="007C0FC8">
              <w:rPr>
                <w:rFonts w:cstheme="minorHAnsi"/>
              </w:rPr>
              <w:t xml:space="preserve">the </w:t>
            </w:r>
            <w:r w:rsidRPr="009159AF">
              <w:rPr>
                <w:rFonts w:cstheme="minorHAnsi"/>
              </w:rPr>
              <w:t>University and may influence corporation tax liability</w:t>
            </w:r>
            <w:r w:rsidR="008F086F" w:rsidRPr="009159AF">
              <w:rPr>
                <w:rFonts w:cstheme="minorHAnsi"/>
              </w:rPr>
              <w:t xml:space="preserve"> so needs to be considered carefully in advance. </w:t>
            </w:r>
            <w:r w:rsidR="00F75700">
              <w:rPr>
                <w:rStyle w:val="FootnoteReference"/>
                <w:rFonts w:cstheme="minorHAnsi"/>
              </w:rPr>
              <w:footnoteReference w:id="2"/>
            </w:r>
          </w:p>
          <w:p w14:paraId="575EA137" w14:textId="77777777" w:rsidR="009159AF" w:rsidRDefault="009159AF" w:rsidP="009159AF">
            <w:pPr>
              <w:rPr>
                <w:rFonts w:cstheme="minorHAnsi"/>
              </w:rPr>
            </w:pPr>
          </w:p>
          <w:p w14:paraId="70F9E32A" w14:textId="6699B862" w:rsidR="009159AF" w:rsidRDefault="00F4417F" w:rsidP="009159AF">
            <w:pPr>
              <w:rPr>
                <w:rFonts w:cstheme="minorHAnsi"/>
              </w:rPr>
            </w:pPr>
            <w:r w:rsidRPr="009159AF">
              <w:rPr>
                <w:rFonts w:cstheme="minorHAnsi"/>
              </w:rPr>
              <w:t>The price of goods and/or services should generate a desirable level of income in order to cover the full cost and produce a surplus.</w:t>
            </w:r>
          </w:p>
          <w:p w14:paraId="43C1D12A" w14:textId="77777777" w:rsidR="009159AF" w:rsidRDefault="009159AF" w:rsidP="009159AF">
            <w:pPr>
              <w:rPr>
                <w:rFonts w:cstheme="minorHAnsi"/>
              </w:rPr>
            </w:pPr>
          </w:p>
          <w:p w14:paraId="7D592ADE" w14:textId="257DE007" w:rsidR="009159AF" w:rsidRDefault="00F4417F" w:rsidP="009159AF">
            <w:r w:rsidRPr="009159AF">
              <w:rPr>
                <w:rFonts w:cstheme="minorHAnsi"/>
              </w:rPr>
              <w:t xml:space="preserve">The University will take action to recover unpaid </w:t>
            </w:r>
            <w:proofErr w:type="gramStart"/>
            <w:r w:rsidRPr="009159AF">
              <w:rPr>
                <w:rFonts w:cstheme="minorHAnsi"/>
              </w:rPr>
              <w:t>debts, and</w:t>
            </w:r>
            <w:proofErr w:type="gramEnd"/>
            <w:r w:rsidRPr="009159AF">
              <w:rPr>
                <w:rFonts w:cstheme="minorHAnsi"/>
              </w:rPr>
              <w:t xml:space="preserve"> will charge interest on late payments.</w:t>
            </w:r>
            <w:r w:rsidR="0031246B" w:rsidRPr="009159AF">
              <w:rPr>
                <w:rFonts w:cstheme="minorHAnsi"/>
              </w:rPr>
              <w:t xml:space="preserve"> </w:t>
            </w:r>
            <w:r w:rsidR="0031246B">
              <w:t xml:space="preserve">Interest will be charged on late payments in accordance </w:t>
            </w:r>
            <w:r w:rsidR="007C0FC8">
              <w:t>with</w:t>
            </w:r>
            <w:r w:rsidR="0031246B">
              <w:t xml:space="preserve"> The Late Payment of Commercial Debts (Interest) Act 1998.</w:t>
            </w:r>
          </w:p>
          <w:p w14:paraId="6C28471D" w14:textId="77777777" w:rsidR="009159AF" w:rsidRDefault="009159AF" w:rsidP="009159AF"/>
          <w:p w14:paraId="735AD887" w14:textId="794AFFC4" w:rsidR="009159AF" w:rsidRDefault="009159AF" w:rsidP="009159AF">
            <w:pPr>
              <w:rPr>
                <w:rFonts w:cstheme="minorHAnsi"/>
              </w:rPr>
            </w:pPr>
            <w:r w:rsidRPr="0081634D">
              <w:rPr>
                <w:rFonts w:cstheme="minorHAnsi"/>
              </w:rPr>
              <w:t>All invoices must be raised in the People and Money system or in a specialist system approved by the Director of Finance (</w:t>
            </w:r>
            <w:proofErr w:type="gramStart"/>
            <w:r w:rsidRPr="0081634D">
              <w:rPr>
                <w:rFonts w:cstheme="minorHAnsi"/>
              </w:rPr>
              <w:t>e.g.</w:t>
            </w:r>
            <w:proofErr w:type="gramEnd"/>
            <w:r w:rsidRPr="0081634D">
              <w:rPr>
                <w:rFonts w:cstheme="minorHAnsi"/>
              </w:rPr>
              <w:t xml:space="preserve"> </w:t>
            </w:r>
            <w:proofErr w:type="spellStart"/>
            <w:r w:rsidRPr="0081634D">
              <w:rPr>
                <w:rFonts w:cstheme="minorHAnsi"/>
              </w:rPr>
              <w:t>ProVet</w:t>
            </w:r>
            <w:proofErr w:type="spellEnd"/>
            <w:r w:rsidRPr="0081634D">
              <w:rPr>
                <w:rFonts w:cstheme="minorHAnsi"/>
              </w:rPr>
              <w:t xml:space="preserve"> for veterinary practice invoices). </w:t>
            </w:r>
          </w:p>
          <w:p w14:paraId="18BE9C71" w14:textId="4B49C131" w:rsidR="000A6EA7" w:rsidRDefault="000A6EA7" w:rsidP="009159AF">
            <w:pPr>
              <w:rPr>
                <w:rFonts w:cstheme="minorHAnsi"/>
              </w:rPr>
            </w:pPr>
          </w:p>
          <w:p w14:paraId="7FA26E52" w14:textId="77777777" w:rsidR="000A6EA7" w:rsidRDefault="000A6EA7" w:rsidP="000A6EA7">
            <w:r>
              <w:t>The University will only raise sales invoices for amounts below £50 in exceptional circumstances (</w:t>
            </w:r>
            <w:proofErr w:type="spellStart"/>
            <w:r>
              <w:t>eg.</w:t>
            </w:r>
            <w:proofErr w:type="spellEnd"/>
            <w:r>
              <w:t xml:space="preserve"> A recurring bill for service). </w:t>
            </w:r>
          </w:p>
          <w:p w14:paraId="5ACCE89C" w14:textId="7EA79F97" w:rsidR="000A6EA7" w:rsidRPr="0081634D" w:rsidRDefault="000A6EA7" w:rsidP="000A6EA7">
            <w:r>
              <w:t>Online payments should be offered as an alternative to invoices where possible.</w:t>
            </w:r>
          </w:p>
          <w:p w14:paraId="67854439" w14:textId="77777777" w:rsidR="000A6EA7" w:rsidRPr="0081634D" w:rsidRDefault="000A6EA7" w:rsidP="009159AF">
            <w:pPr>
              <w:rPr>
                <w:rFonts w:cstheme="minorHAnsi"/>
              </w:rPr>
            </w:pPr>
          </w:p>
          <w:p w14:paraId="2B12F121" w14:textId="15AB6AAE" w:rsidR="00897090" w:rsidRPr="009159AF" w:rsidRDefault="00897090" w:rsidP="009159AF">
            <w:pPr>
              <w:rPr>
                <w:rFonts w:cstheme="minorHAnsi"/>
              </w:rPr>
            </w:pPr>
          </w:p>
        </w:tc>
      </w:tr>
      <w:tr w:rsidR="0095762F" w:rsidRPr="001F4423" w14:paraId="26998D2B" w14:textId="77777777" w:rsidTr="00D90D0D">
        <w:trPr>
          <w:trHeight w:val="567"/>
        </w:trPr>
        <w:tc>
          <w:tcPr>
            <w:tcW w:w="11058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17452CE" w14:textId="4620D4F9" w:rsidR="0095762F" w:rsidRPr="001F4423" w:rsidRDefault="0095762F" w:rsidP="00D90D0D">
            <w:pPr>
              <w:rPr>
                <w:rFonts w:cstheme="minorHAnsi"/>
                <w:b/>
                <w:lang w:eastAsia="en-GB"/>
              </w:rPr>
            </w:pPr>
            <w:r>
              <w:rPr>
                <w:rFonts w:cstheme="minorHAnsi"/>
                <w:b/>
                <w:lang w:eastAsia="en-GB"/>
              </w:rPr>
              <w:lastRenderedPageBreak/>
              <w:t>Roles and Responsibilities</w:t>
            </w:r>
          </w:p>
        </w:tc>
      </w:tr>
      <w:tr w:rsidR="000A6EA7" w:rsidRPr="009263D3" w14:paraId="37A74BB7" w14:textId="77777777" w:rsidTr="000A6EA7">
        <w:trPr>
          <w:trHeight w:val="2164"/>
        </w:trPr>
        <w:tc>
          <w:tcPr>
            <w:tcW w:w="11058" w:type="dxa"/>
          </w:tcPr>
          <w:p w14:paraId="29BC08FA" w14:textId="25C7FA27" w:rsidR="000A6EA7" w:rsidRDefault="000A6EA7" w:rsidP="000A6EA7">
            <w:pPr>
              <w:rPr>
                <w:rFonts w:cstheme="minorHAnsi"/>
              </w:rPr>
            </w:pPr>
          </w:p>
          <w:p w14:paraId="2DB11991" w14:textId="77777777" w:rsidR="000A6EA7" w:rsidRPr="009159AF" w:rsidRDefault="000A6EA7" w:rsidP="000A6EA7">
            <w:pPr>
              <w:rPr>
                <w:rFonts w:cstheme="minorHAnsi"/>
              </w:rPr>
            </w:pPr>
            <w:r w:rsidRPr="009159AF">
              <w:rPr>
                <w:rFonts w:cstheme="minorHAnsi"/>
              </w:rPr>
              <w:t xml:space="preserve">Departments supplying commercial goods and services are responsible for agreeing contractual terms with their customer and initiating a sales transaction. </w:t>
            </w:r>
          </w:p>
          <w:p w14:paraId="47BDB50D" w14:textId="77777777" w:rsidR="000A6EA7" w:rsidRDefault="000A6EA7" w:rsidP="009159AF"/>
          <w:p w14:paraId="1D609155" w14:textId="77777777" w:rsidR="000A6EA7" w:rsidRPr="009159AF" w:rsidRDefault="000A6EA7" w:rsidP="000A6EA7">
            <w:pPr>
              <w:rPr>
                <w:rFonts w:cstheme="minorHAnsi"/>
              </w:rPr>
            </w:pPr>
            <w:r w:rsidRPr="009159AF">
              <w:rPr>
                <w:rFonts w:cstheme="minorHAnsi"/>
              </w:rPr>
              <w:t xml:space="preserve">The Finance Operations Team is responsible for the University's customer record creation and maintenance, due diligence, sales invoicing, debt management and credit arrangements. </w:t>
            </w:r>
          </w:p>
          <w:p w14:paraId="68B9B6D1" w14:textId="78FE1D79" w:rsidR="000A6EA7" w:rsidRDefault="000A6EA7" w:rsidP="009159AF"/>
        </w:tc>
      </w:tr>
      <w:tr w:rsidR="00A50652" w:rsidRPr="009263D3" w14:paraId="6E6ADCDE" w14:textId="77777777" w:rsidTr="000A6EA7">
        <w:trPr>
          <w:trHeight w:val="567"/>
        </w:trPr>
        <w:tc>
          <w:tcPr>
            <w:tcW w:w="11058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B203A57" w14:textId="5F899D06" w:rsidR="00A50652" w:rsidRPr="001F4423" w:rsidRDefault="00F4417F" w:rsidP="00E71A09">
            <w:pPr>
              <w:rPr>
                <w:rFonts w:cstheme="minorHAnsi"/>
                <w:b/>
                <w:lang w:eastAsia="en-GB"/>
              </w:rPr>
            </w:pPr>
            <w:r>
              <w:rPr>
                <w:rFonts w:cstheme="minorHAnsi"/>
                <w:b/>
                <w:lang w:eastAsia="en-GB"/>
              </w:rPr>
              <w:t>Customer Acceptance</w:t>
            </w:r>
            <w:r w:rsidR="00E71A09">
              <w:rPr>
                <w:rFonts w:cstheme="minorHAnsi"/>
                <w:b/>
                <w:lang w:eastAsia="en-GB"/>
              </w:rPr>
              <w:t xml:space="preserve"> </w:t>
            </w:r>
          </w:p>
        </w:tc>
      </w:tr>
      <w:tr w:rsidR="00A50652" w:rsidRPr="009263D3" w14:paraId="57C96BD9" w14:textId="77777777" w:rsidTr="000A6EA7">
        <w:trPr>
          <w:trHeight w:val="567"/>
        </w:trPr>
        <w:tc>
          <w:tcPr>
            <w:tcW w:w="11058" w:type="dxa"/>
            <w:shd w:val="clear" w:color="auto" w:fill="auto"/>
            <w:vAlign w:val="center"/>
          </w:tcPr>
          <w:p w14:paraId="40AC8A06" w14:textId="77777777" w:rsidR="00EE48EE" w:rsidRDefault="00EE48EE" w:rsidP="00F4417F">
            <w:pPr>
              <w:spacing w:line="256" w:lineRule="auto"/>
              <w:contextualSpacing/>
              <w:jc w:val="both"/>
            </w:pPr>
          </w:p>
          <w:p w14:paraId="738EE530" w14:textId="2F9D4D55" w:rsidR="00F4417F" w:rsidRDefault="00F4417F" w:rsidP="00F4417F">
            <w:pPr>
              <w:spacing w:line="256" w:lineRule="auto"/>
              <w:contextualSpacing/>
              <w:jc w:val="both"/>
            </w:pPr>
            <w:r>
              <w:t xml:space="preserve">Staff must not confirm orders or contracts for customers until due diligence has been carried out. </w:t>
            </w:r>
          </w:p>
          <w:p w14:paraId="2AE4A116" w14:textId="204FAFA1" w:rsidR="00F4417F" w:rsidRDefault="00F4417F" w:rsidP="00F4417F">
            <w:pPr>
              <w:spacing w:line="256" w:lineRule="auto"/>
              <w:contextualSpacing/>
              <w:jc w:val="both"/>
            </w:pPr>
            <w:r>
              <w:t>Finance Operations will carry out due diligence/Kn</w:t>
            </w:r>
            <w:r w:rsidR="0031246B">
              <w:t xml:space="preserve">ow Your Customer checks on new </w:t>
            </w:r>
            <w:r>
              <w:t xml:space="preserve">or existing corporate customers where there has been a notified change of circumstances such as </w:t>
            </w:r>
            <w:r w:rsidR="007C0FC8">
              <w:t xml:space="preserve">a </w:t>
            </w:r>
            <w:r>
              <w:t xml:space="preserve">change of name or address. </w:t>
            </w:r>
          </w:p>
          <w:p w14:paraId="3C6708CD" w14:textId="2E69C62E" w:rsidR="00A50652" w:rsidRPr="00F4417F" w:rsidRDefault="00F4417F" w:rsidP="00F4417F">
            <w:pPr>
              <w:spacing w:line="256" w:lineRule="auto"/>
              <w:contextualSpacing/>
              <w:jc w:val="both"/>
            </w:pPr>
            <w:r>
              <w:t>The University will use a credit checking service to obtain credit scores for organisations seeking to become customers as a due diligence step.</w:t>
            </w:r>
          </w:p>
        </w:tc>
      </w:tr>
      <w:tr w:rsidR="00143F31" w:rsidRPr="009263D3" w14:paraId="299D6946" w14:textId="77777777" w:rsidTr="000A6EA7">
        <w:trPr>
          <w:trHeight w:val="567"/>
        </w:trPr>
        <w:tc>
          <w:tcPr>
            <w:tcW w:w="11058" w:type="dxa"/>
            <w:shd w:val="clear" w:color="auto" w:fill="F2F2F2" w:themeFill="background1" w:themeFillShade="F2"/>
            <w:vAlign w:val="center"/>
          </w:tcPr>
          <w:p w14:paraId="1B731947" w14:textId="6C464DE8" w:rsidR="00143F31" w:rsidRPr="009263D3" w:rsidRDefault="00F4417F" w:rsidP="00E71A09">
            <w:pPr>
              <w:rPr>
                <w:rFonts w:cstheme="minorHAnsi"/>
                <w:b/>
                <w:noProof/>
                <w:lang w:eastAsia="en-GB"/>
              </w:rPr>
            </w:pPr>
            <w:r>
              <w:rPr>
                <w:rFonts w:cstheme="minorHAnsi"/>
                <w:b/>
                <w:noProof/>
                <w:lang w:eastAsia="en-GB"/>
              </w:rPr>
              <w:t>Credit</w:t>
            </w:r>
            <w:r w:rsidR="00E71A09">
              <w:rPr>
                <w:rFonts w:cstheme="minorHAnsi"/>
                <w:b/>
                <w:noProof/>
                <w:lang w:eastAsia="en-GB"/>
              </w:rPr>
              <w:t xml:space="preserve"> </w:t>
            </w:r>
          </w:p>
        </w:tc>
      </w:tr>
      <w:tr w:rsidR="00D42C42" w:rsidRPr="009263D3" w14:paraId="484FD8D6" w14:textId="77777777" w:rsidTr="000A6EA7">
        <w:trPr>
          <w:trHeight w:val="567"/>
        </w:trPr>
        <w:tc>
          <w:tcPr>
            <w:tcW w:w="11058" w:type="dxa"/>
            <w:shd w:val="clear" w:color="auto" w:fill="FFFFFF" w:themeFill="background1"/>
            <w:vAlign w:val="center"/>
          </w:tcPr>
          <w:p w14:paraId="0C1CADF4" w14:textId="4D430CD2" w:rsidR="00F4417F" w:rsidRPr="00F4417F" w:rsidRDefault="007C0FC8" w:rsidP="00F4417F">
            <w:pPr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br/>
            </w:r>
            <w:r w:rsidR="00F4417F" w:rsidRPr="00F4417F">
              <w:rPr>
                <w:rFonts w:cstheme="minorHAnsi"/>
                <w:noProof/>
                <w:lang w:eastAsia="en-GB"/>
              </w:rPr>
              <w:t xml:space="preserve">The University’s credit terms are 30 days from the invoice date, unless other contractual terms have been agreed and confirmed with Finance Operations. </w:t>
            </w:r>
          </w:p>
          <w:p w14:paraId="5D09495A" w14:textId="3511E799" w:rsidR="00D42C42" w:rsidRPr="009263D3" w:rsidRDefault="00F4417F" w:rsidP="00F4417F">
            <w:pPr>
              <w:rPr>
                <w:rFonts w:cstheme="minorHAnsi"/>
                <w:b/>
                <w:noProof/>
                <w:lang w:eastAsia="en-GB"/>
              </w:rPr>
            </w:pPr>
            <w:r w:rsidRPr="00F4417F">
              <w:rPr>
                <w:rFonts w:cstheme="minorHAnsi"/>
                <w:noProof/>
                <w:lang w:eastAsia="en-GB"/>
              </w:rPr>
              <w:t xml:space="preserve">Credit can only be offered to corporate customers if their credit rating indicates that they will be able to pay, and they do not have a history of non-payment of University invoices. </w:t>
            </w:r>
          </w:p>
        </w:tc>
      </w:tr>
      <w:tr w:rsidR="00143F31" w:rsidRPr="009263D3" w14:paraId="68BB8597" w14:textId="77777777" w:rsidTr="000A6EA7">
        <w:trPr>
          <w:trHeight w:val="567"/>
        </w:trPr>
        <w:tc>
          <w:tcPr>
            <w:tcW w:w="11058" w:type="dxa"/>
            <w:shd w:val="clear" w:color="auto" w:fill="F2F2F2" w:themeFill="background1" w:themeFillShade="F2"/>
            <w:vAlign w:val="center"/>
          </w:tcPr>
          <w:p w14:paraId="1EDB93A3" w14:textId="14DFC0DF" w:rsidR="00143F31" w:rsidRPr="009263D3" w:rsidRDefault="008F086F" w:rsidP="00143F31">
            <w:pPr>
              <w:rPr>
                <w:rFonts w:cstheme="minorHAnsi"/>
                <w:b/>
                <w:noProof/>
                <w:lang w:eastAsia="en-GB"/>
              </w:rPr>
            </w:pPr>
            <w:r>
              <w:rPr>
                <w:rFonts w:cstheme="minorHAnsi"/>
                <w:b/>
              </w:rPr>
              <w:t>Sales Invoicing</w:t>
            </w:r>
          </w:p>
        </w:tc>
      </w:tr>
      <w:tr w:rsidR="00143F31" w:rsidRPr="009263D3" w14:paraId="269B2EE9" w14:textId="77777777" w:rsidTr="000A6EA7">
        <w:trPr>
          <w:trHeight w:val="567"/>
        </w:trPr>
        <w:tc>
          <w:tcPr>
            <w:tcW w:w="11058" w:type="dxa"/>
          </w:tcPr>
          <w:p w14:paraId="08289288" w14:textId="77777777" w:rsidR="009159AF" w:rsidRDefault="009159AF" w:rsidP="008F086F">
            <w:pPr>
              <w:rPr>
                <w:rFonts w:cstheme="minorHAnsi"/>
              </w:rPr>
            </w:pPr>
          </w:p>
          <w:p w14:paraId="20F99E9A" w14:textId="24B32895" w:rsidR="0031246B" w:rsidRDefault="008F086F" w:rsidP="008F086F">
            <w:pPr>
              <w:rPr>
                <w:rFonts w:cstheme="minorHAnsi"/>
              </w:rPr>
            </w:pPr>
            <w:r w:rsidRPr="0081634D">
              <w:rPr>
                <w:rFonts w:cstheme="minorHAnsi"/>
              </w:rPr>
              <w:t xml:space="preserve">Sales must be invoiced in GBP unless stipulated in a customer contract. </w:t>
            </w:r>
          </w:p>
          <w:p w14:paraId="46FA6AE7" w14:textId="7C493EC2" w:rsidR="008F086F" w:rsidRPr="0081634D" w:rsidRDefault="008F086F" w:rsidP="008F086F">
            <w:pPr>
              <w:rPr>
                <w:rFonts w:cstheme="minorHAnsi"/>
              </w:rPr>
            </w:pPr>
            <w:r w:rsidRPr="0081634D">
              <w:rPr>
                <w:rFonts w:cstheme="minorHAnsi"/>
              </w:rPr>
              <w:t>Invoices must be issued in advance, or, where the customer meets the requirements for credit, within 7 working days of the goods or service being provided.</w:t>
            </w:r>
          </w:p>
          <w:p w14:paraId="0FE40680" w14:textId="77777777" w:rsidR="008F086F" w:rsidRPr="0081634D" w:rsidRDefault="008F086F" w:rsidP="008F086F">
            <w:pPr>
              <w:rPr>
                <w:rFonts w:cstheme="minorHAnsi"/>
              </w:rPr>
            </w:pPr>
            <w:r w:rsidRPr="0081634D">
              <w:rPr>
                <w:rFonts w:cstheme="minorHAnsi"/>
              </w:rPr>
              <w:t>For both primary and non-primary purpose activity, due consideration must be given to the VAT (indirect) and direct taxation implications.</w:t>
            </w:r>
          </w:p>
          <w:p w14:paraId="7D00E697" w14:textId="7D49BB78" w:rsidR="00642778" w:rsidRPr="009263D3" w:rsidRDefault="00642778" w:rsidP="0031246B"/>
        </w:tc>
      </w:tr>
      <w:tr w:rsidR="00E721A0" w:rsidRPr="009263D3" w14:paraId="1D40ACFC" w14:textId="77777777" w:rsidTr="000A6EA7">
        <w:trPr>
          <w:trHeight w:val="567"/>
        </w:trPr>
        <w:tc>
          <w:tcPr>
            <w:tcW w:w="11058" w:type="dxa"/>
            <w:shd w:val="clear" w:color="auto" w:fill="F2F2F2" w:themeFill="background1" w:themeFillShade="F2"/>
            <w:vAlign w:val="center"/>
          </w:tcPr>
          <w:p w14:paraId="06B4E5E4" w14:textId="77777777" w:rsidR="0031246B" w:rsidRDefault="0031246B" w:rsidP="0031246B">
            <w:pPr>
              <w:rPr>
                <w:rFonts w:cstheme="minorHAnsi"/>
                <w:b/>
              </w:rPr>
            </w:pPr>
          </w:p>
          <w:p w14:paraId="26C98D5B" w14:textId="40CBA601" w:rsidR="00E721A0" w:rsidRDefault="0031246B" w:rsidP="00143F31">
            <w:pPr>
              <w:rPr>
                <w:rFonts w:cstheme="minorHAnsi"/>
                <w:b/>
              </w:rPr>
            </w:pPr>
            <w:r w:rsidRPr="0081634D">
              <w:rPr>
                <w:rFonts w:cstheme="minorHAnsi"/>
                <w:b/>
              </w:rPr>
              <w:t>Debt Management and Write Off</w:t>
            </w:r>
          </w:p>
        </w:tc>
      </w:tr>
      <w:tr w:rsidR="00E721A0" w:rsidRPr="009263D3" w14:paraId="312579DE" w14:textId="77777777" w:rsidTr="000A6EA7">
        <w:trPr>
          <w:trHeight w:val="567"/>
        </w:trPr>
        <w:tc>
          <w:tcPr>
            <w:tcW w:w="11058" w:type="dxa"/>
            <w:shd w:val="clear" w:color="auto" w:fill="auto"/>
            <w:vAlign w:val="center"/>
          </w:tcPr>
          <w:p w14:paraId="0AEDE909" w14:textId="4C67A3A3" w:rsidR="0031246B" w:rsidRDefault="0031246B" w:rsidP="0031246B">
            <w:pPr>
              <w:spacing w:line="256" w:lineRule="auto"/>
              <w:jc w:val="both"/>
            </w:pPr>
            <w:r>
              <w:t xml:space="preserve">The University will take action to recover debts that are not paid by the agreed date. This may include legal action or the use of external agencies. </w:t>
            </w:r>
          </w:p>
          <w:p w14:paraId="6411C620" w14:textId="01A19206" w:rsidR="0031246B" w:rsidRDefault="0031246B" w:rsidP="0031246B">
            <w:pPr>
              <w:spacing w:line="256" w:lineRule="auto"/>
              <w:jc w:val="both"/>
            </w:pPr>
            <w:r>
              <w:t xml:space="preserve">The Credit Control team in Finance Operations will monitor accounts to identify repeated late or non-payment. The University may decline credit to these customers in the future.  The University may also monitor if a customer is also a </w:t>
            </w:r>
            <w:proofErr w:type="gramStart"/>
            <w:r>
              <w:t>University</w:t>
            </w:r>
            <w:proofErr w:type="gramEnd"/>
            <w:r>
              <w:t xml:space="preserve"> creditor, on a case</w:t>
            </w:r>
            <w:r w:rsidR="007C0FC8">
              <w:t>-by-</w:t>
            </w:r>
            <w:r>
              <w:t>case basis.</w:t>
            </w:r>
          </w:p>
          <w:p w14:paraId="39252D69" w14:textId="71D9DC8E" w:rsidR="00EE48EE" w:rsidRDefault="0031246B" w:rsidP="0031246B">
            <w:r>
              <w:t>The Director of Finance has the delegated authority from the University Court to write</w:t>
            </w:r>
            <w:r w:rsidR="007C0FC8">
              <w:t xml:space="preserve"> </w:t>
            </w:r>
            <w:r>
              <w:t xml:space="preserve">off debts up to two million pounds. Any debt exceeding that limit will be referred to University Court. </w:t>
            </w:r>
          </w:p>
          <w:p w14:paraId="2734D6E9" w14:textId="16EDBAD5" w:rsidR="00E721A0" w:rsidRPr="009263D3" w:rsidRDefault="00E721A0" w:rsidP="0031246B">
            <w:pPr>
              <w:rPr>
                <w:rFonts w:cstheme="minorHAnsi"/>
                <w:b/>
              </w:rPr>
            </w:pPr>
          </w:p>
        </w:tc>
      </w:tr>
      <w:tr w:rsidR="009D1603" w:rsidRPr="009263D3" w14:paraId="2F16C7ED" w14:textId="77777777" w:rsidTr="000A6EA7">
        <w:trPr>
          <w:trHeight w:val="567"/>
        </w:trPr>
        <w:tc>
          <w:tcPr>
            <w:tcW w:w="11058" w:type="dxa"/>
            <w:shd w:val="clear" w:color="auto" w:fill="F2F2F2" w:themeFill="background1" w:themeFillShade="F2"/>
            <w:vAlign w:val="center"/>
          </w:tcPr>
          <w:p w14:paraId="531A32AC" w14:textId="5A4C375A" w:rsidR="009D1603" w:rsidRPr="009263D3" w:rsidRDefault="00EE48EE" w:rsidP="00143F31">
            <w:pPr>
              <w:rPr>
                <w:rFonts w:cstheme="minorHAnsi"/>
                <w:b/>
                <w:noProof/>
                <w:lang w:eastAsia="en-GB"/>
              </w:rPr>
            </w:pPr>
            <w:r>
              <w:rPr>
                <w:rFonts w:cstheme="minorHAnsi"/>
                <w:b/>
                <w:noProof/>
                <w:lang w:eastAsia="en-GB"/>
              </w:rPr>
              <w:t>Definitions</w:t>
            </w:r>
          </w:p>
        </w:tc>
      </w:tr>
      <w:tr w:rsidR="009D1603" w:rsidRPr="009263D3" w14:paraId="6C38728A" w14:textId="77777777" w:rsidTr="000A6EA7">
        <w:trPr>
          <w:trHeight w:val="567"/>
        </w:trPr>
        <w:tc>
          <w:tcPr>
            <w:tcW w:w="11058" w:type="dxa"/>
            <w:shd w:val="clear" w:color="auto" w:fill="FFFFFF" w:themeFill="background1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82"/>
              <w:gridCol w:w="6646"/>
            </w:tblGrid>
            <w:tr w:rsidR="00EE48EE" w:rsidRPr="0081634D" w14:paraId="0649785F" w14:textId="77777777" w:rsidTr="00D90D0D">
              <w:tc>
                <w:tcPr>
                  <w:tcW w:w="2982" w:type="dxa"/>
                </w:tcPr>
                <w:p w14:paraId="4D5F20D7" w14:textId="6CD4FE90" w:rsidR="00EE48EE" w:rsidRPr="0081634D" w:rsidRDefault="00EE48EE" w:rsidP="00EE48EE">
                  <w:pPr>
                    <w:rPr>
                      <w:rFonts w:cstheme="minorHAnsi"/>
                    </w:rPr>
                  </w:pPr>
                  <w:r w:rsidRPr="0081634D">
                    <w:rPr>
                      <w:rFonts w:cstheme="minorHAnsi"/>
                    </w:rPr>
                    <w:t>C</w:t>
                  </w:r>
                  <w:r w:rsidR="009159AF">
                    <w:rPr>
                      <w:rFonts w:cstheme="minorHAnsi"/>
                    </w:rPr>
                    <w:t>orporate C</w:t>
                  </w:r>
                  <w:r w:rsidRPr="0081634D">
                    <w:rPr>
                      <w:rFonts w:cstheme="minorHAnsi"/>
                    </w:rPr>
                    <w:t>ommercial customer</w:t>
                  </w:r>
                </w:p>
              </w:tc>
              <w:tc>
                <w:tcPr>
                  <w:tcW w:w="6646" w:type="dxa"/>
                </w:tcPr>
                <w:p w14:paraId="557BB7DD" w14:textId="155EB064" w:rsidR="00EE48EE" w:rsidRPr="0081634D" w:rsidRDefault="00EE48EE" w:rsidP="009159AF">
                  <w:pPr>
                    <w:rPr>
                      <w:rFonts w:cstheme="minorHAnsi"/>
                    </w:rPr>
                  </w:pPr>
                  <w:r w:rsidRPr="0081634D">
                    <w:rPr>
                      <w:rFonts w:cstheme="minorHAnsi"/>
                    </w:rPr>
                    <w:t xml:space="preserve">An organisation (including the beneficial owner of any company) </w:t>
                  </w:r>
                  <w:r w:rsidR="009159AF">
                    <w:rPr>
                      <w:rFonts w:cstheme="minorHAnsi"/>
                    </w:rPr>
                    <w:t>buying</w:t>
                  </w:r>
                  <w:r w:rsidRPr="0081634D">
                    <w:rPr>
                      <w:rFonts w:cstheme="minorHAnsi"/>
                    </w:rPr>
                    <w:t xml:space="preserve"> University</w:t>
                  </w:r>
                  <w:r w:rsidR="009159AF">
                    <w:rPr>
                      <w:rFonts w:cstheme="minorHAnsi"/>
                    </w:rPr>
                    <w:t xml:space="preserve"> goods and</w:t>
                  </w:r>
                  <w:r w:rsidRPr="0081634D">
                    <w:rPr>
                      <w:rFonts w:cstheme="minorHAnsi"/>
                    </w:rPr>
                    <w:t xml:space="preserve"> services</w:t>
                  </w:r>
                  <w:r w:rsidR="009159AF">
                    <w:rPr>
                      <w:rFonts w:cstheme="minorHAnsi"/>
                    </w:rPr>
                    <w:t xml:space="preserve"> that are not primary purpose in nature.</w:t>
                  </w:r>
                </w:p>
              </w:tc>
            </w:tr>
            <w:tr w:rsidR="00EE48EE" w:rsidRPr="0081634D" w14:paraId="21CB696C" w14:textId="77777777" w:rsidTr="00D90D0D">
              <w:tc>
                <w:tcPr>
                  <w:tcW w:w="2982" w:type="dxa"/>
                </w:tcPr>
                <w:p w14:paraId="4B9B9B3E" w14:textId="77777777" w:rsidR="00EE48EE" w:rsidRPr="0081634D" w:rsidRDefault="00EE48EE" w:rsidP="00EE48EE">
                  <w:pPr>
                    <w:rPr>
                      <w:rFonts w:cstheme="minorHAnsi"/>
                    </w:rPr>
                  </w:pPr>
                  <w:r w:rsidRPr="0081634D">
                    <w:rPr>
                      <w:rFonts w:cstheme="minorHAnsi"/>
                    </w:rPr>
                    <w:t>Debt</w:t>
                  </w:r>
                </w:p>
              </w:tc>
              <w:tc>
                <w:tcPr>
                  <w:tcW w:w="6646" w:type="dxa"/>
                </w:tcPr>
                <w:p w14:paraId="2B9F8559" w14:textId="77777777" w:rsidR="00EE48EE" w:rsidRPr="0081634D" w:rsidRDefault="00EE48EE" w:rsidP="00EE48EE">
                  <w:pPr>
                    <w:rPr>
                      <w:rFonts w:cstheme="minorHAnsi"/>
                    </w:rPr>
                  </w:pPr>
                  <w:r w:rsidRPr="0081634D">
                    <w:rPr>
                      <w:rFonts w:cstheme="minorHAnsi"/>
                    </w:rPr>
                    <w:t>An amount that is still outstanding after the agreed payment date has passed.</w:t>
                  </w:r>
                </w:p>
              </w:tc>
            </w:tr>
            <w:tr w:rsidR="00EE48EE" w:rsidRPr="0081634D" w14:paraId="6DD5D12E" w14:textId="77777777" w:rsidTr="00D90D0D">
              <w:tc>
                <w:tcPr>
                  <w:tcW w:w="2982" w:type="dxa"/>
                </w:tcPr>
                <w:p w14:paraId="13980FA8" w14:textId="77777777" w:rsidR="00EE48EE" w:rsidRPr="0081634D" w:rsidRDefault="00EE48EE" w:rsidP="00EE48EE">
                  <w:pPr>
                    <w:rPr>
                      <w:rFonts w:cstheme="minorHAnsi"/>
                    </w:rPr>
                  </w:pPr>
                  <w:r w:rsidRPr="0081634D">
                    <w:rPr>
                      <w:rFonts w:cstheme="minorHAnsi"/>
                    </w:rPr>
                    <w:t>Debt write-off</w:t>
                  </w:r>
                </w:p>
              </w:tc>
              <w:tc>
                <w:tcPr>
                  <w:tcW w:w="6646" w:type="dxa"/>
                </w:tcPr>
                <w:p w14:paraId="4B9D5515" w14:textId="77777777" w:rsidR="00EE48EE" w:rsidRPr="0081634D" w:rsidRDefault="00EE48EE" w:rsidP="00EE48EE">
                  <w:pPr>
                    <w:rPr>
                      <w:rFonts w:cstheme="minorHAnsi"/>
                    </w:rPr>
                  </w:pPr>
                  <w:r w:rsidRPr="0081634D">
                    <w:rPr>
                      <w:rFonts w:cstheme="minorHAnsi"/>
                    </w:rPr>
                    <w:t>Decision to cancel or stop pursuing an unpaid debt.</w:t>
                  </w:r>
                </w:p>
              </w:tc>
            </w:tr>
            <w:tr w:rsidR="00EE48EE" w:rsidRPr="0081634D" w14:paraId="14D63453" w14:textId="77777777" w:rsidTr="00D90D0D">
              <w:tc>
                <w:tcPr>
                  <w:tcW w:w="2982" w:type="dxa"/>
                </w:tcPr>
                <w:p w14:paraId="3EC6C7A6" w14:textId="77777777" w:rsidR="00EE48EE" w:rsidRPr="0081634D" w:rsidRDefault="00EE48EE" w:rsidP="00EE48EE">
                  <w:pPr>
                    <w:rPr>
                      <w:rFonts w:cstheme="minorHAnsi"/>
                    </w:rPr>
                  </w:pPr>
                  <w:r w:rsidRPr="0081634D">
                    <w:rPr>
                      <w:rFonts w:cstheme="minorHAnsi"/>
                    </w:rPr>
                    <w:lastRenderedPageBreak/>
                    <w:t>Due diligence</w:t>
                  </w:r>
                </w:p>
              </w:tc>
              <w:tc>
                <w:tcPr>
                  <w:tcW w:w="6646" w:type="dxa"/>
                </w:tcPr>
                <w:p w14:paraId="6AE6018B" w14:textId="110A8928" w:rsidR="00EE48EE" w:rsidRPr="0081634D" w:rsidRDefault="00EE48EE" w:rsidP="00EE48EE">
                  <w:pPr>
                    <w:rPr>
                      <w:rFonts w:cstheme="minorHAnsi"/>
                    </w:rPr>
                  </w:pPr>
                  <w:r w:rsidRPr="0081634D">
                    <w:rPr>
                      <w:rFonts w:cstheme="minorHAnsi"/>
                    </w:rPr>
                    <w:t xml:space="preserve">Checks carried out to assess whether a potential customer poses a financial, </w:t>
                  </w:r>
                  <w:proofErr w:type="gramStart"/>
                  <w:r w:rsidRPr="0081634D">
                    <w:rPr>
                      <w:rFonts w:cstheme="minorHAnsi"/>
                    </w:rPr>
                    <w:t>regulatory</w:t>
                  </w:r>
                  <w:proofErr w:type="gramEnd"/>
                  <w:r w:rsidRPr="0081634D">
                    <w:rPr>
                      <w:rFonts w:cstheme="minorHAnsi"/>
                    </w:rPr>
                    <w:t xml:space="preserve"> or reputational risk to the University.</w:t>
                  </w:r>
                </w:p>
              </w:tc>
            </w:tr>
            <w:tr w:rsidR="00EE48EE" w:rsidRPr="0081634D" w14:paraId="633F5E1E" w14:textId="77777777" w:rsidTr="00D90D0D">
              <w:tc>
                <w:tcPr>
                  <w:tcW w:w="2982" w:type="dxa"/>
                </w:tcPr>
                <w:p w14:paraId="4CAB2E8B" w14:textId="1E4572FA" w:rsidR="00EE48EE" w:rsidRDefault="009159AF" w:rsidP="00EE48EE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Primary Purpose Activity</w:t>
                  </w:r>
                </w:p>
                <w:p w14:paraId="45028417" w14:textId="780AAD67" w:rsidR="00EE48EE" w:rsidRPr="0081634D" w:rsidRDefault="00EE48EE" w:rsidP="00EE48EE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6646" w:type="dxa"/>
                </w:tcPr>
                <w:p w14:paraId="0C924A77" w14:textId="77777777" w:rsidR="00EE48EE" w:rsidRPr="0081634D" w:rsidRDefault="00EE48EE" w:rsidP="00EE48EE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1800A7F7" w14:textId="05A6F72B" w:rsidR="009D1603" w:rsidRPr="009D1603" w:rsidRDefault="009D1603" w:rsidP="00143F31">
            <w:pPr>
              <w:rPr>
                <w:rFonts w:cstheme="minorHAnsi"/>
                <w:noProof/>
                <w:lang w:eastAsia="en-GB"/>
              </w:rPr>
            </w:pPr>
          </w:p>
        </w:tc>
      </w:tr>
      <w:tr w:rsidR="009D1603" w:rsidRPr="009263D3" w14:paraId="1AD52E8A" w14:textId="77777777" w:rsidTr="000A6EA7">
        <w:trPr>
          <w:trHeight w:val="567"/>
        </w:trPr>
        <w:tc>
          <w:tcPr>
            <w:tcW w:w="11058" w:type="dxa"/>
            <w:shd w:val="clear" w:color="auto" w:fill="F2F2F2" w:themeFill="background1" w:themeFillShade="F2"/>
            <w:vAlign w:val="center"/>
          </w:tcPr>
          <w:p w14:paraId="25CF3FF4" w14:textId="317E2A44" w:rsidR="009D1603" w:rsidRPr="009263D3" w:rsidRDefault="009D1603" w:rsidP="00143F31">
            <w:pPr>
              <w:rPr>
                <w:rFonts w:cstheme="minorHAnsi"/>
                <w:b/>
                <w:noProof/>
                <w:lang w:eastAsia="en-GB"/>
              </w:rPr>
            </w:pPr>
            <w:r>
              <w:rPr>
                <w:rFonts w:cstheme="minorHAnsi"/>
                <w:b/>
                <w:noProof/>
                <w:lang w:eastAsia="en-GB"/>
              </w:rPr>
              <w:lastRenderedPageBreak/>
              <w:t>Exceptions</w:t>
            </w:r>
          </w:p>
        </w:tc>
      </w:tr>
      <w:tr w:rsidR="009D1603" w:rsidRPr="009263D3" w14:paraId="3320D4E7" w14:textId="77777777" w:rsidTr="000A6EA7">
        <w:trPr>
          <w:trHeight w:val="567"/>
        </w:trPr>
        <w:tc>
          <w:tcPr>
            <w:tcW w:w="11058" w:type="dxa"/>
            <w:shd w:val="clear" w:color="auto" w:fill="FFFFFF" w:themeFill="background1"/>
            <w:vAlign w:val="center"/>
          </w:tcPr>
          <w:p w14:paraId="7F6725C4" w14:textId="77777777" w:rsidR="009D1603" w:rsidRPr="009263D3" w:rsidRDefault="009D1603" w:rsidP="00143F31">
            <w:pPr>
              <w:rPr>
                <w:rFonts w:cstheme="minorHAnsi"/>
                <w:b/>
                <w:noProof/>
                <w:lang w:eastAsia="en-GB"/>
              </w:rPr>
            </w:pPr>
          </w:p>
        </w:tc>
      </w:tr>
    </w:tbl>
    <w:p w14:paraId="3F15FE52" w14:textId="55ED2DD3" w:rsidR="007651E7" w:rsidRDefault="007651E7">
      <w:pPr>
        <w:rPr>
          <w:rFonts w:cstheme="minorHAnsi"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2127"/>
        <w:gridCol w:w="8931"/>
      </w:tblGrid>
      <w:tr w:rsidR="00A7609B" w:rsidRPr="009263D3" w14:paraId="3C78E8D5" w14:textId="77777777" w:rsidTr="3483F08E">
        <w:tc>
          <w:tcPr>
            <w:tcW w:w="2127" w:type="dxa"/>
          </w:tcPr>
          <w:p w14:paraId="4CF380E8" w14:textId="35F59D10" w:rsidR="00A7609B" w:rsidRPr="00897D70" w:rsidRDefault="007651E7" w:rsidP="00897D7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br w:type="page"/>
            </w:r>
            <w:r w:rsidR="00897D70" w:rsidRPr="00897D70">
              <w:rPr>
                <w:rFonts w:cstheme="minorHAnsi"/>
                <w:b/>
              </w:rPr>
              <w:t>E</w:t>
            </w:r>
            <w:r w:rsidR="00A7609B" w:rsidRPr="00897D70">
              <w:rPr>
                <w:rFonts w:cstheme="minorHAnsi"/>
                <w:b/>
                <w:bCs/>
              </w:rPr>
              <w:t>quality and Diversity</w:t>
            </w:r>
          </w:p>
        </w:tc>
        <w:tc>
          <w:tcPr>
            <w:tcW w:w="8931" w:type="dxa"/>
          </w:tcPr>
          <w:p w14:paraId="34A5173A" w14:textId="6D33EF75" w:rsidR="00A7609B" w:rsidRPr="00A7609B" w:rsidRDefault="00A7609B" w:rsidP="00D81A31">
            <w:pPr>
              <w:rPr>
                <w:rFonts w:eastAsia="SimSun" w:cs="Arial"/>
              </w:rPr>
            </w:pPr>
            <w:r w:rsidRPr="00D102BA">
              <w:rPr>
                <w:rFonts w:eastAsia="SimSun" w:cs="Arial"/>
              </w:rPr>
              <w:t>The</w:t>
            </w:r>
            <w:r>
              <w:rPr>
                <w:rFonts w:eastAsia="SimSun" w:cs="Arial"/>
              </w:rPr>
              <w:t xml:space="preserve"> Equality Impact Assessment has been completed and addresses any </w:t>
            </w:r>
            <w:r w:rsidRPr="00D102BA">
              <w:rPr>
                <w:rFonts w:eastAsia="SimSun" w:cs="Arial"/>
              </w:rPr>
              <w:t>equality and d</w:t>
            </w:r>
            <w:r>
              <w:rPr>
                <w:rFonts w:eastAsia="SimSun" w:cs="Arial"/>
              </w:rPr>
              <w:t>iversity impacts of this policy</w:t>
            </w:r>
            <w:r w:rsidR="00866595">
              <w:rPr>
                <w:rFonts w:eastAsia="SimSun" w:cs="Arial"/>
              </w:rPr>
              <w:t>.</w:t>
            </w:r>
          </w:p>
        </w:tc>
      </w:tr>
      <w:tr w:rsidR="00200758" w:rsidRPr="00037F19" w14:paraId="16CB7F5A" w14:textId="77777777" w:rsidTr="3483F08E">
        <w:tc>
          <w:tcPr>
            <w:tcW w:w="2127" w:type="dxa"/>
          </w:tcPr>
          <w:p w14:paraId="71195E73" w14:textId="572446CB" w:rsidR="00200758" w:rsidRPr="00BC6A94" w:rsidRDefault="00D81A31">
            <w:pPr>
              <w:rPr>
                <w:rFonts w:cstheme="minorHAnsi"/>
                <w:b/>
              </w:rPr>
            </w:pPr>
            <w:r w:rsidRPr="004A6077">
              <w:rPr>
                <w:rFonts w:cstheme="minorHAnsi"/>
                <w:b/>
                <w:bCs/>
              </w:rPr>
              <w:t>Further Information/Queries</w:t>
            </w:r>
          </w:p>
        </w:tc>
        <w:tc>
          <w:tcPr>
            <w:tcW w:w="8931" w:type="dxa"/>
          </w:tcPr>
          <w:p w14:paraId="7549443B" w14:textId="0D7AE7D8" w:rsidR="00200758" w:rsidRPr="00A65A2E" w:rsidRDefault="00037F19" w:rsidP="009159AF">
            <w:pPr>
              <w:spacing w:after="120"/>
              <w:rPr>
                <w:rFonts w:eastAsia="SimSun" w:cstheme="minorHAnsi"/>
              </w:rPr>
            </w:pPr>
            <w:r w:rsidRPr="00835EBC">
              <w:rPr>
                <w:rFonts w:eastAsia="SimSun" w:cstheme="minorHAnsi"/>
              </w:rPr>
              <w:t xml:space="preserve">Please contact </w:t>
            </w:r>
            <w:r w:rsidR="00897D70">
              <w:rPr>
                <w:rFonts w:eastAsia="SimSun" w:cstheme="minorHAnsi"/>
              </w:rPr>
              <w:t xml:space="preserve">the </w:t>
            </w:r>
            <w:r w:rsidR="009159AF">
              <w:rPr>
                <w:rFonts w:eastAsia="SimSun" w:cstheme="minorHAnsi"/>
              </w:rPr>
              <w:t xml:space="preserve">Head of </w:t>
            </w:r>
            <w:r w:rsidR="000A6EA7">
              <w:rPr>
                <w:rFonts w:eastAsia="SimSun" w:cstheme="minorHAnsi"/>
              </w:rPr>
              <w:t>Finance Operations</w:t>
            </w:r>
            <w:r w:rsidR="00897D70">
              <w:rPr>
                <w:rFonts w:eastAsia="SimSun" w:cstheme="minorHAnsi"/>
              </w:rPr>
              <w:t xml:space="preserve"> for furt</w:t>
            </w:r>
            <w:r w:rsidRPr="00835EBC">
              <w:rPr>
                <w:rFonts w:eastAsia="SimSun" w:cstheme="minorHAnsi"/>
              </w:rPr>
              <w:t>her information</w:t>
            </w:r>
            <w:r>
              <w:rPr>
                <w:rFonts w:eastAsia="SimSun" w:cstheme="minorHAnsi"/>
              </w:rPr>
              <w:t xml:space="preserve"> or if you require this policy in an alternative format</w:t>
            </w:r>
            <w:r w:rsidRPr="00835EBC">
              <w:rPr>
                <w:rFonts w:eastAsia="SimSun" w:cstheme="minorHAnsi"/>
              </w:rPr>
              <w:t xml:space="preserve">. </w:t>
            </w:r>
          </w:p>
        </w:tc>
      </w:tr>
      <w:tr w:rsidR="00C636D5" w:rsidRPr="009263D3" w14:paraId="2E22B126" w14:textId="77777777" w:rsidTr="3483F08E">
        <w:tc>
          <w:tcPr>
            <w:tcW w:w="2127" w:type="dxa"/>
          </w:tcPr>
          <w:p w14:paraId="59C2A5CB" w14:textId="0D62DB1A" w:rsidR="00C636D5" w:rsidRDefault="004B2CA8">
            <w:pPr>
              <w:rPr>
                <w:b/>
              </w:rPr>
            </w:pPr>
            <w:r w:rsidRPr="689E0C65">
              <w:rPr>
                <w:b/>
              </w:rPr>
              <w:t>Useful links</w:t>
            </w:r>
          </w:p>
        </w:tc>
        <w:tc>
          <w:tcPr>
            <w:tcW w:w="8931" w:type="dxa"/>
          </w:tcPr>
          <w:p w14:paraId="152D4ADF" w14:textId="77777777" w:rsidR="009B7351" w:rsidRPr="00897D70" w:rsidRDefault="00000000" w:rsidP="00A65A2E">
            <w:pPr>
              <w:rPr>
                <w:rFonts w:eastAsia="SimSun" w:cs="Arial"/>
                <w:color w:val="0070C0"/>
                <w:u w:val="single"/>
              </w:rPr>
            </w:pPr>
            <w:hyperlink r:id="rId15" w:history="1">
              <w:r w:rsidR="009B7351" w:rsidRPr="00897D70">
                <w:rPr>
                  <w:rFonts w:eastAsia="SimSun" w:cs="Arial"/>
                  <w:color w:val="0070C0"/>
                  <w:u w:val="single"/>
                </w:rPr>
                <w:t>Finance Policies and procedures</w:t>
              </w:r>
            </w:hyperlink>
          </w:p>
          <w:p w14:paraId="0EDD2A83" w14:textId="52EE25CF" w:rsidR="004B2CA8" w:rsidRPr="00897D70" w:rsidRDefault="00000000" w:rsidP="00A65A2E">
            <w:pPr>
              <w:rPr>
                <w:rStyle w:val="Hyperlink"/>
                <w:rFonts w:eastAsia="SimSun" w:cs="Arial"/>
                <w:color w:val="0070C0"/>
              </w:rPr>
            </w:pPr>
            <w:hyperlink r:id="rId16" w:history="1">
              <w:r w:rsidR="004B2CA8" w:rsidRPr="00897D70">
                <w:rPr>
                  <w:rStyle w:val="Hyperlink"/>
                  <w:rFonts w:cstheme="minorHAnsi"/>
                  <w:color w:val="0070C0"/>
                </w:rPr>
                <w:t>Sustainable Travel Policy</w:t>
              </w:r>
            </w:hyperlink>
          </w:p>
          <w:p w14:paraId="45205538" w14:textId="032176CA" w:rsidR="00897D70" w:rsidRDefault="00000000" w:rsidP="00897D70">
            <w:pPr>
              <w:ind w:right="159"/>
              <w:rPr>
                <w:rStyle w:val="Hyperlink"/>
                <w:rFonts w:cstheme="minorHAnsi"/>
              </w:rPr>
            </w:pPr>
            <w:hyperlink r:id="rId17" w:history="1">
              <w:r w:rsidR="00BB556B" w:rsidRPr="00A65A2E">
                <w:rPr>
                  <w:rStyle w:val="Hyperlink"/>
                  <w:rFonts w:cstheme="minorHAnsi"/>
                </w:rPr>
                <w:t>Powers of Delegation | The University of Edinburgh</w:t>
              </w:r>
            </w:hyperlink>
          </w:p>
          <w:p w14:paraId="35D6E0D3" w14:textId="64DE6364" w:rsidR="00A36483" w:rsidRPr="00897D70" w:rsidRDefault="00A36483" w:rsidP="00897D70">
            <w:pPr>
              <w:ind w:right="159"/>
              <w:rPr>
                <w:i/>
              </w:rPr>
            </w:pPr>
            <w:proofErr w:type="spellStart"/>
            <w:r>
              <w:rPr>
                <w:i/>
              </w:rPr>
              <w:t>Anti Money</w:t>
            </w:r>
            <w:proofErr w:type="spellEnd"/>
            <w:r>
              <w:rPr>
                <w:i/>
              </w:rPr>
              <w:t xml:space="preserve"> Laundering Statement</w:t>
            </w:r>
          </w:p>
          <w:p w14:paraId="4321ECCD" w14:textId="77777777" w:rsidR="00A36483" w:rsidRDefault="00A36483" w:rsidP="00897D70">
            <w:pPr>
              <w:rPr>
                <w:b/>
              </w:rPr>
            </w:pPr>
          </w:p>
          <w:p w14:paraId="559CA935" w14:textId="67946635" w:rsidR="00897D70" w:rsidRPr="00897D70" w:rsidRDefault="00897D70" w:rsidP="00897D70">
            <w:pPr>
              <w:rPr>
                <w:b/>
              </w:rPr>
            </w:pPr>
            <w:r w:rsidRPr="00897D70">
              <w:rPr>
                <w:b/>
              </w:rPr>
              <w:t>Policies related to ethical and sustainable business:</w:t>
            </w:r>
          </w:p>
          <w:p w14:paraId="761427C6" w14:textId="77777777" w:rsidR="00897D70" w:rsidRPr="00897D70" w:rsidRDefault="00000000" w:rsidP="00897D70">
            <w:pPr>
              <w:rPr>
                <w:u w:val="single"/>
              </w:rPr>
            </w:pPr>
            <w:hyperlink r:id="rId18" w:history="1">
              <w:r w:rsidR="00897D70" w:rsidRPr="00897D70">
                <w:rPr>
                  <w:rStyle w:val="Hyperlink"/>
                </w:rPr>
                <w:t>Anti-Bribery and Corruption Policy</w:t>
              </w:r>
            </w:hyperlink>
          </w:p>
          <w:p w14:paraId="7E46C8BE" w14:textId="77777777" w:rsidR="00897D70" w:rsidRPr="00897D70" w:rsidRDefault="00000000" w:rsidP="00897D70">
            <w:pPr>
              <w:rPr>
                <w:u w:val="single"/>
              </w:rPr>
            </w:pPr>
            <w:hyperlink r:id="rId19" w:history="1">
              <w:r w:rsidR="00897D70" w:rsidRPr="00897D70">
                <w:rPr>
                  <w:rStyle w:val="Hyperlink"/>
                </w:rPr>
                <w:t>Gifts and Hospitality Policy</w:t>
              </w:r>
            </w:hyperlink>
          </w:p>
          <w:p w14:paraId="7C901DED" w14:textId="77777777" w:rsidR="00897D70" w:rsidRPr="00897D70" w:rsidRDefault="00000000" w:rsidP="00897D70">
            <w:pPr>
              <w:rPr>
                <w:u w:val="single"/>
              </w:rPr>
            </w:pPr>
            <w:hyperlink r:id="rId20" w:history="1">
              <w:r w:rsidR="00897D70" w:rsidRPr="00897D70">
                <w:rPr>
                  <w:rStyle w:val="Hyperlink"/>
                </w:rPr>
                <w:t>Conflict of Interest Policy</w:t>
              </w:r>
            </w:hyperlink>
          </w:p>
          <w:p w14:paraId="3FD90582" w14:textId="77777777" w:rsidR="00897D70" w:rsidRPr="00897D70" w:rsidRDefault="00000000" w:rsidP="00897D70">
            <w:pPr>
              <w:rPr>
                <w:u w:val="single"/>
              </w:rPr>
            </w:pPr>
            <w:hyperlink r:id="rId21" w:history="1">
              <w:r w:rsidR="00897D70" w:rsidRPr="00897D70">
                <w:rPr>
                  <w:rStyle w:val="Hyperlink"/>
                </w:rPr>
                <w:t>Anti-Money Laundering Policy</w:t>
              </w:r>
            </w:hyperlink>
          </w:p>
          <w:p w14:paraId="1B5F328B" w14:textId="3E23A9C1" w:rsidR="00C636D5" w:rsidRDefault="00C636D5" w:rsidP="00897D70"/>
        </w:tc>
      </w:tr>
    </w:tbl>
    <w:p w14:paraId="6F6D9324" w14:textId="0375FBAB" w:rsidR="002017F8" w:rsidRDefault="002017F8" w:rsidP="003D0DC8">
      <w:pPr>
        <w:tabs>
          <w:tab w:val="left" w:pos="2394"/>
        </w:tabs>
        <w:rPr>
          <w:rFonts w:cstheme="minorHAnsi"/>
        </w:rPr>
      </w:pPr>
    </w:p>
    <w:p w14:paraId="60447F86" w14:textId="10255CE2" w:rsidR="00482967" w:rsidRDefault="00482967" w:rsidP="003D0DC8">
      <w:pPr>
        <w:tabs>
          <w:tab w:val="left" w:pos="2394"/>
        </w:tabs>
        <w:rPr>
          <w:rFonts w:cstheme="minorHAnsi"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5506"/>
        <w:gridCol w:w="5552"/>
      </w:tblGrid>
      <w:tr w:rsidR="000222C1" w:rsidRPr="00D46A7E" w14:paraId="4E3E3BE8" w14:textId="77777777" w:rsidTr="1C6B3C84">
        <w:trPr>
          <w:trHeight w:val="624"/>
        </w:trPr>
        <w:tc>
          <w:tcPr>
            <w:tcW w:w="11058" w:type="dxa"/>
            <w:gridSpan w:val="2"/>
            <w:shd w:val="clear" w:color="auto" w:fill="F2F2F2" w:themeFill="background1" w:themeFillShade="F2"/>
            <w:vAlign w:val="center"/>
          </w:tcPr>
          <w:p w14:paraId="16080F43" w14:textId="5690A374" w:rsidR="000222C1" w:rsidRPr="00A65A2E" w:rsidRDefault="00395E74" w:rsidP="00482967">
            <w:pPr>
              <w:pStyle w:val="ListParagraph"/>
              <w:tabs>
                <w:tab w:val="left" w:pos="2394"/>
              </w:tabs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  <w:r w:rsidR="00D46A7E" w:rsidRPr="00A65A2E">
              <w:rPr>
                <w:rFonts w:cstheme="minorHAnsi"/>
                <w:b/>
              </w:rPr>
              <w:t xml:space="preserve">pproval </w:t>
            </w:r>
            <w:r w:rsidR="003E0EFF" w:rsidRPr="00A65A2E">
              <w:rPr>
                <w:rFonts w:cstheme="minorHAnsi"/>
                <w:b/>
              </w:rPr>
              <w:t>and Review</w:t>
            </w:r>
          </w:p>
        </w:tc>
      </w:tr>
      <w:tr w:rsidR="003E0EFF" w:rsidRPr="00D46A7E" w14:paraId="7210A1E6" w14:textId="77777777" w:rsidTr="1C6B3C84">
        <w:tc>
          <w:tcPr>
            <w:tcW w:w="5506" w:type="dxa"/>
          </w:tcPr>
          <w:p w14:paraId="52CB2881" w14:textId="76B3E8E6" w:rsidR="003E0EFF" w:rsidRPr="00D46A7E" w:rsidRDefault="003E0EFF" w:rsidP="003E0EFF">
            <w:pPr>
              <w:tabs>
                <w:tab w:val="left" w:pos="2394"/>
              </w:tabs>
              <w:rPr>
                <w:rFonts w:cstheme="minorHAnsi"/>
              </w:rPr>
            </w:pPr>
            <w:r w:rsidRPr="00835EBC">
              <w:rPr>
                <w:rFonts w:cstheme="minorHAnsi"/>
              </w:rPr>
              <w:t>Date policy approved</w:t>
            </w:r>
          </w:p>
        </w:tc>
        <w:tc>
          <w:tcPr>
            <w:tcW w:w="5552" w:type="dxa"/>
          </w:tcPr>
          <w:p w14:paraId="448D0BF5" w14:textId="4F7BDAD1" w:rsidR="003E0EFF" w:rsidRPr="00D46A7E" w:rsidRDefault="1C6B3C84" w:rsidP="1C6B3C84">
            <w:pPr>
              <w:tabs>
                <w:tab w:val="left" w:pos="2394"/>
              </w:tabs>
            </w:pPr>
            <w:r w:rsidRPr="1C6B3C84">
              <w:t>5 April 2022</w:t>
            </w:r>
          </w:p>
        </w:tc>
      </w:tr>
      <w:tr w:rsidR="003E0EFF" w:rsidRPr="00D46A7E" w14:paraId="3ADB4E69" w14:textId="77777777" w:rsidTr="1C6B3C84">
        <w:tc>
          <w:tcPr>
            <w:tcW w:w="5506" w:type="dxa"/>
          </w:tcPr>
          <w:p w14:paraId="6EEF212D" w14:textId="2021F2C9" w:rsidR="003E0EFF" w:rsidRPr="00D46A7E" w:rsidRDefault="003E0EFF" w:rsidP="003E0EFF">
            <w:pPr>
              <w:tabs>
                <w:tab w:val="left" w:pos="2394"/>
              </w:tabs>
              <w:rPr>
                <w:rFonts w:cstheme="minorHAnsi"/>
              </w:rPr>
            </w:pPr>
            <w:r w:rsidRPr="00835EBC">
              <w:rPr>
                <w:rFonts w:cstheme="minorHAnsi"/>
              </w:rPr>
              <w:t>Final approval by</w:t>
            </w:r>
          </w:p>
        </w:tc>
        <w:tc>
          <w:tcPr>
            <w:tcW w:w="5552" w:type="dxa"/>
          </w:tcPr>
          <w:p w14:paraId="54FE4CF6" w14:textId="70F60318" w:rsidR="003E0EFF" w:rsidRPr="00D46A7E" w:rsidRDefault="1C6B3C84" w:rsidP="1C6B3C84">
            <w:pPr>
              <w:tabs>
                <w:tab w:val="left" w:pos="2394"/>
              </w:tabs>
            </w:pPr>
            <w:r w:rsidRPr="1C6B3C84">
              <w:t>University Executive</w:t>
            </w:r>
          </w:p>
        </w:tc>
      </w:tr>
      <w:tr w:rsidR="003E0EFF" w:rsidRPr="00D46A7E" w14:paraId="772490A5" w14:textId="77777777" w:rsidTr="1C6B3C84">
        <w:tc>
          <w:tcPr>
            <w:tcW w:w="5506" w:type="dxa"/>
          </w:tcPr>
          <w:p w14:paraId="52882000" w14:textId="542D21C2" w:rsidR="003E0EFF" w:rsidRPr="00D46A7E" w:rsidRDefault="003E0EFF" w:rsidP="003E0EFF">
            <w:pPr>
              <w:tabs>
                <w:tab w:val="left" w:pos="2394"/>
              </w:tabs>
              <w:rPr>
                <w:rFonts w:cstheme="minorHAnsi"/>
              </w:rPr>
            </w:pPr>
            <w:r w:rsidRPr="00835EBC">
              <w:rPr>
                <w:rFonts w:cstheme="minorHAnsi"/>
              </w:rPr>
              <w:t>Consultations held</w:t>
            </w:r>
          </w:p>
        </w:tc>
        <w:tc>
          <w:tcPr>
            <w:tcW w:w="5552" w:type="dxa"/>
          </w:tcPr>
          <w:p w14:paraId="2685D40C" w14:textId="019DA953" w:rsidR="003E0EFF" w:rsidRPr="00D46A7E" w:rsidRDefault="1C6B3C84" w:rsidP="1C6B3C84">
            <w:pPr>
              <w:tabs>
                <w:tab w:val="left" w:pos="2394"/>
              </w:tabs>
              <w:spacing w:line="259" w:lineRule="auto"/>
              <w:rPr>
                <w:rFonts w:ascii="Calibri" w:eastAsia="Calibri" w:hAnsi="Calibri" w:cs="Calibri"/>
              </w:rPr>
            </w:pPr>
            <w:r w:rsidRPr="1C6B3C84">
              <w:rPr>
                <w:rFonts w:ascii="Calibri" w:eastAsia="Calibri" w:hAnsi="Calibri" w:cs="Calibri"/>
                <w:color w:val="000000" w:themeColor="text1"/>
              </w:rPr>
              <w:t>FOTAG 13</w:t>
            </w:r>
            <w:r w:rsidRPr="1C6B3C84">
              <w:rPr>
                <w:rFonts w:ascii="Calibri" w:eastAsia="Calibri" w:hAnsi="Calibri" w:cs="Calibri"/>
                <w:color w:val="000000" w:themeColor="text1"/>
                <w:vertAlign w:val="superscript"/>
              </w:rPr>
              <w:t>th</w:t>
            </w:r>
            <w:r w:rsidRPr="1C6B3C84">
              <w:rPr>
                <w:rFonts w:ascii="Calibri" w:eastAsia="Calibri" w:hAnsi="Calibri" w:cs="Calibri"/>
                <w:color w:val="000000" w:themeColor="text1"/>
              </w:rPr>
              <w:t xml:space="preserve"> October 2021</w:t>
            </w:r>
          </w:p>
        </w:tc>
      </w:tr>
      <w:tr w:rsidR="003E0EFF" w:rsidRPr="00D46A7E" w14:paraId="41AE7D45" w14:textId="77777777" w:rsidTr="1C6B3C84">
        <w:tc>
          <w:tcPr>
            <w:tcW w:w="5506" w:type="dxa"/>
          </w:tcPr>
          <w:p w14:paraId="54FE90D0" w14:textId="59A63274" w:rsidR="003E0EFF" w:rsidRPr="00D46A7E" w:rsidRDefault="003E0EFF" w:rsidP="003E0EFF">
            <w:pPr>
              <w:tabs>
                <w:tab w:val="left" w:pos="2394"/>
              </w:tabs>
              <w:rPr>
                <w:rFonts w:cstheme="minorHAnsi"/>
              </w:rPr>
            </w:pPr>
            <w:r w:rsidRPr="00835EBC">
              <w:rPr>
                <w:rFonts w:cstheme="minorHAnsi"/>
              </w:rPr>
              <w:t>Date of commencement of policy</w:t>
            </w:r>
          </w:p>
        </w:tc>
        <w:tc>
          <w:tcPr>
            <w:tcW w:w="5552" w:type="dxa"/>
          </w:tcPr>
          <w:p w14:paraId="6C7AE4F5" w14:textId="7EC28EEC" w:rsidR="003E0EFF" w:rsidRPr="00D46A7E" w:rsidRDefault="1C6B3C84" w:rsidP="1C6B3C84">
            <w:pPr>
              <w:tabs>
                <w:tab w:val="left" w:pos="2394"/>
              </w:tabs>
            </w:pPr>
            <w:r w:rsidRPr="1C6B3C84">
              <w:t>August 2022</w:t>
            </w:r>
          </w:p>
        </w:tc>
      </w:tr>
      <w:tr w:rsidR="003E0EFF" w:rsidRPr="00D46A7E" w14:paraId="239BD769" w14:textId="77777777" w:rsidTr="1C6B3C84">
        <w:tc>
          <w:tcPr>
            <w:tcW w:w="5506" w:type="dxa"/>
          </w:tcPr>
          <w:p w14:paraId="7BFDE696" w14:textId="03FCE172" w:rsidR="003E0EFF" w:rsidRPr="00835EBC" w:rsidRDefault="003E0EFF" w:rsidP="003E0EFF">
            <w:pPr>
              <w:tabs>
                <w:tab w:val="left" w:pos="2394"/>
              </w:tabs>
              <w:rPr>
                <w:rFonts w:cstheme="minorHAnsi"/>
              </w:rPr>
            </w:pPr>
            <w:r w:rsidRPr="00835EBC">
              <w:rPr>
                <w:rFonts w:cstheme="minorHAnsi"/>
              </w:rPr>
              <w:t>Date for review of policy</w:t>
            </w:r>
          </w:p>
        </w:tc>
        <w:tc>
          <w:tcPr>
            <w:tcW w:w="5552" w:type="dxa"/>
          </w:tcPr>
          <w:p w14:paraId="56841163" w14:textId="198272A7" w:rsidR="003E0EFF" w:rsidRPr="00A65A2E" w:rsidRDefault="1C6B3C84" w:rsidP="1C6B3C84">
            <w:pPr>
              <w:tabs>
                <w:tab w:val="left" w:pos="2394"/>
              </w:tabs>
            </w:pPr>
            <w:r w:rsidRPr="1C6B3C84">
              <w:t>February 2023</w:t>
            </w:r>
          </w:p>
        </w:tc>
      </w:tr>
      <w:tr w:rsidR="003E0EFF" w:rsidRPr="00D46A7E" w14:paraId="20685502" w14:textId="77777777" w:rsidTr="1C6B3C84">
        <w:tc>
          <w:tcPr>
            <w:tcW w:w="5506" w:type="dxa"/>
          </w:tcPr>
          <w:p w14:paraId="7D27B333" w14:textId="208EBC85" w:rsidR="003E0EFF" w:rsidRPr="00D46A7E" w:rsidRDefault="003E0EFF" w:rsidP="003E0EFF">
            <w:pPr>
              <w:tabs>
                <w:tab w:val="left" w:pos="2394"/>
              </w:tabs>
              <w:rPr>
                <w:rFonts w:cstheme="minorHAnsi"/>
              </w:rPr>
            </w:pPr>
            <w:r w:rsidRPr="00835EBC">
              <w:rPr>
                <w:rFonts w:cstheme="minorHAnsi"/>
              </w:rPr>
              <w:t>Policy review by</w:t>
            </w:r>
          </w:p>
        </w:tc>
        <w:tc>
          <w:tcPr>
            <w:tcW w:w="5552" w:type="dxa"/>
          </w:tcPr>
          <w:p w14:paraId="2E62D3E9" w14:textId="43BFC671" w:rsidR="003E0EFF" w:rsidRPr="00D46A7E" w:rsidRDefault="1C6B3C84" w:rsidP="1C6B3C84">
            <w:pPr>
              <w:tabs>
                <w:tab w:val="left" w:pos="2394"/>
              </w:tabs>
            </w:pPr>
            <w:r w:rsidRPr="1C6B3C84">
              <w:t>Head of Finance Operations</w:t>
            </w:r>
          </w:p>
        </w:tc>
      </w:tr>
      <w:tr w:rsidR="003E0EFF" w:rsidRPr="00D46A7E" w14:paraId="38668518" w14:textId="77777777" w:rsidTr="1C6B3C84">
        <w:tc>
          <w:tcPr>
            <w:tcW w:w="5506" w:type="dxa"/>
          </w:tcPr>
          <w:p w14:paraId="0F29385D" w14:textId="086949B6" w:rsidR="003E0EFF" w:rsidRPr="00D46A7E" w:rsidRDefault="003E0EFF" w:rsidP="003E0EFF">
            <w:pPr>
              <w:tabs>
                <w:tab w:val="left" w:pos="2394"/>
              </w:tabs>
              <w:rPr>
                <w:rFonts w:cstheme="minorHAnsi"/>
              </w:rPr>
            </w:pPr>
          </w:p>
        </w:tc>
        <w:tc>
          <w:tcPr>
            <w:tcW w:w="5552" w:type="dxa"/>
          </w:tcPr>
          <w:p w14:paraId="4AF1C6DA" w14:textId="202A0E0A" w:rsidR="003E0EFF" w:rsidRPr="00D46A7E" w:rsidRDefault="003E0EFF" w:rsidP="003E0EFF">
            <w:pPr>
              <w:tabs>
                <w:tab w:val="left" w:pos="2394"/>
              </w:tabs>
              <w:rPr>
                <w:rFonts w:cstheme="minorHAnsi"/>
              </w:rPr>
            </w:pPr>
          </w:p>
        </w:tc>
      </w:tr>
      <w:tr w:rsidR="0010579C" w:rsidRPr="00D46A7E" w14:paraId="14C1AD30" w14:textId="77777777" w:rsidTr="1C6B3C84">
        <w:tc>
          <w:tcPr>
            <w:tcW w:w="11058" w:type="dxa"/>
            <w:gridSpan w:val="2"/>
          </w:tcPr>
          <w:p w14:paraId="41A291D7" w14:textId="227C804B" w:rsidR="0010579C" w:rsidRPr="00A65A2E" w:rsidRDefault="0010579C" w:rsidP="003E0EFF">
            <w:pPr>
              <w:tabs>
                <w:tab w:val="left" w:pos="2394"/>
              </w:tabs>
              <w:rPr>
                <w:rFonts w:cstheme="minorHAnsi"/>
              </w:rPr>
            </w:pPr>
          </w:p>
        </w:tc>
      </w:tr>
    </w:tbl>
    <w:p w14:paraId="1E644A0F" w14:textId="408CD62F" w:rsidR="00EF29AD" w:rsidRDefault="00EF29AD" w:rsidP="003D0DC8">
      <w:pPr>
        <w:tabs>
          <w:tab w:val="left" w:pos="2394"/>
        </w:tabs>
        <w:rPr>
          <w:rFonts w:cstheme="minorHAnsi"/>
          <w:b/>
        </w:rPr>
      </w:pPr>
    </w:p>
    <w:p w14:paraId="4532950C" w14:textId="7BD689E4" w:rsidR="000222C1" w:rsidRDefault="000222C1" w:rsidP="003D0DC8">
      <w:pPr>
        <w:tabs>
          <w:tab w:val="left" w:pos="2394"/>
        </w:tabs>
        <w:rPr>
          <w:rFonts w:cstheme="minorHAnsi"/>
          <w:b/>
        </w:rPr>
      </w:pPr>
    </w:p>
    <w:p w14:paraId="7074D74D" w14:textId="5FC1F180" w:rsidR="00482967" w:rsidRDefault="00482967" w:rsidP="003D0DC8">
      <w:pPr>
        <w:tabs>
          <w:tab w:val="left" w:pos="2394"/>
        </w:tabs>
        <w:rPr>
          <w:rFonts w:cstheme="minorHAnsi"/>
          <w:b/>
        </w:rPr>
      </w:pPr>
    </w:p>
    <w:p w14:paraId="2E5A933E" w14:textId="77777777" w:rsidR="00482967" w:rsidRPr="00D46A7E" w:rsidRDefault="00482967" w:rsidP="003D0DC8">
      <w:pPr>
        <w:tabs>
          <w:tab w:val="left" w:pos="2394"/>
        </w:tabs>
        <w:rPr>
          <w:rFonts w:cstheme="minorHAnsi"/>
          <w:b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1419"/>
        <w:gridCol w:w="3260"/>
        <w:gridCol w:w="2268"/>
        <w:gridCol w:w="4111"/>
      </w:tblGrid>
      <w:tr w:rsidR="003E0EFF" w:rsidRPr="00D46A7E" w14:paraId="1A013707" w14:textId="77777777" w:rsidTr="00A65A2E">
        <w:trPr>
          <w:trHeight w:val="624"/>
        </w:trPr>
        <w:tc>
          <w:tcPr>
            <w:tcW w:w="11058" w:type="dxa"/>
            <w:gridSpan w:val="4"/>
            <w:shd w:val="clear" w:color="auto" w:fill="F2F2F2" w:themeFill="background1" w:themeFillShade="F2"/>
            <w:vAlign w:val="center"/>
          </w:tcPr>
          <w:p w14:paraId="1346B101" w14:textId="10BFB822" w:rsidR="003E0EFF" w:rsidRPr="00D46A7E" w:rsidRDefault="003E0EFF" w:rsidP="00B92B5E">
            <w:pPr>
              <w:tabs>
                <w:tab w:val="left" w:pos="2394"/>
              </w:tabs>
              <w:rPr>
                <w:rFonts w:cstheme="minorHAnsi"/>
                <w:b/>
              </w:rPr>
            </w:pPr>
            <w:r w:rsidRPr="00D46A7E">
              <w:rPr>
                <w:rFonts w:cstheme="minorHAnsi"/>
                <w:b/>
              </w:rPr>
              <w:t>Version control</w:t>
            </w:r>
          </w:p>
        </w:tc>
      </w:tr>
      <w:tr w:rsidR="003E0EFF" w:rsidRPr="00D46A7E" w14:paraId="27F58FD5" w14:textId="77777777" w:rsidTr="0C6B08FD">
        <w:tc>
          <w:tcPr>
            <w:tcW w:w="1419" w:type="dxa"/>
          </w:tcPr>
          <w:p w14:paraId="7A23011D" w14:textId="522D0D52" w:rsidR="003E0EFF" w:rsidRPr="00D46A7E" w:rsidRDefault="003E0EFF" w:rsidP="003E0EFF">
            <w:pPr>
              <w:tabs>
                <w:tab w:val="left" w:pos="2394"/>
              </w:tabs>
              <w:rPr>
                <w:rFonts w:cstheme="minorHAnsi"/>
                <w:b/>
              </w:rPr>
            </w:pPr>
            <w:r w:rsidRPr="00D46A7E">
              <w:rPr>
                <w:rFonts w:cstheme="minorHAnsi"/>
                <w:b/>
              </w:rPr>
              <w:t>Version</w:t>
            </w:r>
          </w:p>
        </w:tc>
        <w:tc>
          <w:tcPr>
            <w:tcW w:w="3260" w:type="dxa"/>
          </w:tcPr>
          <w:p w14:paraId="7B4A165C" w14:textId="425C5E3C" w:rsidR="003E0EFF" w:rsidRPr="00D46A7E" w:rsidRDefault="003E0EFF" w:rsidP="003E0EFF">
            <w:pPr>
              <w:tabs>
                <w:tab w:val="left" w:pos="2394"/>
              </w:tabs>
              <w:rPr>
                <w:rFonts w:cstheme="minorHAnsi"/>
                <w:b/>
              </w:rPr>
            </w:pPr>
            <w:r w:rsidRPr="00D46A7E">
              <w:rPr>
                <w:rFonts w:cstheme="minorHAnsi"/>
                <w:b/>
              </w:rPr>
              <w:t>Amendment made</w:t>
            </w:r>
          </w:p>
        </w:tc>
        <w:tc>
          <w:tcPr>
            <w:tcW w:w="2268" w:type="dxa"/>
          </w:tcPr>
          <w:p w14:paraId="2BEEC03B" w14:textId="41692F58" w:rsidR="003E0EFF" w:rsidRPr="00D46A7E" w:rsidRDefault="003E0EFF" w:rsidP="003E0EFF">
            <w:pPr>
              <w:tabs>
                <w:tab w:val="left" w:pos="2394"/>
              </w:tabs>
              <w:rPr>
                <w:rFonts w:cstheme="minorHAnsi"/>
                <w:b/>
              </w:rPr>
            </w:pPr>
            <w:r w:rsidRPr="00D46A7E">
              <w:rPr>
                <w:rFonts w:cstheme="minorHAnsi"/>
                <w:b/>
              </w:rPr>
              <w:t>Approval date</w:t>
            </w:r>
          </w:p>
        </w:tc>
        <w:tc>
          <w:tcPr>
            <w:tcW w:w="4111" w:type="dxa"/>
          </w:tcPr>
          <w:p w14:paraId="7F6423B0" w14:textId="592F3FDC" w:rsidR="003E0EFF" w:rsidRPr="00D46A7E" w:rsidRDefault="003E0EFF" w:rsidP="003E0EFF">
            <w:pPr>
              <w:tabs>
                <w:tab w:val="left" w:pos="2394"/>
              </w:tabs>
              <w:rPr>
                <w:rFonts w:cstheme="minorHAnsi"/>
                <w:b/>
              </w:rPr>
            </w:pPr>
            <w:r w:rsidRPr="00D46A7E">
              <w:rPr>
                <w:rFonts w:cstheme="minorHAnsi"/>
                <w:b/>
              </w:rPr>
              <w:t>Approved by</w:t>
            </w:r>
          </w:p>
        </w:tc>
      </w:tr>
      <w:tr w:rsidR="003E0EFF" w:rsidRPr="00D46A7E" w14:paraId="27F52E90" w14:textId="77777777" w:rsidTr="0C6B08FD">
        <w:tc>
          <w:tcPr>
            <w:tcW w:w="1419" w:type="dxa"/>
          </w:tcPr>
          <w:p w14:paraId="129BB693" w14:textId="3CC7D4B9" w:rsidR="003E0EFF" w:rsidRPr="00D46A7E" w:rsidRDefault="003E0EFF" w:rsidP="003D0DC8">
            <w:pPr>
              <w:tabs>
                <w:tab w:val="left" w:pos="2394"/>
              </w:tabs>
              <w:rPr>
                <w:rFonts w:cstheme="minorHAnsi"/>
              </w:rPr>
            </w:pPr>
          </w:p>
        </w:tc>
        <w:tc>
          <w:tcPr>
            <w:tcW w:w="3260" w:type="dxa"/>
          </w:tcPr>
          <w:p w14:paraId="58136BCE" w14:textId="6F376FC5" w:rsidR="003E0EFF" w:rsidRPr="00D46A7E" w:rsidRDefault="003E0EFF" w:rsidP="003D0DC8">
            <w:pPr>
              <w:tabs>
                <w:tab w:val="left" w:pos="2394"/>
              </w:tabs>
              <w:rPr>
                <w:rFonts w:cstheme="minorHAnsi"/>
              </w:rPr>
            </w:pPr>
          </w:p>
        </w:tc>
        <w:tc>
          <w:tcPr>
            <w:tcW w:w="2268" w:type="dxa"/>
          </w:tcPr>
          <w:p w14:paraId="7AB7DC5C" w14:textId="22429413" w:rsidR="003E0EFF" w:rsidRPr="00D46A7E" w:rsidRDefault="003E0EFF" w:rsidP="003D0DC8">
            <w:pPr>
              <w:tabs>
                <w:tab w:val="left" w:pos="2394"/>
              </w:tabs>
              <w:rPr>
                <w:rFonts w:cstheme="minorHAnsi"/>
              </w:rPr>
            </w:pPr>
          </w:p>
        </w:tc>
        <w:tc>
          <w:tcPr>
            <w:tcW w:w="4111" w:type="dxa"/>
          </w:tcPr>
          <w:p w14:paraId="5FCEE091" w14:textId="54C19A20" w:rsidR="003E0EFF" w:rsidRPr="00D46A7E" w:rsidRDefault="003E0EFF" w:rsidP="003D0DC8">
            <w:pPr>
              <w:tabs>
                <w:tab w:val="left" w:pos="2394"/>
              </w:tabs>
              <w:rPr>
                <w:rFonts w:cstheme="minorHAnsi"/>
              </w:rPr>
            </w:pPr>
          </w:p>
        </w:tc>
      </w:tr>
      <w:tr w:rsidR="003E0EFF" w:rsidRPr="00D46A7E" w14:paraId="25629646" w14:textId="77777777" w:rsidTr="0C6B08FD">
        <w:tc>
          <w:tcPr>
            <w:tcW w:w="1419" w:type="dxa"/>
          </w:tcPr>
          <w:p w14:paraId="1A2129BD" w14:textId="38326CE2" w:rsidR="003E0EFF" w:rsidRPr="00D46A7E" w:rsidRDefault="003E0EFF" w:rsidP="003D0DC8">
            <w:pPr>
              <w:tabs>
                <w:tab w:val="left" w:pos="2394"/>
              </w:tabs>
              <w:rPr>
                <w:rFonts w:cstheme="minorHAnsi"/>
              </w:rPr>
            </w:pPr>
          </w:p>
        </w:tc>
        <w:tc>
          <w:tcPr>
            <w:tcW w:w="3260" w:type="dxa"/>
          </w:tcPr>
          <w:p w14:paraId="054AFB06" w14:textId="49FADE64" w:rsidR="003E0EFF" w:rsidRPr="00D46A7E" w:rsidRDefault="003E0EFF" w:rsidP="003D0DC8">
            <w:pPr>
              <w:tabs>
                <w:tab w:val="left" w:pos="2394"/>
              </w:tabs>
              <w:rPr>
                <w:rFonts w:cstheme="minorHAnsi"/>
              </w:rPr>
            </w:pPr>
          </w:p>
        </w:tc>
        <w:tc>
          <w:tcPr>
            <w:tcW w:w="2268" w:type="dxa"/>
          </w:tcPr>
          <w:p w14:paraId="288CD3F9" w14:textId="6AEABA52" w:rsidR="003E0EFF" w:rsidRPr="00D46A7E" w:rsidRDefault="003E0EFF" w:rsidP="003D0DC8">
            <w:pPr>
              <w:tabs>
                <w:tab w:val="left" w:pos="2394"/>
              </w:tabs>
              <w:rPr>
                <w:rFonts w:cstheme="minorHAnsi"/>
              </w:rPr>
            </w:pPr>
          </w:p>
        </w:tc>
        <w:tc>
          <w:tcPr>
            <w:tcW w:w="4111" w:type="dxa"/>
          </w:tcPr>
          <w:p w14:paraId="3DACB32D" w14:textId="5938964C" w:rsidR="003E0EFF" w:rsidRPr="00D46A7E" w:rsidRDefault="003E0EFF" w:rsidP="003D0DC8">
            <w:pPr>
              <w:tabs>
                <w:tab w:val="left" w:pos="2394"/>
              </w:tabs>
              <w:rPr>
                <w:rFonts w:cstheme="minorHAnsi"/>
              </w:rPr>
            </w:pPr>
          </w:p>
        </w:tc>
      </w:tr>
      <w:tr w:rsidR="003E0EFF" w:rsidRPr="00D46A7E" w14:paraId="3847FCA0" w14:textId="77777777" w:rsidTr="0C6B08FD">
        <w:tc>
          <w:tcPr>
            <w:tcW w:w="1419" w:type="dxa"/>
          </w:tcPr>
          <w:p w14:paraId="3ECC6B46" w14:textId="2C3566FE" w:rsidR="003E0EFF" w:rsidRPr="00835EBC" w:rsidRDefault="003E0EFF" w:rsidP="0C6B08FD">
            <w:pPr>
              <w:tabs>
                <w:tab w:val="left" w:pos="2394"/>
              </w:tabs>
              <w:spacing w:line="259" w:lineRule="auto"/>
              <w:rPr>
                <w:rFonts w:cstheme="minorHAnsi"/>
              </w:rPr>
            </w:pPr>
          </w:p>
        </w:tc>
        <w:tc>
          <w:tcPr>
            <w:tcW w:w="3260" w:type="dxa"/>
          </w:tcPr>
          <w:p w14:paraId="433C281B" w14:textId="1ACC5714" w:rsidR="003E0EFF" w:rsidRPr="00A65A2E" w:rsidRDefault="003E0EFF" w:rsidP="0C6B08FD">
            <w:pPr>
              <w:tabs>
                <w:tab w:val="left" w:pos="2394"/>
              </w:tabs>
              <w:rPr>
                <w:rFonts w:cstheme="minorHAnsi"/>
              </w:rPr>
            </w:pPr>
          </w:p>
        </w:tc>
        <w:tc>
          <w:tcPr>
            <w:tcW w:w="2268" w:type="dxa"/>
          </w:tcPr>
          <w:p w14:paraId="75DB7F2E" w14:textId="561C67F0" w:rsidR="003E0EFF" w:rsidRPr="00D46A7E" w:rsidRDefault="003E0EFF" w:rsidP="003D0DC8">
            <w:pPr>
              <w:tabs>
                <w:tab w:val="left" w:pos="2394"/>
              </w:tabs>
              <w:rPr>
                <w:rFonts w:cstheme="minorHAnsi"/>
              </w:rPr>
            </w:pPr>
          </w:p>
        </w:tc>
        <w:tc>
          <w:tcPr>
            <w:tcW w:w="4111" w:type="dxa"/>
          </w:tcPr>
          <w:p w14:paraId="00AAECB8" w14:textId="0187E9AE" w:rsidR="003E0EFF" w:rsidRPr="00D46A7E" w:rsidRDefault="003E0EFF" w:rsidP="003D0DC8">
            <w:pPr>
              <w:tabs>
                <w:tab w:val="left" w:pos="2394"/>
              </w:tabs>
              <w:rPr>
                <w:rFonts w:cstheme="minorHAnsi"/>
              </w:rPr>
            </w:pPr>
          </w:p>
        </w:tc>
      </w:tr>
    </w:tbl>
    <w:p w14:paraId="70F21BC7" w14:textId="77777777" w:rsidR="003D0DC8" w:rsidRPr="003D0DC8" w:rsidRDefault="003D0DC8" w:rsidP="003D0DC8">
      <w:pPr>
        <w:tabs>
          <w:tab w:val="left" w:pos="2394"/>
        </w:tabs>
        <w:rPr>
          <w:rFonts w:cstheme="minorHAnsi"/>
        </w:rPr>
      </w:pPr>
    </w:p>
    <w:sectPr w:rsidR="003D0DC8" w:rsidRPr="003D0DC8" w:rsidSect="00A65A2E">
      <w:headerReference w:type="default" r:id="rId22"/>
      <w:footerReference w:type="default" r:id="rId23"/>
      <w:pgSz w:w="11906" w:h="16838"/>
      <w:pgMar w:top="426" w:right="1440" w:bottom="142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3AA52" w14:textId="77777777" w:rsidR="004B0DE5" w:rsidRDefault="004B0DE5" w:rsidP="00490D8B">
      <w:pPr>
        <w:spacing w:after="0" w:line="240" w:lineRule="auto"/>
      </w:pPr>
      <w:r>
        <w:separator/>
      </w:r>
    </w:p>
  </w:endnote>
  <w:endnote w:type="continuationSeparator" w:id="0">
    <w:p w14:paraId="6E046042" w14:textId="77777777" w:rsidR="004B0DE5" w:rsidRDefault="004B0DE5" w:rsidP="00490D8B">
      <w:pPr>
        <w:spacing w:after="0" w:line="240" w:lineRule="auto"/>
      </w:pPr>
      <w:r>
        <w:continuationSeparator/>
      </w:r>
    </w:p>
  </w:endnote>
  <w:endnote w:type="continuationNotice" w:id="1">
    <w:p w14:paraId="0FB50220" w14:textId="77777777" w:rsidR="004B0DE5" w:rsidRDefault="004B0D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8272857"/>
      <w:docPartObj>
        <w:docPartGallery w:val="Page Numbers (Bottom of Page)"/>
        <w:docPartUnique/>
      </w:docPartObj>
    </w:sdtPr>
    <w:sdtContent>
      <w:p w14:paraId="30184137" w14:textId="76D20E86" w:rsidR="009D1603" w:rsidRPr="00490D8B" w:rsidRDefault="006F42DC">
        <w:pPr>
          <w:pStyle w:val="Footer"/>
          <w:jc w:val="right"/>
          <w:rPr>
            <w:color w:val="A6A6A6" w:themeColor="background1" w:themeShade="A6"/>
          </w:rPr>
        </w:pPr>
        <w:r>
          <w:t>January 2022</w:t>
        </w:r>
      </w:p>
      <w:p w14:paraId="195DB905" w14:textId="04C6B0D0" w:rsidR="009D1603" w:rsidRDefault="00000000" w:rsidP="00490D8B">
        <w:pPr>
          <w:pStyle w:val="Footer"/>
          <w:jc w:val="center"/>
        </w:pPr>
        <w:sdt>
          <w:sdtPr>
            <w:rPr>
              <w:color w:val="2B579A"/>
              <w:shd w:val="clear" w:color="auto" w:fill="E6E6E6"/>
            </w:r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color w:val="auto"/>
              <w:shd w:val="clear" w:color="auto" w:fill="auto"/>
            </w:rPr>
          </w:sdtEndPr>
          <w:sdtContent>
            <w:r w:rsidR="009D1603">
              <w:t xml:space="preserve">Page </w:t>
            </w:r>
            <w:r w:rsidR="009D1603"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 w:rsidR="009D1603">
              <w:rPr>
                <w:b/>
                <w:bCs/>
              </w:rPr>
              <w:instrText xml:space="preserve"> PAGE </w:instrText>
            </w:r>
            <w:r w:rsidR="009D1603"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D57BC4">
              <w:rPr>
                <w:b/>
                <w:bCs/>
                <w:noProof/>
              </w:rPr>
              <w:t>3</w:t>
            </w:r>
            <w:r w:rsidR="009D1603"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 w:rsidR="009D1603">
              <w:t xml:space="preserve"> of </w:t>
            </w:r>
            <w:r w:rsidR="009D1603"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 w:rsidR="009D1603">
              <w:rPr>
                <w:b/>
                <w:bCs/>
              </w:rPr>
              <w:instrText xml:space="preserve"> NUMPAGES  </w:instrText>
            </w:r>
            <w:r w:rsidR="009D1603"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D57BC4">
              <w:rPr>
                <w:b/>
                <w:bCs/>
                <w:noProof/>
              </w:rPr>
              <w:t>3</w:t>
            </w:r>
            <w:r w:rsidR="009D1603"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sdtContent>
        </w:sdt>
      </w:p>
    </w:sdtContent>
  </w:sdt>
  <w:p w14:paraId="1A9D0890" w14:textId="77777777" w:rsidR="009D1603" w:rsidRDefault="009D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BED11" w14:textId="77777777" w:rsidR="004B0DE5" w:rsidRDefault="004B0DE5" w:rsidP="00490D8B">
      <w:pPr>
        <w:spacing w:after="0" w:line="240" w:lineRule="auto"/>
      </w:pPr>
      <w:r>
        <w:separator/>
      </w:r>
    </w:p>
  </w:footnote>
  <w:footnote w:type="continuationSeparator" w:id="0">
    <w:p w14:paraId="0BD15A49" w14:textId="77777777" w:rsidR="004B0DE5" w:rsidRDefault="004B0DE5" w:rsidP="00490D8B">
      <w:pPr>
        <w:spacing w:after="0" w:line="240" w:lineRule="auto"/>
      </w:pPr>
      <w:r>
        <w:continuationSeparator/>
      </w:r>
    </w:p>
  </w:footnote>
  <w:footnote w:type="continuationNotice" w:id="1">
    <w:p w14:paraId="724B639E" w14:textId="77777777" w:rsidR="004B0DE5" w:rsidRDefault="004B0DE5">
      <w:pPr>
        <w:spacing w:after="0" w:line="240" w:lineRule="auto"/>
      </w:pPr>
    </w:p>
  </w:footnote>
  <w:footnote w:id="2">
    <w:p w14:paraId="57E685FA" w14:textId="1FA1B668" w:rsidR="00F75700" w:rsidRDefault="00F75700">
      <w:pPr>
        <w:pStyle w:val="FootnoteText"/>
      </w:pPr>
      <w:r>
        <w:rPr>
          <w:rStyle w:val="FootnoteReference"/>
        </w:rPr>
        <w:footnoteRef/>
      </w:r>
      <w:r>
        <w:t xml:space="preserve"> The trading classification workflow supplied in Appendix </w:t>
      </w:r>
      <w:proofErr w:type="gramStart"/>
      <w:r>
        <w:t>1  will</w:t>
      </w:r>
      <w:proofErr w:type="gramEnd"/>
      <w:r>
        <w:t xml:space="preserve"> assist determining the trading purpose, if you are unsure of which category your activity falls under than please contact your Finance Business Partner or the Tax Team in Finance.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B549E" w14:textId="2D1FEF20" w:rsidR="009D1603" w:rsidRDefault="009D1603">
    <w:pPr>
      <w:pStyle w:val="Header"/>
    </w:pPr>
  </w:p>
  <w:p w14:paraId="1CC5D149" w14:textId="77777777" w:rsidR="009D1603" w:rsidRDefault="009D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35CC"/>
    <w:multiLevelType w:val="hybridMultilevel"/>
    <w:tmpl w:val="1E9A80AA"/>
    <w:lvl w:ilvl="0" w:tplc="4AE48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2163D"/>
    <w:multiLevelType w:val="hybridMultilevel"/>
    <w:tmpl w:val="004E1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D17BC"/>
    <w:multiLevelType w:val="hybridMultilevel"/>
    <w:tmpl w:val="9C6C89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C6B04"/>
    <w:multiLevelType w:val="hybridMultilevel"/>
    <w:tmpl w:val="71B6C5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6785C"/>
    <w:multiLevelType w:val="hybridMultilevel"/>
    <w:tmpl w:val="C96CEC98"/>
    <w:lvl w:ilvl="0" w:tplc="01FED1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1105E"/>
    <w:multiLevelType w:val="hybridMultilevel"/>
    <w:tmpl w:val="5022A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B2197"/>
    <w:multiLevelType w:val="hybridMultilevel"/>
    <w:tmpl w:val="D0D2A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E0B26"/>
    <w:multiLevelType w:val="hybridMultilevel"/>
    <w:tmpl w:val="41164916"/>
    <w:lvl w:ilvl="0" w:tplc="5F245766">
      <w:start w:val="4"/>
      <w:numFmt w:val="decimal"/>
      <w:lvlText w:val="%1"/>
      <w:lvlJc w:val="left"/>
      <w:pPr>
        <w:ind w:left="1080" w:hanging="360"/>
      </w:pPr>
      <w:rPr>
        <w:rFonts w:cstheme="min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0614BD"/>
    <w:multiLevelType w:val="hybridMultilevel"/>
    <w:tmpl w:val="EB1C2A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412F8"/>
    <w:multiLevelType w:val="hybridMultilevel"/>
    <w:tmpl w:val="F336E62E"/>
    <w:lvl w:ilvl="0" w:tplc="77B03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D749F"/>
    <w:multiLevelType w:val="hybridMultilevel"/>
    <w:tmpl w:val="725EF8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A4D1B"/>
    <w:multiLevelType w:val="hybridMultilevel"/>
    <w:tmpl w:val="B136F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74D10"/>
    <w:multiLevelType w:val="hybridMultilevel"/>
    <w:tmpl w:val="61D6D8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F220D6"/>
    <w:multiLevelType w:val="hybridMultilevel"/>
    <w:tmpl w:val="DE7496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03E19"/>
    <w:multiLevelType w:val="hybridMultilevel"/>
    <w:tmpl w:val="EF4AA3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C6197"/>
    <w:multiLevelType w:val="hybridMultilevel"/>
    <w:tmpl w:val="6CD24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8769E"/>
    <w:multiLevelType w:val="hybridMultilevel"/>
    <w:tmpl w:val="77F21620"/>
    <w:lvl w:ilvl="0" w:tplc="4AE48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5809916">
    <w:abstractNumId w:val="13"/>
  </w:num>
  <w:num w:numId="2" w16cid:durableId="1954941182">
    <w:abstractNumId w:val="1"/>
  </w:num>
  <w:num w:numId="3" w16cid:durableId="592594963">
    <w:abstractNumId w:val="8"/>
  </w:num>
  <w:num w:numId="4" w16cid:durableId="400755592">
    <w:abstractNumId w:val="4"/>
  </w:num>
  <w:num w:numId="5" w16cid:durableId="681736965">
    <w:abstractNumId w:val="2"/>
  </w:num>
  <w:num w:numId="6" w16cid:durableId="1605839514">
    <w:abstractNumId w:val="16"/>
  </w:num>
  <w:num w:numId="7" w16cid:durableId="339233588">
    <w:abstractNumId w:val="11"/>
  </w:num>
  <w:num w:numId="8" w16cid:durableId="479929875">
    <w:abstractNumId w:val="0"/>
  </w:num>
  <w:num w:numId="9" w16cid:durableId="491217591">
    <w:abstractNumId w:val="7"/>
  </w:num>
  <w:num w:numId="10" w16cid:durableId="990597902">
    <w:abstractNumId w:val="9"/>
  </w:num>
  <w:num w:numId="11" w16cid:durableId="1729110909">
    <w:abstractNumId w:val="5"/>
  </w:num>
  <w:num w:numId="12" w16cid:durableId="1306855956">
    <w:abstractNumId w:val="14"/>
  </w:num>
  <w:num w:numId="13" w16cid:durableId="1237016295">
    <w:abstractNumId w:val="12"/>
  </w:num>
  <w:num w:numId="14" w16cid:durableId="1873347071">
    <w:abstractNumId w:val="3"/>
  </w:num>
  <w:num w:numId="15" w16cid:durableId="164630331">
    <w:abstractNumId w:val="10"/>
  </w:num>
  <w:num w:numId="16" w16cid:durableId="1175848157">
    <w:abstractNumId w:val="15"/>
  </w:num>
  <w:num w:numId="17" w16cid:durableId="769934796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Y0NgcCExMTAzNjIyUdpeDU4uLM/DyQAuNaAA7mN5ssAAAA"/>
  </w:docVars>
  <w:rsids>
    <w:rsidRoot w:val="00143F31"/>
    <w:rsid w:val="000008DE"/>
    <w:rsid w:val="000122A2"/>
    <w:rsid w:val="00014985"/>
    <w:rsid w:val="000222C1"/>
    <w:rsid w:val="00022CB6"/>
    <w:rsid w:val="00030E17"/>
    <w:rsid w:val="0003141E"/>
    <w:rsid w:val="00032CFE"/>
    <w:rsid w:val="00037F19"/>
    <w:rsid w:val="00044C4A"/>
    <w:rsid w:val="000645D2"/>
    <w:rsid w:val="00065ADA"/>
    <w:rsid w:val="00066095"/>
    <w:rsid w:val="00072210"/>
    <w:rsid w:val="000730A3"/>
    <w:rsid w:val="000867FF"/>
    <w:rsid w:val="00087610"/>
    <w:rsid w:val="00090529"/>
    <w:rsid w:val="00094216"/>
    <w:rsid w:val="00094860"/>
    <w:rsid w:val="00095EBC"/>
    <w:rsid w:val="000978CE"/>
    <w:rsid w:val="000A0523"/>
    <w:rsid w:val="000A150A"/>
    <w:rsid w:val="000A20EB"/>
    <w:rsid w:val="000A266B"/>
    <w:rsid w:val="000A59A2"/>
    <w:rsid w:val="000A6EA7"/>
    <w:rsid w:val="000B32EE"/>
    <w:rsid w:val="000B3C1D"/>
    <w:rsid w:val="000B7FAA"/>
    <w:rsid w:val="000C0B94"/>
    <w:rsid w:val="000D6A8F"/>
    <w:rsid w:val="000E596E"/>
    <w:rsid w:val="000F757F"/>
    <w:rsid w:val="00100B17"/>
    <w:rsid w:val="001026DC"/>
    <w:rsid w:val="00103EBC"/>
    <w:rsid w:val="0010579C"/>
    <w:rsid w:val="00107E11"/>
    <w:rsid w:val="001164AB"/>
    <w:rsid w:val="001167E0"/>
    <w:rsid w:val="00121691"/>
    <w:rsid w:val="001226F5"/>
    <w:rsid w:val="001251F2"/>
    <w:rsid w:val="00130B67"/>
    <w:rsid w:val="00135EB6"/>
    <w:rsid w:val="00136CCF"/>
    <w:rsid w:val="00137002"/>
    <w:rsid w:val="00141CF1"/>
    <w:rsid w:val="00143F31"/>
    <w:rsid w:val="00144953"/>
    <w:rsid w:val="00150917"/>
    <w:rsid w:val="00151252"/>
    <w:rsid w:val="001512AD"/>
    <w:rsid w:val="00156F66"/>
    <w:rsid w:val="001640ED"/>
    <w:rsid w:val="00165859"/>
    <w:rsid w:val="00176009"/>
    <w:rsid w:val="001776D1"/>
    <w:rsid w:val="00192D41"/>
    <w:rsid w:val="001A2D74"/>
    <w:rsid w:val="001A54AB"/>
    <w:rsid w:val="001A59C5"/>
    <w:rsid w:val="001B0A87"/>
    <w:rsid w:val="001B29EA"/>
    <w:rsid w:val="001B4CF3"/>
    <w:rsid w:val="001BB971"/>
    <w:rsid w:val="001C3E51"/>
    <w:rsid w:val="001C5133"/>
    <w:rsid w:val="001D3632"/>
    <w:rsid w:val="001E0DDD"/>
    <w:rsid w:val="001E428B"/>
    <w:rsid w:val="001E6024"/>
    <w:rsid w:val="001F04B1"/>
    <w:rsid w:val="001F082F"/>
    <w:rsid w:val="001F1603"/>
    <w:rsid w:val="001F4423"/>
    <w:rsid w:val="001F5A99"/>
    <w:rsid w:val="00200758"/>
    <w:rsid w:val="002017F8"/>
    <w:rsid w:val="00201934"/>
    <w:rsid w:val="00201D8B"/>
    <w:rsid w:val="0020282C"/>
    <w:rsid w:val="002127B7"/>
    <w:rsid w:val="00221BE7"/>
    <w:rsid w:val="00233DFE"/>
    <w:rsid w:val="00240B17"/>
    <w:rsid w:val="00241771"/>
    <w:rsid w:val="00241BAB"/>
    <w:rsid w:val="00241DBC"/>
    <w:rsid w:val="00241FBD"/>
    <w:rsid w:val="00244FFE"/>
    <w:rsid w:val="00246158"/>
    <w:rsid w:val="00246839"/>
    <w:rsid w:val="00246BEE"/>
    <w:rsid w:val="002518F4"/>
    <w:rsid w:val="00253284"/>
    <w:rsid w:val="002638A1"/>
    <w:rsid w:val="00267DED"/>
    <w:rsid w:val="002817EF"/>
    <w:rsid w:val="002824CC"/>
    <w:rsid w:val="00295D85"/>
    <w:rsid w:val="002A0D31"/>
    <w:rsid w:val="002A50AD"/>
    <w:rsid w:val="002B2FB6"/>
    <w:rsid w:val="002B5A38"/>
    <w:rsid w:val="002C036F"/>
    <w:rsid w:val="002C24B2"/>
    <w:rsid w:val="002C76C0"/>
    <w:rsid w:val="002E1DDA"/>
    <w:rsid w:val="002E381E"/>
    <w:rsid w:val="002E3AAA"/>
    <w:rsid w:val="002E6934"/>
    <w:rsid w:val="002E6DAE"/>
    <w:rsid w:val="002F04B5"/>
    <w:rsid w:val="002F2CB7"/>
    <w:rsid w:val="003024A0"/>
    <w:rsid w:val="00302F86"/>
    <w:rsid w:val="00307861"/>
    <w:rsid w:val="0031246B"/>
    <w:rsid w:val="00316C96"/>
    <w:rsid w:val="00321E04"/>
    <w:rsid w:val="00326315"/>
    <w:rsid w:val="003310E5"/>
    <w:rsid w:val="0033172D"/>
    <w:rsid w:val="00342096"/>
    <w:rsid w:val="003439D1"/>
    <w:rsid w:val="003454BC"/>
    <w:rsid w:val="0034769C"/>
    <w:rsid w:val="00352BD2"/>
    <w:rsid w:val="003552F4"/>
    <w:rsid w:val="00362C31"/>
    <w:rsid w:val="0037578C"/>
    <w:rsid w:val="00380BE8"/>
    <w:rsid w:val="003824B5"/>
    <w:rsid w:val="0038647A"/>
    <w:rsid w:val="00395E74"/>
    <w:rsid w:val="003A447F"/>
    <w:rsid w:val="003B4113"/>
    <w:rsid w:val="003B425F"/>
    <w:rsid w:val="003B4644"/>
    <w:rsid w:val="003C3AB8"/>
    <w:rsid w:val="003C72FB"/>
    <w:rsid w:val="003D0DC8"/>
    <w:rsid w:val="003D4DF8"/>
    <w:rsid w:val="003D58AF"/>
    <w:rsid w:val="003E0EFF"/>
    <w:rsid w:val="003E59B8"/>
    <w:rsid w:val="00411C07"/>
    <w:rsid w:val="004226DC"/>
    <w:rsid w:val="00422DE6"/>
    <w:rsid w:val="00425250"/>
    <w:rsid w:val="00426C63"/>
    <w:rsid w:val="00433096"/>
    <w:rsid w:val="00433D90"/>
    <w:rsid w:val="00435280"/>
    <w:rsid w:val="004357BB"/>
    <w:rsid w:val="00436C48"/>
    <w:rsid w:val="00440977"/>
    <w:rsid w:val="004474C4"/>
    <w:rsid w:val="004522CF"/>
    <w:rsid w:val="0045674B"/>
    <w:rsid w:val="00457C61"/>
    <w:rsid w:val="00465374"/>
    <w:rsid w:val="00482967"/>
    <w:rsid w:val="0048661C"/>
    <w:rsid w:val="0049097E"/>
    <w:rsid w:val="00490D8B"/>
    <w:rsid w:val="004A5FFF"/>
    <w:rsid w:val="004B0DE5"/>
    <w:rsid w:val="004B2CA8"/>
    <w:rsid w:val="004B3AC8"/>
    <w:rsid w:val="004B41C8"/>
    <w:rsid w:val="004C3D96"/>
    <w:rsid w:val="004D3EF6"/>
    <w:rsid w:val="004D4EF0"/>
    <w:rsid w:val="004E244A"/>
    <w:rsid w:val="004E5A80"/>
    <w:rsid w:val="004F1693"/>
    <w:rsid w:val="004F6F1D"/>
    <w:rsid w:val="00501745"/>
    <w:rsid w:val="00512057"/>
    <w:rsid w:val="00514AD9"/>
    <w:rsid w:val="0051560D"/>
    <w:rsid w:val="005159F7"/>
    <w:rsid w:val="005222B7"/>
    <w:rsid w:val="005263C4"/>
    <w:rsid w:val="005328BF"/>
    <w:rsid w:val="00541F3C"/>
    <w:rsid w:val="00545066"/>
    <w:rsid w:val="00546566"/>
    <w:rsid w:val="00561008"/>
    <w:rsid w:val="00562F0E"/>
    <w:rsid w:val="005634D1"/>
    <w:rsid w:val="00563D36"/>
    <w:rsid w:val="00582D1C"/>
    <w:rsid w:val="0059591A"/>
    <w:rsid w:val="005A24C0"/>
    <w:rsid w:val="005A2551"/>
    <w:rsid w:val="005A2BF7"/>
    <w:rsid w:val="005A6A2E"/>
    <w:rsid w:val="005B3FB2"/>
    <w:rsid w:val="005B5222"/>
    <w:rsid w:val="005B5F8D"/>
    <w:rsid w:val="005B7799"/>
    <w:rsid w:val="005C43A8"/>
    <w:rsid w:val="005C4A83"/>
    <w:rsid w:val="005C56A5"/>
    <w:rsid w:val="005D6F3B"/>
    <w:rsid w:val="005E20DE"/>
    <w:rsid w:val="005E34A2"/>
    <w:rsid w:val="005F0868"/>
    <w:rsid w:val="005F10E4"/>
    <w:rsid w:val="005F2459"/>
    <w:rsid w:val="00605CD4"/>
    <w:rsid w:val="00606868"/>
    <w:rsid w:val="00610CFA"/>
    <w:rsid w:val="0061276F"/>
    <w:rsid w:val="00624014"/>
    <w:rsid w:val="006276AD"/>
    <w:rsid w:val="006334DB"/>
    <w:rsid w:val="0064113A"/>
    <w:rsid w:val="00642778"/>
    <w:rsid w:val="006555AC"/>
    <w:rsid w:val="00660ADA"/>
    <w:rsid w:val="006622C2"/>
    <w:rsid w:val="0066744A"/>
    <w:rsid w:val="00670CDE"/>
    <w:rsid w:val="0067138B"/>
    <w:rsid w:val="00676BEC"/>
    <w:rsid w:val="00676C89"/>
    <w:rsid w:val="00690587"/>
    <w:rsid w:val="006966F0"/>
    <w:rsid w:val="00696C91"/>
    <w:rsid w:val="00696FED"/>
    <w:rsid w:val="006A11EF"/>
    <w:rsid w:val="006A694D"/>
    <w:rsid w:val="006B0CF5"/>
    <w:rsid w:val="006C04D7"/>
    <w:rsid w:val="006D1A63"/>
    <w:rsid w:val="006D1EB2"/>
    <w:rsid w:val="006E019A"/>
    <w:rsid w:val="006E2922"/>
    <w:rsid w:val="006E3631"/>
    <w:rsid w:val="006E3AA6"/>
    <w:rsid w:val="006F3DE4"/>
    <w:rsid w:val="006F42DC"/>
    <w:rsid w:val="006F455F"/>
    <w:rsid w:val="006F63FA"/>
    <w:rsid w:val="00700D74"/>
    <w:rsid w:val="00704B4A"/>
    <w:rsid w:val="00704FFF"/>
    <w:rsid w:val="00714CCB"/>
    <w:rsid w:val="00721CB5"/>
    <w:rsid w:val="00727A3F"/>
    <w:rsid w:val="007416AF"/>
    <w:rsid w:val="0074428C"/>
    <w:rsid w:val="00744385"/>
    <w:rsid w:val="00752681"/>
    <w:rsid w:val="00756419"/>
    <w:rsid w:val="00757D10"/>
    <w:rsid w:val="00761599"/>
    <w:rsid w:val="00761B68"/>
    <w:rsid w:val="00764149"/>
    <w:rsid w:val="007651E7"/>
    <w:rsid w:val="007705EA"/>
    <w:rsid w:val="007714A2"/>
    <w:rsid w:val="00781070"/>
    <w:rsid w:val="00785367"/>
    <w:rsid w:val="00787AC5"/>
    <w:rsid w:val="00793B38"/>
    <w:rsid w:val="007A2C80"/>
    <w:rsid w:val="007B189A"/>
    <w:rsid w:val="007B25D3"/>
    <w:rsid w:val="007B45BD"/>
    <w:rsid w:val="007C0FC8"/>
    <w:rsid w:val="007C1D8D"/>
    <w:rsid w:val="007C1DEB"/>
    <w:rsid w:val="007C6359"/>
    <w:rsid w:val="007D11E8"/>
    <w:rsid w:val="007D1548"/>
    <w:rsid w:val="007D25EB"/>
    <w:rsid w:val="007D3C4B"/>
    <w:rsid w:val="007F443C"/>
    <w:rsid w:val="007F4958"/>
    <w:rsid w:val="007F5642"/>
    <w:rsid w:val="008042A5"/>
    <w:rsid w:val="008073F1"/>
    <w:rsid w:val="008117E4"/>
    <w:rsid w:val="00813C87"/>
    <w:rsid w:val="00813ED3"/>
    <w:rsid w:val="00820EA2"/>
    <w:rsid w:val="008215A1"/>
    <w:rsid w:val="008274F5"/>
    <w:rsid w:val="00831228"/>
    <w:rsid w:val="0083460E"/>
    <w:rsid w:val="0083478A"/>
    <w:rsid w:val="00835EBC"/>
    <w:rsid w:val="00840800"/>
    <w:rsid w:val="008411D2"/>
    <w:rsid w:val="00846781"/>
    <w:rsid w:val="00862E59"/>
    <w:rsid w:val="00865F60"/>
    <w:rsid w:val="00866595"/>
    <w:rsid w:val="00870FCC"/>
    <w:rsid w:val="00885CF2"/>
    <w:rsid w:val="00886081"/>
    <w:rsid w:val="00886577"/>
    <w:rsid w:val="00886783"/>
    <w:rsid w:val="00887080"/>
    <w:rsid w:val="008905CF"/>
    <w:rsid w:val="00890CBC"/>
    <w:rsid w:val="008945F5"/>
    <w:rsid w:val="008951B4"/>
    <w:rsid w:val="00897090"/>
    <w:rsid w:val="00897D70"/>
    <w:rsid w:val="008A3D98"/>
    <w:rsid w:val="008A5ECF"/>
    <w:rsid w:val="008B05AD"/>
    <w:rsid w:val="008B78B3"/>
    <w:rsid w:val="008C5ABB"/>
    <w:rsid w:val="008D2AE4"/>
    <w:rsid w:val="008E37B7"/>
    <w:rsid w:val="008F0537"/>
    <w:rsid w:val="008F086F"/>
    <w:rsid w:val="008F6EC3"/>
    <w:rsid w:val="00905424"/>
    <w:rsid w:val="0091061C"/>
    <w:rsid w:val="009159AF"/>
    <w:rsid w:val="009263D3"/>
    <w:rsid w:val="00934D52"/>
    <w:rsid w:val="0094338C"/>
    <w:rsid w:val="009479E5"/>
    <w:rsid w:val="00952102"/>
    <w:rsid w:val="0095762F"/>
    <w:rsid w:val="00964255"/>
    <w:rsid w:val="0098329D"/>
    <w:rsid w:val="009865CA"/>
    <w:rsid w:val="00991639"/>
    <w:rsid w:val="009B6708"/>
    <w:rsid w:val="009B7351"/>
    <w:rsid w:val="009C14AD"/>
    <w:rsid w:val="009C5DCF"/>
    <w:rsid w:val="009C5F9C"/>
    <w:rsid w:val="009C7FF5"/>
    <w:rsid w:val="009D0605"/>
    <w:rsid w:val="009D1603"/>
    <w:rsid w:val="009D36FB"/>
    <w:rsid w:val="00A003E8"/>
    <w:rsid w:val="00A006FA"/>
    <w:rsid w:val="00A06F61"/>
    <w:rsid w:val="00A15942"/>
    <w:rsid w:val="00A254A5"/>
    <w:rsid w:val="00A25550"/>
    <w:rsid w:val="00A25BB6"/>
    <w:rsid w:val="00A27286"/>
    <w:rsid w:val="00A344EF"/>
    <w:rsid w:val="00A36483"/>
    <w:rsid w:val="00A42BD8"/>
    <w:rsid w:val="00A44F3A"/>
    <w:rsid w:val="00A46AB4"/>
    <w:rsid w:val="00A50652"/>
    <w:rsid w:val="00A57B6D"/>
    <w:rsid w:val="00A61E10"/>
    <w:rsid w:val="00A651D7"/>
    <w:rsid w:val="00A65A2E"/>
    <w:rsid w:val="00A65DD7"/>
    <w:rsid w:val="00A66BBD"/>
    <w:rsid w:val="00A72D62"/>
    <w:rsid w:val="00A741B2"/>
    <w:rsid w:val="00A7609B"/>
    <w:rsid w:val="00A801CA"/>
    <w:rsid w:val="00A81057"/>
    <w:rsid w:val="00A85120"/>
    <w:rsid w:val="00A87366"/>
    <w:rsid w:val="00A91D66"/>
    <w:rsid w:val="00A95315"/>
    <w:rsid w:val="00AA0A2D"/>
    <w:rsid w:val="00AA110D"/>
    <w:rsid w:val="00AA1A55"/>
    <w:rsid w:val="00AA7EBE"/>
    <w:rsid w:val="00AB0BB8"/>
    <w:rsid w:val="00AB1E90"/>
    <w:rsid w:val="00AB256B"/>
    <w:rsid w:val="00AC2D6F"/>
    <w:rsid w:val="00AD0A1B"/>
    <w:rsid w:val="00AD13E9"/>
    <w:rsid w:val="00AD65CE"/>
    <w:rsid w:val="00AE1AC6"/>
    <w:rsid w:val="00AE4102"/>
    <w:rsid w:val="00AE4FB2"/>
    <w:rsid w:val="00AE5907"/>
    <w:rsid w:val="00AE6748"/>
    <w:rsid w:val="00B064DB"/>
    <w:rsid w:val="00B07B1D"/>
    <w:rsid w:val="00B1125D"/>
    <w:rsid w:val="00B13BA0"/>
    <w:rsid w:val="00B156A1"/>
    <w:rsid w:val="00B22DC0"/>
    <w:rsid w:val="00B33B85"/>
    <w:rsid w:val="00B37E5F"/>
    <w:rsid w:val="00B451A8"/>
    <w:rsid w:val="00B5187F"/>
    <w:rsid w:val="00B51E17"/>
    <w:rsid w:val="00B60CD3"/>
    <w:rsid w:val="00B6225B"/>
    <w:rsid w:val="00B67585"/>
    <w:rsid w:val="00B701F0"/>
    <w:rsid w:val="00B728D8"/>
    <w:rsid w:val="00B75B82"/>
    <w:rsid w:val="00B83F77"/>
    <w:rsid w:val="00B86AA4"/>
    <w:rsid w:val="00B878FE"/>
    <w:rsid w:val="00B92B5E"/>
    <w:rsid w:val="00B939EA"/>
    <w:rsid w:val="00BA0BD2"/>
    <w:rsid w:val="00BA1D3D"/>
    <w:rsid w:val="00BA245E"/>
    <w:rsid w:val="00BB556B"/>
    <w:rsid w:val="00BC0EE1"/>
    <w:rsid w:val="00BC204B"/>
    <w:rsid w:val="00BC6A94"/>
    <w:rsid w:val="00BD2B8E"/>
    <w:rsid w:val="00BE1A7C"/>
    <w:rsid w:val="00BE7C1D"/>
    <w:rsid w:val="00BF0399"/>
    <w:rsid w:val="00BF2E89"/>
    <w:rsid w:val="00BF30D2"/>
    <w:rsid w:val="00C038C8"/>
    <w:rsid w:val="00C03A64"/>
    <w:rsid w:val="00C05C0C"/>
    <w:rsid w:val="00C20710"/>
    <w:rsid w:val="00C208E5"/>
    <w:rsid w:val="00C22C0B"/>
    <w:rsid w:val="00C24FBD"/>
    <w:rsid w:val="00C407A7"/>
    <w:rsid w:val="00C52B08"/>
    <w:rsid w:val="00C53DC3"/>
    <w:rsid w:val="00C57C8A"/>
    <w:rsid w:val="00C61580"/>
    <w:rsid w:val="00C636D5"/>
    <w:rsid w:val="00C645E9"/>
    <w:rsid w:val="00C67349"/>
    <w:rsid w:val="00C67BEA"/>
    <w:rsid w:val="00C70AC6"/>
    <w:rsid w:val="00C71701"/>
    <w:rsid w:val="00C94757"/>
    <w:rsid w:val="00C94D1F"/>
    <w:rsid w:val="00CA2B45"/>
    <w:rsid w:val="00CB105F"/>
    <w:rsid w:val="00CB6A68"/>
    <w:rsid w:val="00CC337D"/>
    <w:rsid w:val="00CC55A2"/>
    <w:rsid w:val="00CD164C"/>
    <w:rsid w:val="00CD3B04"/>
    <w:rsid w:val="00CE160B"/>
    <w:rsid w:val="00CE34AC"/>
    <w:rsid w:val="00CE4111"/>
    <w:rsid w:val="00D00156"/>
    <w:rsid w:val="00D00A85"/>
    <w:rsid w:val="00D00D6B"/>
    <w:rsid w:val="00D01B25"/>
    <w:rsid w:val="00D04A66"/>
    <w:rsid w:val="00D1165E"/>
    <w:rsid w:val="00D14FDF"/>
    <w:rsid w:val="00D154CC"/>
    <w:rsid w:val="00D1615A"/>
    <w:rsid w:val="00D2599F"/>
    <w:rsid w:val="00D26749"/>
    <w:rsid w:val="00D32E5F"/>
    <w:rsid w:val="00D403D6"/>
    <w:rsid w:val="00D42C42"/>
    <w:rsid w:val="00D446CC"/>
    <w:rsid w:val="00D46A7E"/>
    <w:rsid w:val="00D55C7A"/>
    <w:rsid w:val="00D565DF"/>
    <w:rsid w:val="00D5704A"/>
    <w:rsid w:val="00D57BC4"/>
    <w:rsid w:val="00D63E26"/>
    <w:rsid w:val="00D6490F"/>
    <w:rsid w:val="00D6793C"/>
    <w:rsid w:val="00D73687"/>
    <w:rsid w:val="00D73836"/>
    <w:rsid w:val="00D768C0"/>
    <w:rsid w:val="00D76C72"/>
    <w:rsid w:val="00D81A31"/>
    <w:rsid w:val="00D90ED2"/>
    <w:rsid w:val="00D91909"/>
    <w:rsid w:val="00D928A9"/>
    <w:rsid w:val="00D93880"/>
    <w:rsid w:val="00D93C42"/>
    <w:rsid w:val="00D942A9"/>
    <w:rsid w:val="00D94E02"/>
    <w:rsid w:val="00D955F6"/>
    <w:rsid w:val="00DA0D0D"/>
    <w:rsid w:val="00DA0D9F"/>
    <w:rsid w:val="00DA3D6E"/>
    <w:rsid w:val="00DB14BD"/>
    <w:rsid w:val="00DC4089"/>
    <w:rsid w:val="00DC5A4C"/>
    <w:rsid w:val="00DC6A4B"/>
    <w:rsid w:val="00DD2FD5"/>
    <w:rsid w:val="00DD7345"/>
    <w:rsid w:val="00DD7D3E"/>
    <w:rsid w:val="00DE5016"/>
    <w:rsid w:val="00DE5B26"/>
    <w:rsid w:val="00DE62DC"/>
    <w:rsid w:val="00DE7A0D"/>
    <w:rsid w:val="00DF1B24"/>
    <w:rsid w:val="00DF450C"/>
    <w:rsid w:val="00DF6614"/>
    <w:rsid w:val="00DF67C6"/>
    <w:rsid w:val="00E13A7F"/>
    <w:rsid w:val="00E24A01"/>
    <w:rsid w:val="00E26BE0"/>
    <w:rsid w:val="00E27C38"/>
    <w:rsid w:val="00E3130E"/>
    <w:rsid w:val="00E31AB4"/>
    <w:rsid w:val="00E42035"/>
    <w:rsid w:val="00E438EB"/>
    <w:rsid w:val="00E52A89"/>
    <w:rsid w:val="00E540AB"/>
    <w:rsid w:val="00E64E9F"/>
    <w:rsid w:val="00E66888"/>
    <w:rsid w:val="00E67CB4"/>
    <w:rsid w:val="00E71A09"/>
    <w:rsid w:val="00E721A0"/>
    <w:rsid w:val="00E74FB1"/>
    <w:rsid w:val="00E753FB"/>
    <w:rsid w:val="00E82534"/>
    <w:rsid w:val="00E94C63"/>
    <w:rsid w:val="00EA3D6F"/>
    <w:rsid w:val="00EB4857"/>
    <w:rsid w:val="00EB5E52"/>
    <w:rsid w:val="00EC1B67"/>
    <w:rsid w:val="00EC1BF2"/>
    <w:rsid w:val="00ED33F6"/>
    <w:rsid w:val="00ED5263"/>
    <w:rsid w:val="00EE48EE"/>
    <w:rsid w:val="00EE6C47"/>
    <w:rsid w:val="00EF2540"/>
    <w:rsid w:val="00EF29AD"/>
    <w:rsid w:val="00EF6CA6"/>
    <w:rsid w:val="00F03893"/>
    <w:rsid w:val="00F072E3"/>
    <w:rsid w:val="00F11B9E"/>
    <w:rsid w:val="00F13207"/>
    <w:rsid w:val="00F17026"/>
    <w:rsid w:val="00F266E4"/>
    <w:rsid w:val="00F41FCF"/>
    <w:rsid w:val="00F4212D"/>
    <w:rsid w:val="00F42255"/>
    <w:rsid w:val="00F4417F"/>
    <w:rsid w:val="00F46076"/>
    <w:rsid w:val="00F5066F"/>
    <w:rsid w:val="00F50E4F"/>
    <w:rsid w:val="00F5131A"/>
    <w:rsid w:val="00F51B47"/>
    <w:rsid w:val="00F55FBB"/>
    <w:rsid w:val="00F57BF7"/>
    <w:rsid w:val="00F62CF6"/>
    <w:rsid w:val="00F713AA"/>
    <w:rsid w:val="00F75700"/>
    <w:rsid w:val="00F758EF"/>
    <w:rsid w:val="00F82A61"/>
    <w:rsid w:val="00F87099"/>
    <w:rsid w:val="00F900B5"/>
    <w:rsid w:val="00F92F66"/>
    <w:rsid w:val="00FA3135"/>
    <w:rsid w:val="00FB315E"/>
    <w:rsid w:val="00FC02CF"/>
    <w:rsid w:val="00FC63D6"/>
    <w:rsid w:val="00FC7016"/>
    <w:rsid w:val="00FD1542"/>
    <w:rsid w:val="00FE2A24"/>
    <w:rsid w:val="00FE6E95"/>
    <w:rsid w:val="00FF0501"/>
    <w:rsid w:val="01277C52"/>
    <w:rsid w:val="012EAAFD"/>
    <w:rsid w:val="013E85F4"/>
    <w:rsid w:val="01BFA861"/>
    <w:rsid w:val="03DCE48B"/>
    <w:rsid w:val="042A5E5C"/>
    <w:rsid w:val="047C5BAC"/>
    <w:rsid w:val="047CB27B"/>
    <w:rsid w:val="060F3AF9"/>
    <w:rsid w:val="06153D7C"/>
    <w:rsid w:val="06183F44"/>
    <w:rsid w:val="0671D3BD"/>
    <w:rsid w:val="0842996E"/>
    <w:rsid w:val="099394CE"/>
    <w:rsid w:val="0A78FD6D"/>
    <w:rsid w:val="0B53CD53"/>
    <w:rsid w:val="0BE730D8"/>
    <w:rsid w:val="0C23143C"/>
    <w:rsid w:val="0C6B08FD"/>
    <w:rsid w:val="0DC635A9"/>
    <w:rsid w:val="0E382743"/>
    <w:rsid w:val="0E76E700"/>
    <w:rsid w:val="0F629C09"/>
    <w:rsid w:val="0F765942"/>
    <w:rsid w:val="0FA60867"/>
    <w:rsid w:val="139745C8"/>
    <w:rsid w:val="13CDF5C2"/>
    <w:rsid w:val="14248BC1"/>
    <w:rsid w:val="144D0FFA"/>
    <w:rsid w:val="148AC47A"/>
    <w:rsid w:val="14CD0027"/>
    <w:rsid w:val="155568F2"/>
    <w:rsid w:val="156CF241"/>
    <w:rsid w:val="15F6E642"/>
    <w:rsid w:val="170140E1"/>
    <w:rsid w:val="17226348"/>
    <w:rsid w:val="1728C005"/>
    <w:rsid w:val="17343B61"/>
    <w:rsid w:val="176221CC"/>
    <w:rsid w:val="1898596E"/>
    <w:rsid w:val="18FE361F"/>
    <w:rsid w:val="190AB8CD"/>
    <w:rsid w:val="193867EE"/>
    <w:rsid w:val="197ADE80"/>
    <w:rsid w:val="19FA40BD"/>
    <w:rsid w:val="1BB0F832"/>
    <w:rsid w:val="1BF933EF"/>
    <w:rsid w:val="1C2EC33C"/>
    <w:rsid w:val="1C6B3C84"/>
    <w:rsid w:val="1C9C878F"/>
    <w:rsid w:val="1D37C6B1"/>
    <w:rsid w:val="1E52B571"/>
    <w:rsid w:val="1E90F34F"/>
    <w:rsid w:val="1EE19A82"/>
    <w:rsid w:val="1F98AA41"/>
    <w:rsid w:val="20BCD00D"/>
    <w:rsid w:val="2162FC15"/>
    <w:rsid w:val="21B35F5C"/>
    <w:rsid w:val="21BD0881"/>
    <w:rsid w:val="21F895C7"/>
    <w:rsid w:val="228057BD"/>
    <w:rsid w:val="22F3E451"/>
    <w:rsid w:val="22F73D16"/>
    <w:rsid w:val="2386C8F2"/>
    <w:rsid w:val="24A3176F"/>
    <w:rsid w:val="2535FA5D"/>
    <w:rsid w:val="25D662B5"/>
    <w:rsid w:val="2611554D"/>
    <w:rsid w:val="262C2000"/>
    <w:rsid w:val="265A73D5"/>
    <w:rsid w:val="26617DCF"/>
    <w:rsid w:val="2753B5AA"/>
    <w:rsid w:val="27B5E0CE"/>
    <w:rsid w:val="28845F9F"/>
    <w:rsid w:val="28A1B21E"/>
    <w:rsid w:val="28CA30AA"/>
    <w:rsid w:val="29075D6B"/>
    <w:rsid w:val="29D309AF"/>
    <w:rsid w:val="2A26A432"/>
    <w:rsid w:val="2A27D4E1"/>
    <w:rsid w:val="2B2E60D6"/>
    <w:rsid w:val="2B6DC3A5"/>
    <w:rsid w:val="2BA7219F"/>
    <w:rsid w:val="2C44CEB1"/>
    <w:rsid w:val="2CFF3E79"/>
    <w:rsid w:val="2E251E35"/>
    <w:rsid w:val="2E483BAA"/>
    <w:rsid w:val="2E82697D"/>
    <w:rsid w:val="2F067503"/>
    <w:rsid w:val="3121B677"/>
    <w:rsid w:val="313518E0"/>
    <w:rsid w:val="31C2B6FE"/>
    <w:rsid w:val="32F9D38E"/>
    <w:rsid w:val="33AE9C9F"/>
    <w:rsid w:val="34392C0A"/>
    <w:rsid w:val="3483F08E"/>
    <w:rsid w:val="3494BAA5"/>
    <w:rsid w:val="3545E024"/>
    <w:rsid w:val="356F5411"/>
    <w:rsid w:val="3601AA1C"/>
    <w:rsid w:val="365E4A7B"/>
    <w:rsid w:val="3660644A"/>
    <w:rsid w:val="3756D49D"/>
    <w:rsid w:val="376008C0"/>
    <w:rsid w:val="37B2D81E"/>
    <w:rsid w:val="380FEF08"/>
    <w:rsid w:val="389D3B2E"/>
    <w:rsid w:val="38FA8FEE"/>
    <w:rsid w:val="3AD1F3CF"/>
    <w:rsid w:val="3D44BEE3"/>
    <w:rsid w:val="3E49D950"/>
    <w:rsid w:val="3E6F40F9"/>
    <w:rsid w:val="3FC092C8"/>
    <w:rsid w:val="4039D97E"/>
    <w:rsid w:val="40922EF4"/>
    <w:rsid w:val="40C100F9"/>
    <w:rsid w:val="4129ACF2"/>
    <w:rsid w:val="41CCC9F5"/>
    <w:rsid w:val="423013CD"/>
    <w:rsid w:val="428677DC"/>
    <w:rsid w:val="4316FB94"/>
    <w:rsid w:val="433396C2"/>
    <w:rsid w:val="43AEEF32"/>
    <w:rsid w:val="43FF9881"/>
    <w:rsid w:val="46B68E38"/>
    <w:rsid w:val="4812780F"/>
    <w:rsid w:val="48401DB6"/>
    <w:rsid w:val="495FFDB4"/>
    <w:rsid w:val="4A6CE904"/>
    <w:rsid w:val="4B220D79"/>
    <w:rsid w:val="4C228D11"/>
    <w:rsid w:val="4C86615E"/>
    <w:rsid w:val="4CEF63D3"/>
    <w:rsid w:val="4CEF79A3"/>
    <w:rsid w:val="4D9B376E"/>
    <w:rsid w:val="4DBE4A5F"/>
    <w:rsid w:val="4DF0A16A"/>
    <w:rsid w:val="4DF4DC51"/>
    <w:rsid w:val="4ED03878"/>
    <w:rsid w:val="4FABF184"/>
    <w:rsid w:val="502FAFD0"/>
    <w:rsid w:val="50A08D18"/>
    <w:rsid w:val="50A932D2"/>
    <w:rsid w:val="50FF2CF0"/>
    <w:rsid w:val="51534C29"/>
    <w:rsid w:val="5183CF1B"/>
    <w:rsid w:val="518971A2"/>
    <w:rsid w:val="521C351A"/>
    <w:rsid w:val="52525951"/>
    <w:rsid w:val="53C2155B"/>
    <w:rsid w:val="54131568"/>
    <w:rsid w:val="550A9A3D"/>
    <w:rsid w:val="551EC69E"/>
    <w:rsid w:val="56BBB54C"/>
    <w:rsid w:val="56D28634"/>
    <w:rsid w:val="5723EB86"/>
    <w:rsid w:val="57E8AE9B"/>
    <w:rsid w:val="583F73CA"/>
    <w:rsid w:val="59B16739"/>
    <w:rsid w:val="5A7D96C1"/>
    <w:rsid w:val="5AD78D40"/>
    <w:rsid w:val="5B494186"/>
    <w:rsid w:val="5B63BA2F"/>
    <w:rsid w:val="5C6FB5E4"/>
    <w:rsid w:val="5D01937A"/>
    <w:rsid w:val="5E6DD3B9"/>
    <w:rsid w:val="5F100E3C"/>
    <w:rsid w:val="615F93FE"/>
    <w:rsid w:val="625E2A8A"/>
    <w:rsid w:val="62933E79"/>
    <w:rsid w:val="63FCAE74"/>
    <w:rsid w:val="649DCABD"/>
    <w:rsid w:val="65C44ED0"/>
    <w:rsid w:val="66700C27"/>
    <w:rsid w:val="66982ACC"/>
    <w:rsid w:val="670A5B1D"/>
    <w:rsid w:val="673C21C5"/>
    <w:rsid w:val="676FDCE2"/>
    <w:rsid w:val="67874ED0"/>
    <w:rsid w:val="689E0C65"/>
    <w:rsid w:val="69544860"/>
    <w:rsid w:val="6B4877A8"/>
    <w:rsid w:val="6B5A0E3D"/>
    <w:rsid w:val="6BF38BFC"/>
    <w:rsid w:val="6E0B5037"/>
    <w:rsid w:val="6E17FBD1"/>
    <w:rsid w:val="6E35C62E"/>
    <w:rsid w:val="6E8661D0"/>
    <w:rsid w:val="6ECE63F0"/>
    <w:rsid w:val="6EFC5C57"/>
    <w:rsid w:val="7178B6BD"/>
    <w:rsid w:val="71C21D0A"/>
    <w:rsid w:val="72EF210A"/>
    <w:rsid w:val="72F1DF84"/>
    <w:rsid w:val="7448F9AF"/>
    <w:rsid w:val="74BE8215"/>
    <w:rsid w:val="75341699"/>
    <w:rsid w:val="767B4E56"/>
    <w:rsid w:val="7724A908"/>
    <w:rsid w:val="77592E6E"/>
    <w:rsid w:val="7760C3A7"/>
    <w:rsid w:val="7847FCF7"/>
    <w:rsid w:val="796595B7"/>
    <w:rsid w:val="79856720"/>
    <w:rsid w:val="7ACF3C19"/>
    <w:rsid w:val="7B0D0B13"/>
    <w:rsid w:val="7B215D4F"/>
    <w:rsid w:val="7BDE93FE"/>
    <w:rsid w:val="7D5A651D"/>
    <w:rsid w:val="7DBEEE81"/>
    <w:rsid w:val="7DD0FA46"/>
    <w:rsid w:val="7DFBD2C4"/>
    <w:rsid w:val="7E0A0DF1"/>
    <w:rsid w:val="7E9BF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F347C5"/>
  <w15:chartTrackingRefBased/>
  <w15:docId w15:val="{0C0469D1-9A9C-4483-BEF5-F21FD961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143F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9EA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A6A2E"/>
    <w:pPr>
      <w:spacing w:after="120" w:line="480" w:lineRule="auto"/>
      <w:ind w:left="1020" w:right="159" w:hanging="663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5A6A2E"/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9479E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8E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5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53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53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3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3F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53F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90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D8B"/>
  </w:style>
  <w:style w:type="paragraph" w:styleId="Footer">
    <w:name w:val="footer"/>
    <w:basedOn w:val="Normal"/>
    <w:link w:val="FooterChar"/>
    <w:uiPriority w:val="99"/>
    <w:unhideWhenUsed/>
    <w:rsid w:val="00490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D8B"/>
  </w:style>
  <w:style w:type="paragraph" w:styleId="NoSpacing">
    <w:name w:val="No Spacing"/>
    <w:uiPriority w:val="1"/>
    <w:qFormat/>
    <w:rsid w:val="00AA110D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3C1D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0B3C1D"/>
  </w:style>
  <w:style w:type="character" w:customStyle="1" w:styleId="eop">
    <w:name w:val="eop"/>
    <w:basedOn w:val="DefaultParagraphFont"/>
    <w:rsid w:val="000B3C1D"/>
  </w:style>
  <w:style w:type="paragraph" w:customStyle="1" w:styleId="paragraph">
    <w:name w:val="paragraph"/>
    <w:basedOn w:val="Normal"/>
    <w:rsid w:val="000B3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76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yle1">
    <w:name w:val="Style1"/>
    <w:basedOn w:val="ListParagraph"/>
    <w:link w:val="Style1Char"/>
    <w:qFormat/>
    <w:rsid w:val="001251F2"/>
    <w:pPr>
      <w:spacing w:line="240" w:lineRule="auto"/>
      <w:ind w:left="0"/>
    </w:pPr>
  </w:style>
  <w:style w:type="character" w:customStyle="1" w:styleId="Style1Char">
    <w:name w:val="Style1 Char"/>
    <w:basedOn w:val="DefaultParagraphFont"/>
    <w:link w:val="Style1"/>
    <w:rsid w:val="001251F2"/>
  </w:style>
  <w:style w:type="character" w:customStyle="1" w:styleId="Mention2">
    <w:name w:val="Mention2"/>
    <w:basedOn w:val="DefaultParagraphFont"/>
    <w:uiPriority w:val="99"/>
    <w:unhideWhenUsed/>
    <w:rsid w:val="008F086F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57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57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57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web.ed.ac.uk/finance/for-staff/financial-regulations-policies-and-procedures/policies-and-procedures" TargetMode="External"/><Relationship Id="rId18" Type="http://schemas.openxmlformats.org/officeDocument/2006/relationships/hyperlink" Target="https://www.ed.ac.uk/finance/for-staff/financial-regulations-policies-and-procedures/policies-and-procedures" TargetMode="External"/><Relationship Id="rId26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edweb.ed.ac.uk/finance/for-staff/financial-regulations-policies-and-procedures/new-anti-money-laundering-policy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api.search.ed.ac.uk/s/redirect?collection=edi-public-meta&amp;url=https%3A%2F%2Fwww.ed.ac.uk%2Ffiles%2Fatoms%2Ffiles%2Fconflict_of_interest.pdf&amp;auth=ve8ZHSRXATbo0txnhT2D5A&amp;profile=_default&amp;rank=1&amp;query=conflict+of+interest" TargetMode="External"/><Relationship Id="rId17" Type="http://schemas.openxmlformats.org/officeDocument/2006/relationships/hyperlink" Target="https://ukwestr-notifyp.svc.ms:443/api/v2/tracking/method/Click?mi=DU6JW5xuYkGNQohCIWgjnA&amp;tc=Link&amp;cs=c275f6a8f6feded5601416a580541c04&amp;ru=https%3a%2f%2fwww.ed.ac.uk%2fgovernance-strategic-planning%2fgovernance%2funiversity-governance%2fpowers-of-delegation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d.ac.uk/sustainability/what-we-do/travel/climate-conscious-travel/sustainable-travel-policy-2021" TargetMode="External"/><Relationship Id="rId20" Type="http://schemas.openxmlformats.org/officeDocument/2006/relationships/hyperlink" Target="https://www.ed.ac.uk/files/atoms/files/conflict_of_interest_0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edweb.ed.ac.uk/finance/for-staff/financial-regulations-policies-and-procedures/policies-and-procedures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ed.ac.uk/files/atoms/files/receipt_of_gifts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web.ed.ac.uk/finance/for-staff/financial-regulations-policies-and-procedures/policies-and-procedures" TargetMode="External"/><Relationship Id="rId22" Type="http://schemas.openxmlformats.org/officeDocument/2006/relationships/header" Target="header1.xml"/></Relationships>
</file>

<file path=word/documenttasks/documenttasks1.xml><?xml version="1.0" encoding="utf-8"?>
<t:Tasks xmlns:t="http://schemas.microsoft.com/office/tasks/2019/documenttasks" xmlns:oel="http://schemas.microsoft.com/office/2019/extlst">
  <t:Task id="{BC753D0B-DB23-415C-B39B-F4E1EC7582B8}">
    <t:Anchor>
      <t:Comment id="168327049"/>
    </t:Anchor>
    <t:History>
      <t:Event id="{3D61D8B7-1A22-498E-8D8D-2F2CD2E027A0}" time="2021-09-27T09:50:10.105Z">
        <t:Attribution userId="S::smulhear@ed.ac.uk::61222411-874b-4e08-b4d0-c507d0bf0ea8" userProvider="AD" userName="MULHEARN Susan"/>
        <t:Anchor>
          <t:Comment id="168327049"/>
        </t:Anchor>
        <t:Create/>
      </t:Event>
      <t:Event id="{B3DFE7D5-6623-4761-81EB-7B1EEE699D88}" time="2021-09-27T09:50:10.105Z">
        <t:Attribution userId="S::smulhear@ed.ac.uk::61222411-874b-4e08-b4d0-c507d0bf0ea8" userProvider="AD" userName="MULHEARN Susan"/>
        <t:Anchor>
          <t:Comment id="168327049"/>
        </t:Anchor>
        <t:Assign userId="S::krichar2@ed.ac.uk::97426e81-8c14-4121-9e13-3cdcdb8e8ff2" userProvider="AD" userName="RICHARDSON Kerry"/>
      </t:Event>
      <t:Event id="{B5C3CF12-CED3-4B2F-B515-D8FA95AFBA76}" time="2021-09-27T09:50:10.105Z">
        <t:Attribution userId="S::smulhear@ed.ac.uk::61222411-874b-4e08-b4d0-c507d0bf0ea8" userProvider="AD" userName="MULHEARN Susan"/>
        <t:Anchor>
          <t:Comment id="168327049"/>
        </t:Anchor>
        <t:SetTitle title="@RICHARDSON Kerry  Head of College expenses - Provost (and Principal if above Provost's limit) will approve  Director of PSG - Principal will approve Provost - Principal will approve TBC if University Secretary will need to approve these also."/>
      </t:Event>
      <t:Event id="{1BF1751B-B1E3-4EEA-9433-7EF574C26A44}" time="2021-09-27T10:01:12.673Z">
        <t:Attribution userId="S::krichar2@ed.ac.uk::97426e81-8c14-4121-9e13-3cdcdb8e8ff2" userProvider="AD" userName="RICHARDSON Kerry"/>
        <t:Progress percentComplete="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C1B751CAB8A40875C2850EDEA07A7" ma:contentTypeVersion="6" ma:contentTypeDescription="Create a new document." ma:contentTypeScope="" ma:versionID="cd5de93857c2cb4dc10e21dcbddb7d18">
  <xsd:schema xmlns:xsd="http://www.w3.org/2001/XMLSchema" xmlns:xs="http://www.w3.org/2001/XMLSchema" xmlns:p="http://schemas.microsoft.com/office/2006/metadata/properties" xmlns:ns2="03e56f73-6339-42e4-a05d-7b8226729ae9" xmlns:ns3="adb47e03-2210-4480-82b3-221878e0e272" targetNamespace="http://schemas.microsoft.com/office/2006/metadata/properties" ma:root="true" ma:fieldsID="566dbd5d1b821b12ca982d9e3220b287" ns2:_="" ns3:_="">
    <xsd:import namespace="03e56f73-6339-42e4-a05d-7b8226729ae9"/>
    <xsd:import namespace="adb47e03-2210-4480-82b3-221878e0e2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56f73-6339-42e4-a05d-7b8226729a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47e03-2210-4480-82b3-221878e0e27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db47e03-2210-4480-82b3-221878e0e272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2980A-1D77-48EC-B4F4-581EAF5EFC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56B200-05E3-41B0-B1EF-7287D61617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e56f73-6339-42e4-a05d-7b8226729ae9"/>
    <ds:schemaRef ds:uri="adb47e03-2210-4480-82b3-221878e0e2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188F42-0D6A-427E-B2F7-BE3437883A36}">
  <ds:schemaRefs>
    <ds:schemaRef ds:uri="http://schemas.microsoft.com/office/2006/metadata/properties"/>
    <ds:schemaRef ds:uri="http://schemas.microsoft.com/office/infopath/2007/PartnerControls"/>
    <ds:schemaRef ds:uri="adb47e03-2210-4480-82b3-221878e0e272"/>
  </ds:schemaRefs>
</ds:datastoreItem>
</file>

<file path=customXml/itemProps4.xml><?xml version="1.0" encoding="utf-8"?>
<ds:datastoreItem xmlns:ds="http://schemas.openxmlformats.org/officeDocument/2006/customXml" ds:itemID="{BE356029-A5B1-48D2-AD6C-F3793743C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1082</Words>
  <Characters>6172</Characters>
  <Application>Microsoft Office Word</Application>
  <DocSecurity>0</DocSecurity>
  <Lines>51</Lines>
  <Paragraphs>14</Paragraphs>
  <ScaleCrop>false</ScaleCrop>
  <Company>University of Edinburgh</Company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 Kerry</dc:creator>
  <cp:keywords/>
  <dc:description/>
  <cp:lastModifiedBy>Blair Fleming</cp:lastModifiedBy>
  <cp:revision>13</cp:revision>
  <cp:lastPrinted>2022-08-09T12:15:00Z</cp:lastPrinted>
  <dcterms:created xsi:type="dcterms:W3CDTF">2022-01-28T16:21:00Z</dcterms:created>
  <dcterms:modified xsi:type="dcterms:W3CDTF">2022-08-09T12:15:00Z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0x0101004C7C1B751CAB8A40875C2850EDEA07A7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