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ook w:val="04A0" w:firstRow="1" w:lastRow="0" w:firstColumn="1" w:lastColumn="0" w:noHBand="0" w:noVBand="1"/>
      </w:tblPr>
      <w:tblGrid>
        <w:gridCol w:w="11058"/>
      </w:tblGrid>
      <w:tr w:rsidR="00143F31" w:rsidRPr="00750DEB" w14:paraId="4EF91955" w14:textId="77777777" w:rsidTr="2F067503">
        <w:trPr>
          <w:trHeight w:val="1531"/>
        </w:trPr>
        <w:tc>
          <w:tcPr>
            <w:tcW w:w="11058" w:type="dxa"/>
            <w:shd w:val="clear" w:color="auto" w:fill="BFBFBF" w:themeFill="background1" w:themeFillShade="BF"/>
          </w:tcPr>
          <w:p w14:paraId="7709D339" w14:textId="0E787790" w:rsidR="00143F31" w:rsidRPr="00750DEB" w:rsidRDefault="00905424">
            <w:pPr>
              <w:rPr>
                <w:rFonts w:cstheme="minorHAnsi"/>
                <w:sz w:val="24"/>
                <w:szCs w:val="24"/>
              </w:rPr>
            </w:pPr>
            <w:r w:rsidRPr="00750DEB">
              <w:rPr>
                <w:rFonts w:cstheme="minorHAnsi"/>
                <w:noProof/>
                <w:color w:val="2B579A"/>
                <w:sz w:val="24"/>
                <w:szCs w:val="24"/>
                <w:shd w:val="clear" w:color="auto" w:fill="E6E6E6"/>
                <w:lang w:eastAsia="en-GB"/>
              </w:rPr>
              <mc:AlternateContent>
                <mc:Choice Requires="wps">
                  <w:drawing>
                    <wp:anchor distT="45720" distB="45720" distL="114300" distR="114300" simplePos="0" relativeHeight="251657216" behindDoc="0" locked="0" layoutInCell="1" allowOverlap="1" wp14:anchorId="4B06828F" wp14:editId="062654A1">
                      <wp:simplePos x="0" y="0"/>
                      <wp:positionH relativeFrom="column">
                        <wp:posOffset>1013161</wp:posOffset>
                      </wp:positionH>
                      <wp:positionV relativeFrom="paragraph">
                        <wp:posOffset>82910</wp:posOffset>
                      </wp:positionV>
                      <wp:extent cx="4561205" cy="669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669290"/>
                              </a:xfrm>
                              <a:prstGeom prst="rect">
                                <a:avLst/>
                              </a:prstGeom>
                              <a:solidFill>
                                <a:schemeClr val="bg1">
                                  <a:lumMod val="75000"/>
                                </a:schemeClr>
                              </a:solidFill>
                              <a:ln w="9525">
                                <a:noFill/>
                                <a:miter lim="800000"/>
                                <a:headEnd/>
                                <a:tailEnd/>
                              </a:ln>
                            </wps:spPr>
                            <wps:txbx>
                              <w:txbxContent>
                                <w:p w14:paraId="286CC820" w14:textId="77777777" w:rsidR="00270417" w:rsidRDefault="00270417" w:rsidP="000222C1">
                                  <w:pPr>
                                    <w:spacing w:after="0"/>
                                    <w:jc w:val="center"/>
                                    <w:rPr>
                                      <w:b/>
                                      <w:sz w:val="36"/>
                                      <w:szCs w:val="36"/>
                                    </w:rPr>
                                  </w:pPr>
                                  <w:r w:rsidRPr="0003141E">
                                    <w:rPr>
                                      <w:b/>
                                      <w:sz w:val="36"/>
                                      <w:szCs w:val="36"/>
                                    </w:rPr>
                                    <w:t xml:space="preserve">University of Edinburgh </w:t>
                                  </w:r>
                                </w:p>
                                <w:p w14:paraId="43D9D60D" w14:textId="5361F66A" w:rsidR="00270417" w:rsidRPr="0003141E" w:rsidRDefault="00270417" w:rsidP="000222C1">
                                  <w:pPr>
                                    <w:spacing w:after="0"/>
                                    <w:jc w:val="center"/>
                                    <w:rPr>
                                      <w:b/>
                                      <w:sz w:val="36"/>
                                      <w:szCs w:val="36"/>
                                    </w:rPr>
                                  </w:pPr>
                                  <w:r>
                                    <w:rPr>
                                      <w:b/>
                                      <w:sz w:val="36"/>
                                      <w:szCs w:val="36"/>
                                    </w:rPr>
                                    <w:t>Capital</w:t>
                                  </w:r>
                                  <w:r w:rsidRPr="0003141E">
                                    <w:rPr>
                                      <w:b/>
                                      <w:sz w:val="36"/>
                                      <w:szCs w:val="36"/>
                                    </w:rPr>
                                    <w:t xml:space="preserve"> </w:t>
                                  </w:r>
                                  <w:r>
                                    <w:rPr>
                                      <w:b/>
                                      <w:sz w:val="36"/>
                                      <w:szCs w:val="36"/>
                                    </w:rPr>
                                    <w:t xml:space="preserve">Accounting </w:t>
                                  </w:r>
                                  <w:r w:rsidRPr="0003141E">
                                    <w:rPr>
                                      <w:b/>
                                      <w:sz w:val="36"/>
                                      <w:szCs w:val="36"/>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B06828F">
                      <v:stroke joinstyle="miter"/>
                      <v:path gradientshapeok="t" o:connecttype="rect"/>
                    </v:shapetype>
                    <v:shape id="Text Box 2" style="position:absolute;margin-left:79.8pt;margin-top:6.55pt;width:359.15pt;height:5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bfbfbf [2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">
                      <v:textbox>
                        <w:txbxContent>
                          <w:p w:rsidR="00270417" w:rsidP="000222C1" w:rsidRDefault="00270417" w14:paraId="286CC820" w14:textId="77777777">
                            <w:pPr>
                              <w:spacing w:after="0"/>
                              <w:jc w:val="center"/>
                              <w:rPr>
                                <w:b/>
                                <w:sz w:val="36"/>
                                <w:szCs w:val="36"/>
                              </w:rPr>
                            </w:pPr>
                            <w:r w:rsidRPr="0003141E">
                              <w:rPr>
                                <w:b/>
                                <w:sz w:val="36"/>
                                <w:szCs w:val="36"/>
                              </w:rPr>
                              <w:t xml:space="preserve">University of Edinburgh </w:t>
                            </w:r>
                          </w:p>
                          <w:p w:rsidRPr="0003141E" w:rsidR="00270417" w:rsidP="000222C1" w:rsidRDefault="00270417" w14:paraId="43D9D60D" w14:textId="5361F66A">
                            <w:pPr>
                              <w:spacing w:after="0"/>
                              <w:jc w:val="center"/>
                              <w:rPr>
                                <w:b/>
                                <w:sz w:val="36"/>
                                <w:szCs w:val="36"/>
                              </w:rPr>
                            </w:pPr>
                            <w:r>
                              <w:rPr>
                                <w:b/>
                                <w:sz w:val="36"/>
                                <w:szCs w:val="36"/>
                              </w:rPr>
                              <w:t>Capital</w:t>
                            </w:r>
                            <w:r w:rsidRPr="0003141E">
                              <w:rPr>
                                <w:b/>
                                <w:sz w:val="36"/>
                                <w:szCs w:val="36"/>
                              </w:rPr>
                              <w:t xml:space="preserve"> </w:t>
                            </w:r>
                            <w:r>
                              <w:rPr>
                                <w:b/>
                                <w:sz w:val="36"/>
                                <w:szCs w:val="36"/>
                              </w:rPr>
                              <w:t xml:space="preserve">Accounting </w:t>
                            </w:r>
                            <w:r w:rsidRPr="0003141E">
                              <w:rPr>
                                <w:b/>
                                <w:sz w:val="36"/>
                                <w:szCs w:val="36"/>
                              </w:rPr>
                              <w:t>Policy</w:t>
                            </w:r>
                          </w:p>
                        </w:txbxContent>
                      </v:textbox>
                      <w10:wrap type="square"/>
                    </v:shape>
                  </w:pict>
                </mc:Fallback>
              </mc:AlternateContent>
            </w:r>
            <w:r w:rsidRPr="00750DEB">
              <w:rPr>
                <w:rFonts w:cstheme="minorHAnsi"/>
                <w:noProof/>
                <w:color w:val="2B579A"/>
                <w:sz w:val="24"/>
                <w:szCs w:val="24"/>
                <w:shd w:val="clear" w:color="auto" w:fill="E6E6E6"/>
                <w:lang w:eastAsia="en-GB"/>
              </w:rPr>
              <w:drawing>
                <wp:anchor distT="0" distB="0" distL="114300" distR="114300" simplePos="0" relativeHeight="251661312" behindDoc="0" locked="0" layoutInCell="1" allowOverlap="1" wp14:anchorId="35B2A4D3" wp14:editId="16B1D043">
                  <wp:simplePos x="0" y="0"/>
                  <wp:positionH relativeFrom="column">
                    <wp:posOffset>-63795</wp:posOffset>
                  </wp:positionH>
                  <wp:positionV relativeFrom="paragraph">
                    <wp:posOffset>-11741</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143F31" w:rsidRPr="00750DEB" w14:paraId="50F7F58C" w14:textId="77777777" w:rsidTr="2F067503">
        <w:trPr>
          <w:trHeight w:val="567"/>
        </w:trPr>
        <w:tc>
          <w:tcPr>
            <w:tcW w:w="11058" w:type="dxa"/>
            <w:shd w:val="clear" w:color="auto" w:fill="F2F2F2" w:themeFill="background1" w:themeFillShade="F2"/>
            <w:vAlign w:val="center"/>
          </w:tcPr>
          <w:p w14:paraId="454DB3CF" w14:textId="1BEE6EDE" w:rsidR="00143F31" w:rsidRPr="00750DEB" w:rsidRDefault="00143F31" w:rsidP="00143F31">
            <w:pPr>
              <w:rPr>
                <w:rFonts w:cstheme="minorHAnsi"/>
                <w:b/>
                <w:noProof/>
                <w:sz w:val="24"/>
                <w:szCs w:val="24"/>
                <w:lang w:eastAsia="en-GB"/>
              </w:rPr>
            </w:pPr>
            <w:r w:rsidRPr="00750DEB">
              <w:rPr>
                <w:rFonts w:cstheme="minorHAnsi"/>
                <w:b/>
                <w:noProof/>
                <w:sz w:val="24"/>
                <w:szCs w:val="24"/>
                <w:lang w:eastAsia="en-GB"/>
              </w:rPr>
              <w:t>Purpose</w:t>
            </w:r>
          </w:p>
        </w:tc>
      </w:tr>
      <w:tr w:rsidR="00143F31" w:rsidRPr="00750DEB" w14:paraId="523C4583" w14:textId="77777777" w:rsidTr="2F067503">
        <w:trPr>
          <w:trHeight w:val="567"/>
        </w:trPr>
        <w:tc>
          <w:tcPr>
            <w:tcW w:w="11058" w:type="dxa"/>
          </w:tcPr>
          <w:p w14:paraId="3A26BDA8" w14:textId="77777777" w:rsidR="00D1333D" w:rsidRPr="00750DEB" w:rsidRDefault="00D1333D" w:rsidP="00BA582F">
            <w:pPr>
              <w:pStyle w:val="ListParagraph"/>
              <w:spacing w:after="120"/>
              <w:rPr>
                <w:rFonts w:cstheme="minorHAnsi"/>
                <w:noProof/>
                <w:sz w:val="24"/>
                <w:szCs w:val="24"/>
                <w:lang w:eastAsia="en-GB"/>
              </w:rPr>
            </w:pPr>
          </w:p>
          <w:p w14:paraId="2E8C6286" w14:textId="735BCBBC" w:rsidR="00D1333D" w:rsidRPr="00750DEB" w:rsidRDefault="009C6628" w:rsidP="00D1333D">
            <w:pPr>
              <w:spacing w:after="120"/>
              <w:rPr>
                <w:rFonts w:cstheme="minorHAnsi"/>
                <w:noProof/>
                <w:sz w:val="24"/>
                <w:szCs w:val="24"/>
                <w:lang w:eastAsia="en-GB"/>
              </w:rPr>
            </w:pPr>
            <w:r>
              <w:rPr>
                <w:rFonts w:cstheme="minorHAnsi"/>
                <w:noProof/>
                <w:sz w:val="24"/>
                <w:szCs w:val="24"/>
                <w:lang w:eastAsia="en-GB"/>
              </w:rPr>
              <w:t>This document</w:t>
            </w:r>
            <w:r w:rsidR="00D1333D" w:rsidRPr="00750DEB">
              <w:rPr>
                <w:rFonts w:cstheme="minorHAnsi"/>
                <w:noProof/>
                <w:sz w:val="24"/>
                <w:szCs w:val="24"/>
                <w:lang w:eastAsia="en-GB"/>
              </w:rPr>
              <w:t xml:space="preserve"> </w:t>
            </w:r>
            <w:r>
              <w:rPr>
                <w:rFonts w:cstheme="minorHAnsi"/>
                <w:noProof/>
                <w:sz w:val="24"/>
                <w:szCs w:val="24"/>
                <w:lang w:eastAsia="en-GB"/>
              </w:rPr>
              <w:t>states</w:t>
            </w:r>
            <w:r w:rsidR="00D1333D" w:rsidRPr="00750DEB">
              <w:rPr>
                <w:rFonts w:cstheme="minorHAnsi"/>
                <w:noProof/>
                <w:sz w:val="24"/>
                <w:szCs w:val="24"/>
                <w:lang w:eastAsia="en-GB"/>
              </w:rPr>
              <w:t xml:space="preserve"> the University’s policies for accounting for assets and capital expenditure, defining how the University complies with the Higher Education Stateme</w:t>
            </w:r>
            <w:r w:rsidR="0058558C">
              <w:rPr>
                <w:rFonts w:cstheme="minorHAnsi"/>
                <w:noProof/>
                <w:sz w:val="24"/>
                <w:szCs w:val="24"/>
                <w:lang w:eastAsia="en-GB"/>
              </w:rPr>
              <w:t>nt of Recommended Practice and Financial R</w:t>
            </w:r>
            <w:r>
              <w:rPr>
                <w:rFonts w:cstheme="minorHAnsi"/>
                <w:noProof/>
                <w:sz w:val="24"/>
                <w:szCs w:val="24"/>
                <w:lang w:eastAsia="en-GB"/>
              </w:rPr>
              <w:t>eporting</w:t>
            </w:r>
            <w:r w:rsidR="00D1333D" w:rsidRPr="00750DEB">
              <w:rPr>
                <w:rFonts w:cstheme="minorHAnsi"/>
                <w:noProof/>
                <w:sz w:val="24"/>
                <w:szCs w:val="24"/>
                <w:lang w:eastAsia="en-GB"/>
              </w:rPr>
              <w:t xml:space="preserve"> standards. It supports accurate reporting of tangible and intangible assets, capital expenditure and funding used to conduct its mission.</w:t>
            </w:r>
          </w:p>
          <w:p w14:paraId="39934F2F" w14:textId="4483DD30" w:rsidR="00D1333D" w:rsidRPr="00750DEB" w:rsidRDefault="00D1333D" w:rsidP="00D1333D">
            <w:pPr>
              <w:rPr>
                <w:rFonts w:eastAsia="Cambria" w:cstheme="minorHAnsi"/>
                <w:sz w:val="24"/>
                <w:szCs w:val="24"/>
              </w:rPr>
            </w:pPr>
            <w:r w:rsidRPr="00750DEB">
              <w:rPr>
                <w:rFonts w:eastAsia="Cambria" w:cstheme="minorHAnsi"/>
                <w:sz w:val="24"/>
                <w:szCs w:val="24"/>
              </w:rPr>
              <w:t>This policy states the different types of expenditure that may or may not be capitalised and the basis for measurement. It states the University’s capital accounting policy for the following different classes of asset</w:t>
            </w:r>
            <w:r w:rsidR="00183C0A">
              <w:rPr>
                <w:rFonts w:eastAsia="Cambria" w:cstheme="minorHAnsi"/>
                <w:sz w:val="24"/>
                <w:szCs w:val="24"/>
              </w:rPr>
              <w:t>s</w:t>
            </w:r>
            <w:r w:rsidRPr="00750DEB">
              <w:rPr>
                <w:rFonts w:eastAsia="Cambria" w:cstheme="minorHAnsi"/>
                <w:sz w:val="24"/>
                <w:szCs w:val="24"/>
              </w:rPr>
              <w:t>:</w:t>
            </w:r>
          </w:p>
          <w:p w14:paraId="63517DD6" w14:textId="77777777" w:rsidR="00D1333D" w:rsidRPr="00750DEB" w:rsidRDefault="00D1333D" w:rsidP="00D1333D">
            <w:pPr>
              <w:rPr>
                <w:rFonts w:eastAsia="Cambria" w:cstheme="minorHAnsi"/>
                <w:sz w:val="24"/>
                <w:szCs w:val="24"/>
              </w:rPr>
            </w:pPr>
          </w:p>
          <w:p w14:paraId="48556AAF" w14:textId="77777777" w:rsidR="00D1333D" w:rsidRPr="00750DEB" w:rsidRDefault="00D1333D" w:rsidP="00D1333D">
            <w:pPr>
              <w:pStyle w:val="ListParagraph"/>
              <w:numPr>
                <w:ilvl w:val="0"/>
                <w:numId w:val="40"/>
              </w:numPr>
              <w:rPr>
                <w:rFonts w:eastAsia="Cambria" w:cstheme="minorHAnsi"/>
                <w:sz w:val="24"/>
                <w:szCs w:val="24"/>
              </w:rPr>
            </w:pPr>
            <w:r w:rsidRPr="00750DEB">
              <w:rPr>
                <w:rFonts w:eastAsia="Cambria" w:cstheme="minorHAnsi"/>
                <w:sz w:val="24"/>
                <w:szCs w:val="24"/>
              </w:rPr>
              <w:t>Tangible Assets – Equipment</w:t>
            </w:r>
          </w:p>
          <w:p w14:paraId="0FEAA3A7" w14:textId="77777777" w:rsidR="00D1333D" w:rsidRPr="00750DEB" w:rsidRDefault="00D1333D" w:rsidP="00D1333D">
            <w:pPr>
              <w:pStyle w:val="ListParagraph"/>
              <w:numPr>
                <w:ilvl w:val="0"/>
                <w:numId w:val="40"/>
              </w:numPr>
              <w:rPr>
                <w:rFonts w:eastAsia="Cambria" w:cstheme="minorHAnsi"/>
                <w:sz w:val="24"/>
                <w:szCs w:val="24"/>
              </w:rPr>
            </w:pPr>
            <w:r w:rsidRPr="00750DEB">
              <w:rPr>
                <w:rFonts w:eastAsia="Cambria" w:cstheme="minorHAnsi"/>
                <w:sz w:val="24"/>
                <w:szCs w:val="24"/>
              </w:rPr>
              <w:t>Tangible Assets – Land and Buildings</w:t>
            </w:r>
          </w:p>
          <w:p w14:paraId="3794FC9C" w14:textId="77777777" w:rsidR="00D1333D" w:rsidRPr="00750DEB" w:rsidRDefault="00D1333D" w:rsidP="00D1333D">
            <w:pPr>
              <w:pStyle w:val="ListParagraph"/>
              <w:numPr>
                <w:ilvl w:val="0"/>
                <w:numId w:val="40"/>
              </w:numPr>
              <w:rPr>
                <w:rFonts w:eastAsia="Cambria" w:cstheme="minorHAnsi"/>
                <w:sz w:val="24"/>
                <w:szCs w:val="24"/>
              </w:rPr>
            </w:pPr>
            <w:r w:rsidRPr="00750DEB">
              <w:rPr>
                <w:rFonts w:eastAsia="Cambria" w:cstheme="minorHAnsi"/>
                <w:sz w:val="24"/>
                <w:szCs w:val="24"/>
              </w:rPr>
              <w:t xml:space="preserve">Intangible Assets  </w:t>
            </w:r>
          </w:p>
          <w:p w14:paraId="69ABB653" w14:textId="77777777" w:rsidR="00D1333D" w:rsidRPr="00750DEB" w:rsidRDefault="00D1333D" w:rsidP="00D1333D">
            <w:pPr>
              <w:pStyle w:val="ListParagraph"/>
              <w:numPr>
                <w:ilvl w:val="0"/>
                <w:numId w:val="40"/>
              </w:numPr>
              <w:rPr>
                <w:rFonts w:eastAsia="Cambria" w:cstheme="minorHAnsi"/>
                <w:sz w:val="24"/>
                <w:szCs w:val="24"/>
              </w:rPr>
            </w:pPr>
            <w:r w:rsidRPr="00750DEB">
              <w:rPr>
                <w:rFonts w:eastAsia="Cambria" w:cstheme="minorHAnsi"/>
                <w:sz w:val="24"/>
                <w:szCs w:val="24"/>
              </w:rPr>
              <w:t>Heritage Assets</w:t>
            </w:r>
          </w:p>
          <w:p w14:paraId="7B7E7D31" w14:textId="77777777" w:rsidR="00D1333D" w:rsidRPr="00750DEB" w:rsidRDefault="00D1333D" w:rsidP="00D1333D">
            <w:pPr>
              <w:rPr>
                <w:rFonts w:eastAsia="Cambria" w:cstheme="minorHAnsi"/>
                <w:sz w:val="24"/>
                <w:szCs w:val="24"/>
              </w:rPr>
            </w:pPr>
          </w:p>
          <w:p w14:paraId="3E95C859" w14:textId="382449EA" w:rsidR="00D1333D" w:rsidRPr="00750DEB" w:rsidRDefault="00D1333D" w:rsidP="00D1333D">
            <w:pPr>
              <w:rPr>
                <w:rFonts w:eastAsia="Cambria" w:cstheme="minorHAnsi"/>
                <w:sz w:val="24"/>
                <w:szCs w:val="24"/>
              </w:rPr>
            </w:pPr>
            <w:r w:rsidRPr="00750DEB">
              <w:rPr>
                <w:rFonts w:eastAsia="Cambria" w:cstheme="minorHAnsi"/>
                <w:sz w:val="24"/>
                <w:szCs w:val="24"/>
              </w:rPr>
              <w:t>It states the required accounting treatment for capital funding, such as grants and donations.</w:t>
            </w:r>
          </w:p>
          <w:p w14:paraId="062C884D" w14:textId="77777777" w:rsidR="00D1333D" w:rsidRPr="00750DEB" w:rsidRDefault="00D1333D" w:rsidP="00D1333D">
            <w:pPr>
              <w:rPr>
                <w:rFonts w:eastAsia="Cambria" w:cstheme="minorHAnsi"/>
                <w:sz w:val="24"/>
                <w:szCs w:val="24"/>
              </w:rPr>
            </w:pPr>
            <w:r w:rsidRPr="00750DEB">
              <w:rPr>
                <w:rFonts w:eastAsia="Cambria" w:cstheme="minorHAnsi"/>
                <w:sz w:val="24"/>
                <w:szCs w:val="24"/>
              </w:rPr>
              <w:t>It also includes the University’s policy for asset disposal.</w:t>
            </w:r>
          </w:p>
          <w:p w14:paraId="6E306915" w14:textId="444AD725" w:rsidR="00CB6A68" w:rsidRPr="00750DEB" w:rsidRDefault="00CB6A68" w:rsidP="00D1333D">
            <w:pPr>
              <w:rPr>
                <w:rFonts w:eastAsia="Cambria" w:cstheme="minorHAnsi"/>
                <w:sz w:val="24"/>
                <w:szCs w:val="24"/>
              </w:rPr>
            </w:pPr>
          </w:p>
        </w:tc>
      </w:tr>
      <w:tr w:rsidR="00143F31" w:rsidRPr="00750DEB" w14:paraId="52CE30E0" w14:textId="77777777" w:rsidTr="2F067503">
        <w:trPr>
          <w:trHeight w:val="567"/>
        </w:trPr>
        <w:tc>
          <w:tcPr>
            <w:tcW w:w="11058" w:type="dxa"/>
            <w:shd w:val="clear" w:color="auto" w:fill="F2F2F2" w:themeFill="background1" w:themeFillShade="F2"/>
            <w:vAlign w:val="center"/>
          </w:tcPr>
          <w:p w14:paraId="6D43883B" w14:textId="2D414D14" w:rsidR="00143F31" w:rsidRPr="00750DEB" w:rsidRDefault="00B866C8" w:rsidP="00143F31">
            <w:pPr>
              <w:rPr>
                <w:rFonts w:cstheme="minorHAnsi"/>
                <w:b/>
                <w:noProof/>
                <w:sz w:val="24"/>
                <w:szCs w:val="24"/>
                <w:lang w:eastAsia="en-GB"/>
              </w:rPr>
            </w:pPr>
            <w:r w:rsidRPr="00750DEB">
              <w:rPr>
                <w:rFonts w:cstheme="minorHAnsi"/>
                <w:b/>
                <w:noProof/>
                <w:sz w:val="24"/>
                <w:szCs w:val="24"/>
                <w:lang w:eastAsia="en-GB"/>
              </w:rPr>
              <w:t>Scope</w:t>
            </w:r>
          </w:p>
        </w:tc>
      </w:tr>
      <w:tr w:rsidR="00143F31" w:rsidRPr="00750DEB" w14:paraId="10B93A1C" w14:textId="77777777" w:rsidTr="00D1333D">
        <w:trPr>
          <w:trHeight w:val="921"/>
        </w:trPr>
        <w:tc>
          <w:tcPr>
            <w:tcW w:w="11058" w:type="dxa"/>
          </w:tcPr>
          <w:p w14:paraId="60960433" w14:textId="77777777" w:rsidR="00D1333D" w:rsidRPr="00750DEB" w:rsidRDefault="00D1333D" w:rsidP="00D1333D">
            <w:pPr>
              <w:rPr>
                <w:rFonts w:cstheme="minorHAnsi"/>
                <w:sz w:val="24"/>
                <w:szCs w:val="24"/>
              </w:rPr>
            </w:pPr>
            <w:r w:rsidRPr="00750DEB">
              <w:rPr>
                <w:rFonts w:cstheme="minorHAnsi"/>
                <w:sz w:val="24"/>
                <w:szCs w:val="24"/>
              </w:rPr>
              <w:t>This policy applies to all University Group entities.</w:t>
            </w:r>
          </w:p>
          <w:p w14:paraId="60008FA6" w14:textId="77777777" w:rsidR="00D1333D" w:rsidRPr="00750DEB" w:rsidRDefault="00D1333D" w:rsidP="00D1333D">
            <w:pPr>
              <w:rPr>
                <w:rFonts w:cstheme="minorHAnsi"/>
                <w:sz w:val="24"/>
                <w:szCs w:val="24"/>
              </w:rPr>
            </w:pPr>
          </w:p>
          <w:p w14:paraId="15965D61" w14:textId="7815A51B" w:rsidR="00D1333D" w:rsidRPr="00750DEB" w:rsidRDefault="00D1333D" w:rsidP="00D1333D">
            <w:pPr>
              <w:rPr>
                <w:rFonts w:cstheme="minorHAnsi"/>
                <w:sz w:val="24"/>
                <w:szCs w:val="24"/>
              </w:rPr>
            </w:pPr>
            <w:r w:rsidRPr="00750DEB">
              <w:rPr>
                <w:rFonts w:cstheme="minorHAnsi"/>
                <w:sz w:val="24"/>
                <w:szCs w:val="24"/>
              </w:rPr>
              <w:t xml:space="preserve">The policy applies to </w:t>
            </w:r>
            <w:r w:rsidR="0058558C">
              <w:rPr>
                <w:rFonts w:cstheme="minorHAnsi"/>
                <w:sz w:val="24"/>
                <w:szCs w:val="24"/>
              </w:rPr>
              <w:t xml:space="preserve">all University </w:t>
            </w:r>
            <w:r w:rsidRPr="00750DEB">
              <w:rPr>
                <w:rFonts w:cstheme="minorHAnsi"/>
                <w:sz w:val="24"/>
                <w:szCs w:val="24"/>
              </w:rPr>
              <w:t xml:space="preserve">assets funded from all sources, including donations. </w:t>
            </w:r>
          </w:p>
          <w:p w14:paraId="4F41275F" w14:textId="77777777" w:rsidR="00D1333D" w:rsidRPr="00750DEB" w:rsidRDefault="00D1333D" w:rsidP="00D1333D">
            <w:pPr>
              <w:rPr>
                <w:rFonts w:cstheme="minorHAnsi"/>
                <w:sz w:val="24"/>
                <w:szCs w:val="24"/>
              </w:rPr>
            </w:pPr>
          </w:p>
          <w:p w14:paraId="2B12F121" w14:textId="0045B55B" w:rsidR="00642778" w:rsidRPr="00750DEB" w:rsidRDefault="00642778" w:rsidP="00B866C8">
            <w:pPr>
              <w:tabs>
                <w:tab w:val="left" w:pos="9489"/>
              </w:tabs>
              <w:rPr>
                <w:rFonts w:cstheme="minorHAnsi"/>
                <w:sz w:val="24"/>
                <w:szCs w:val="24"/>
              </w:rPr>
            </w:pPr>
          </w:p>
        </w:tc>
      </w:tr>
      <w:tr w:rsidR="001911F2" w:rsidRPr="00750DEB" w14:paraId="6F49B30D" w14:textId="77777777" w:rsidTr="00750DEB">
        <w:trPr>
          <w:trHeight w:val="493"/>
        </w:trPr>
        <w:tc>
          <w:tcPr>
            <w:tcW w:w="11058" w:type="dxa"/>
            <w:shd w:val="clear" w:color="auto" w:fill="F2F2F2" w:themeFill="background1" w:themeFillShade="F2"/>
            <w:vAlign w:val="center"/>
          </w:tcPr>
          <w:p w14:paraId="5E940326" w14:textId="7966E94A" w:rsidR="001911F2" w:rsidRPr="00750DEB" w:rsidRDefault="001911F2" w:rsidP="001911F2">
            <w:pPr>
              <w:rPr>
                <w:rFonts w:cstheme="minorHAnsi"/>
                <w:sz w:val="24"/>
                <w:szCs w:val="24"/>
              </w:rPr>
            </w:pPr>
            <w:r w:rsidRPr="00750DEB">
              <w:rPr>
                <w:rFonts w:cstheme="minorHAnsi"/>
                <w:b/>
                <w:sz w:val="24"/>
                <w:szCs w:val="24"/>
              </w:rPr>
              <w:t>Exclusions</w:t>
            </w:r>
          </w:p>
        </w:tc>
      </w:tr>
      <w:tr w:rsidR="001911F2" w:rsidRPr="00750DEB" w14:paraId="54E4020D" w14:textId="77777777" w:rsidTr="00270417">
        <w:trPr>
          <w:trHeight w:val="921"/>
        </w:trPr>
        <w:tc>
          <w:tcPr>
            <w:tcW w:w="11058" w:type="dxa"/>
          </w:tcPr>
          <w:p w14:paraId="25F8CD2D" w14:textId="63CBE118" w:rsidR="001911F2" w:rsidRPr="00750DEB" w:rsidRDefault="00B866C8" w:rsidP="001911F2">
            <w:pPr>
              <w:rPr>
                <w:rFonts w:cstheme="minorHAnsi"/>
                <w:sz w:val="24"/>
                <w:szCs w:val="24"/>
              </w:rPr>
            </w:pPr>
            <w:r>
              <w:rPr>
                <w:rFonts w:cstheme="minorHAnsi"/>
                <w:sz w:val="24"/>
                <w:szCs w:val="24"/>
              </w:rPr>
              <w:t>None</w:t>
            </w:r>
          </w:p>
        </w:tc>
      </w:tr>
    </w:tbl>
    <w:p w14:paraId="1B5FADF9" w14:textId="629C51ED" w:rsidR="006A694D" w:rsidRPr="00750DEB" w:rsidRDefault="006A694D">
      <w:pPr>
        <w:rPr>
          <w:rFonts w:cstheme="minorHAnsi"/>
          <w:sz w:val="24"/>
          <w:szCs w:val="24"/>
        </w:rPr>
      </w:pPr>
    </w:p>
    <w:tbl>
      <w:tblPr>
        <w:tblStyle w:val="TableGrid"/>
        <w:tblW w:w="11058" w:type="dxa"/>
        <w:tblInd w:w="-998" w:type="dxa"/>
        <w:tblLook w:val="04A0" w:firstRow="1" w:lastRow="0" w:firstColumn="1" w:lastColumn="0" w:noHBand="0" w:noVBand="1"/>
      </w:tblPr>
      <w:tblGrid>
        <w:gridCol w:w="2269"/>
        <w:gridCol w:w="8789"/>
      </w:tblGrid>
      <w:tr w:rsidR="00FC2BEC" w:rsidRPr="00750DEB" w14:paraId="339ACE00" w14:textId="77777777" w:rsidTr="00750DEB">
        <w:trPr>
          <w:trHeight w:val="540"/>
        </w:trPr>
        <w:tc>
          <w:tcPr>
            <w:tcW w:w="11058" w:type="dxa"/>
            <w:gridSpan w:val="2"/>
            <w:shd w:val="clear" w:color="auto" w:fill="F2F2F2" w:themeFill="background1" w:themeFillShade="F2"/>
            <w:hideMark/>
          </w:tcPr>
          <w:p w14:paraId="211B6913" w14:textId="51FF130F" w:rsidR="00FC2BEC" w:rsidRPr="00750DEB" w:rsidRDefault="00FC2BEC" w:rsidP="001911F2">
            <w:pPr>
              <w:rPr>
                <w:rFonts w:cstheme="minorHAnsi"/>
                <w:b/>
                <w:bCs/>
                <w:sz w:val="24"/>
                <w:szCs w:val="24"/>
                <w:u w:val="single"/>
              </w:rPr>
            </w:pPr>
            <w:r w:rsidRPr="00750DEB">
              <w:rPr>
                <w:rFonts w:cstheme="minorHAnsi"/>
                <w:b/>
                <w:bCs/>
                <w:sz w:val="24"/>
                <w:szCs w:val="24"/>
              </w:rPr>
              <w:t xml:space="preserve">Tangible assets </w:t>
            </w:r>
            <w:r w:rsidR="00AA7B2A">
              <w:rPr>
                <w:rFonts w:cstheme="minorHAnsi"/>
                <w:b/>
                <w:bCs/>
                <w:sz w:val="24"/>
                <w:szCs w:val="24"/>
              </w:rPr>
              <w:t>–</w:t>
            </w:r>
            <w:r w:rsidRPr="00750DEB">
              <w:rPr>
                <w:rFonts w:cstheme="minorHAnsi"/>
                <w:b/>
                <w:bCs/>
                <w:sz w:val="24"/>
                <w:szCs w:val="24"/>
              </w:rPr>
              <w:t xml:space="preserve"> equipment</w:t>
            </w:r>
          </w:p>
        </w:tc>
      </w:tr>
      <w:tr w:rsidR="00FC2BEC" w:rsidRPr="00750DEB" w14:paraId="2C58F113" w14:textId="77777777" w:rsidTr="00FC2BEC">
        <w:trPr>
          <w:trHeight w:val="1413"/>
        </w:trPr>
        <w:tc>
          <w:tcPr>
            <w:tcW w:w="2269" w:type="dxa"/>
            <w:hideMark/>
          </w:tcPr>
          <w:p w14:paraId="54DDB682" w14:textId="77777777" w:rsidR="00FC2BEC" w:rsidRPr="00750DEB" w:rsidRDefault="00FC2BEC" w:rsidP="00270417">
            <w:pPr>
              <w:rPr>
                <w:rFonts w:cstheme="minorHAnsi"/>
                <w:b/>
                <w:bCs/>
                <w:sz w:val="24"/>
                <w:szCs w:val="24"/>
              </w:rPr>
            </w:pPr>
            <w:r w:rsidRPr="00750DEB">
              <w:rPr>
                <w:rFonts w:cstheme="minorHAnsi"/>
                <w:b/>
                <w:bCs/>
                <w:sz w:val="24"/>
                <w:szCs w:val="24"/>
              </w:rPr>
              <w:t>Accounting policy</w:t>
            </w:r>
          </w:p>
        </w:tc>
        <w:tc>
          <w:tcPr>
            <w:tcW w:w="8789" w:type="dxa"/>
            <w:hideMark/>
          </w:tcPr>
          <w:p w14:paraId="58AF7144" w14:textId="11C961FE" w:rsidR="00FC2BEC" w:rsidRPr="00750DEB" w:rsidRDefault="0085005A" w:rsidP="00270417">
            <w:pPr>
              <w:rPr>
                <w:rFonts w:cstheme="minorHAnsi"/>
                <w:sz w:val="24"/>
                <w:szCs w:val="24"/>
              </w:rPr>
            </w:pPr>
            <w:r>
              <w:rPr>
                <w:rFonts w:cstheme="minorHAnsi"/>
                <w:sz w:val="24"/>
                <w:szCs w:val="24"/>
              </w:rPr>
              <w:t xml:space="preserve">Capital </w:t>
            </w:r>
            <w:r w:rsidR="00FC2BEC" w:rsidRPr="00750DEB">
              <w:rPr>
                <w:rFonts w:cstheme="minorHAnsi"/>
                <w:sz w:val="24"/>
                <w:szCs w:val="24"/>
              </w:rPr>
              <w:t>Equipment</w:t>
            </w:r>
            <w:r>
              <w:rPr>
                <w:rFonts w:cstheme="minorHAnsi"/>
                <w:sz w:val="24"/>
                <w:szCs w:val="24"/>
              </w:rPr>
              <w:t xml:space="preserve"> is defined as ‘an article of </w:t>
            </w:r>
            <w:proofErr w:type="spellStart"/>
            <w:r>
              <w:rPr>
                <w:rFonts w:cstheme="minorHAnsi"/>
                <w:sz w:val="24"/>
                <w:szCs w:val="24"/>
              </w:rPr>
              <w:t>unexpendable</w:t>
            </w:r>
            <w:proofErr w:type="spellEnd"/>
            <w:r>
              <w:rPr>
                <w:rFonts w:cstheme="minorHAnsi"/>
                <w:sz w:val="24"/>
                <w:szCs w:val="24"/>
              </w:rPr>
              <w:t xml:space="preserve"> tangible property with a useful life exceeding one year</w:t>
            </w:r>
            <w:r w:rsidR="00B90E9C">
              <w:rPr>
                <w:rFonts w:cstheme="minorHAnsi"/>
                <w:sz w:val="24"/>
                <w:szCs w:val="24"/>
              </w:rPr>
              <w:t>,</w:t>
            </w:r>
            <w:r w:rsidR="00FC2BEC" w:rsidRPr="00750DEB">
              <w:rPr>
                <w:rFonts w:cstheme="minorHAnsi"/>
                <w:sz w:val="24"/>
                <w:szCs w:val="24"/>
              </w:rPr>
              <w:t xml:space="preserve"> cos</w:t>
            </w:r>
            <w:r w:rsidR="00B866C8">
              <w:rPr>
                <w:rFonts w:cstheme="minorHAnsi"/>
                <w:sz w:val="24"/>
                <w:szCs w:val="24"/>
              </w:rPr>
              <w:t xml:space="preserve">ting £10,000 </w:t>
            </w:r>
            <w:r>
              <w:rPr>
                <w:rFonts w:cstheme="minorHAnsi"/>
                <w:sz w:val="24"/>
                <w:szCs w:val="24"/>
              </w:rPr>
              <w:t xml:space="preserve">or more, such as IT equipment. </w:t>
            </w:r>
            <w:r w:rsidR="00B90E9C">
              <w:rPr>
                <w:rFonts w:cstheme="minorHAnsi"/>
                <w:sz w:val="24"/>
                <w:szCs w:val="24"/>
              </w:rPr>
              <w:t>A</w:t>
            </w:r>
            <w:r w:rsidR="00FC2BEC" w:rsidRPr="00750DEB">
              <w:rPr>
                <w:rFonts w:cstheme="minorHAnsi"/>
                <w:sz w:val="24"/>
                <w:szCs w:val="24"/>
              </w:rPr>
              <w:t xml:space="preserve"> grou</w:t>
            </w:r>
            <w:r w:rsidR="00B90E9C">
              <w:rPr>
                <w:rFonts w:cstheme="minorHAnsi"/>
                <w:sz w:val="24"/>
                <w:szCs w:val="24"/>
              </w:rPr>
              <w:t xml:space="preserve">p of functionally related equipment items costing over £10,000 in aggregate can be capitalised when acquired </w:t>
            </w:r>
            <w:r w:rsidR="00B90E9C" w:rsidRPr="00750DEB">
              <w:rPr>
                <w:rFonts w:cstheme="minorHAnsi"/>
                <w:sz w:val="24"/>
                <w:szCs w:val="24"/>
              </w:rPr>
              <w:t>as part of the fit out of a newly cons</w:t>
            </w:r>
            <w:r w:rsidR="00B90E9C">
              <w:rPr>
                <w:rFonts w:cstheme="minorHAnsi"/>
                <w:sz w:val="24"/>
                <w:szCs w:val="24"/>
              </w:rPr>
              <w:t>tructed building.  Otherwise</w:t>
            </w:r>
            <w:r w:rsidR="00183C0A">
              <w:rPr>
                <w:rFonts w:cstheme="minorHAnsi"/>
                <w:sz w:val="24"/>
                <w:szCs w:val="24"/>
              </w:rPr>
              <w:t>,</w:t>
            </w:r>
            <w:r w:rsidR="00B90E9C">
              <w:rPr>
                <w:rFonts w:cstheme="minorHAnsi"/>
                <w:sz w:val="24"/>
                <w:szCs w:val="24"/>
              </w:rPr>
              <w:t xml:space="preserve"> such items should be </w:t>
            </w:r>
            <w:r w:rsidR="00FC2BEC" w:rsidRPr="00750DEB">
              <w:rPr>
                <w:rFonts w:cstheme="minorHAnsi"/>
                <w:sz w:val="24"/>
                <w:szCs w:val="24"/>
              </w:rPr>
              <w:t>written off in the year of acquisition.</w:t>
            </w:r>
            <w:r w:rsidR="00B90E9C">
              <w:rPr>
                <w:rFonts w:cstheme="minorHAnsi"/>
                <w:sz w:val="24"/>
                <w:szCs w:val="24"/>
              </w:rPr>
              <w:t xml:space="preserve"> </w:t>
            </w:r>
          </w:p>
          <w:p w14:paraId="579E84D8" w14:textId="77777777" w:rsidR="00FC2BEC" w:rsidRPr="00750DEB" w:rsidRDefault="00FC2BEC" w:rsidP="00270417">
            <w:pPr>
              <w:rPr>
                <w:rFonts w:cstheme="minorHAnsi"/>
                <w:sz w:val="24"/>
                <w:szCs w:val="24"/>
              </w:rPr>
            </w:pPr>
            <w:r w:rsidRPr="00750DEB">
              <w:rPr>
                <w:rFonts w:cstheme="minorHAnsi"/>
                <w:sz w:val="24"/>
                <w:szCs w:val="24"/>
              </w:rPr>
              <w:t xml:space="preserve">The capitalisation threshold is inclusive of irrecoverable VAT. </w:t>
            </w:r>
          </w:p>
          <w:p w14:paraId="775B3E10" w14:textId="77777777" w:rsidR="00FC2BEC" w:rsidRPr="00750DEB" w:rsidRDefault="00FC2BEC" w:rsidP="00270417">
            <w:pPr>
              <w:rPr>
                <w:rFonts w:cstheme="minorHAnsi"/>
                <w:sz w:val="24"/>
                <w:szCs w:val="24"/>
              </w:rPr>
            </w:pPr>
          </w:p>
          <w:p w14:paraId="0D41B211" w14:textId="35573304" w:rsidR="00FC2BEC" w:rsidRPr="00750DEB" w:rsidRDefault="00FC2BEC" w:rsidP="00B866C8">
            <w:pPr>
              <w:rPr>
                <w:rFonts w:cstheme="minorHAnsi"/>
                <w:sz w:val="24"/>
                <w:szCs w:val="24"/>
              </w:rPr>
            </w:pPr>
            <w:r w:rsidRPr="00750DEB">
              <w:rPr>
                <w:rFonts w:cstheme="minorHAnsi"/>
                <w:sz w:val="24"/>
                <w:szCs w:val="24"/>
              </w:rPr>
              <w:t xml:space="preserve">Revenue costs incurred as part of capital acquisitions </w:t>
            </w:r>
            <w:r w:rsidR="00B866C8">
              <w:rPr>
                <w:rFonts w:cstheme="minorHAnsi"/>
                <w:sz w:val="24"/>
                <w:szCs w:val="24"/>
              </w:rPr>
              <w:t xml:space="preserve">(such as </w:t>
            </w:r>
            <w:r w:rsidR="00B866C8" w:rsidRPr="00750DEB">
              <w:rPr>
                <w:rFonts w:cstheme="minorHAnsi"/>
                <w:sz w:val="24"/>
                <w:szCs w:val="24"/>
              </w:rPr>
              <w:t xml:space="preserve">training, </w:t>
            </w:r>
            <w:proofErr w:type="gramStart"/>
            <w:r w:rsidR="00B866C8" w:rsidRPr="00750DEB">
              <w:rPr>
                <w:rFonts w:cstheme="minorHAnsi"/>
                <w:sz w:val="24"/>
                <w:szCs w:val="24"/>
              </w:rPr>
              <w:t>maintenance</w:t>
            </w:r>
            <w:proofErr w:type="gramEnd"/>
            <w:r w:rsidR="00B866C8" w:rsidRPr="00750DEB">
              <w:rPr>
                <w:rFonts w:cstheme="minorHAnsi"/>
                <w:sz w:val="24"/>
                <w:szCs w:val="24"/>
              </w:rPr>
              <w:t xml:space="preserve"> and warranties</w:t>
            </w:r>
            <w:r w:rsidR="00B866C8">
              <w:rPr>
                <w:rFonts w:cstheme="minorHAnsi"/>
                <w:sz w:val="24"/>
                <w:szCs w:val="24"/>
              </w:rPr>
              <w:t xml:space="preserve">) </w:t>
            </w:r>
            <w:r w:rsidRPr="00750DEB">
              <w:rPr>
                <w:rFonts w:cstheme="minorHAnsi"/>
                <w:sz w:val="24"/>
                <w:szCs w:val="24"/>
              </w:rPr>
              <w:t xml:space="preserve">will not be capitalised as part of the asset costs. </w:t>
            </w:r>
          </w:p>
        </w:tc>
      </w:tr>
      <w:tr w:rsidR="00FC2BEC" w:rsidRPr="00750DEB" w14:paraId="06EBB2AF" w14:textId="77777777" w:rsidTr="00FC2BEC">
        <w:trPr>
          <w:trHeight w:val="1110"/>
        </w:trPr>
        <w:tc>
          <w:tcPr>
            <w:tcW w:w="2269" w:type="dxa"/>
            <w:hideMark/>
          </w:tcPr>
          <w:p w14:paraId="6B252787" w14:textId="77777777" w:rsidR="00FC2BEC" w:rsidRPr="00750DEB" w:rsidRDefault="00FC2BEC" w:rsidP="00270417">
            <w:pPr>
              <w:rPr>
                <w:rFonts w:cstheme="minorHAnsi"/>
                <w:b/>
                <w:bCs/>
                <w:sz w:val="24"/>
                <w:szCs w:val="24"/>
              </w:rPr>
            </w:pPr>
            <w:r w:rsidRPr="00750DEB">
              <w:rPr>
                <w:rFonts w:cstheme="minorHAnsi"/>
                <w:b/>
                <w:bCs/>
                <w:sz w:val="24"/>
                <w:szCs w:val="24"/>
              </w:rPr>
              <w:t>Measurement</w:t>
            </w:r>
          </w:p>
        </w:tc>
        <w:tc>
          <w:tcPr>
            <w:tcW w:w="8789" w:type="dxa"/>
            <w:hideMark/>
          </w:tcPr>
          <w:p w14:paraId="0B6A5B7F" w14:textId="56BA3C49" w:rsidR="00FC2BEC" w:rsidRPr="00750DEB" w:rsidRDefault="00FC2BEC" w:rsidP="00270417">
            <w:pPr>
              <w:rPr>
                <w:rFonts w:cstheme="minorHAnsi"/>
                <w:sz w:val="24"/>
                <w:szCs w:val="24"/>
              </w:rPr>
            </w:pPr>
            <w:r w:rsidRPr="00750DEB">
              <w:rPr>
                <w:rFonts w:cstheme="minorHAnsi"/>
                <w:sz w:val="24"/>
                <w:szCs w:val="24"/>
              </w:rPr>
              <w:t xml:space="preserve">Capitalised equipment is </w:t>
            </w:r>
            <w:r w:rsidR="00B866C8">
              <w:rPr>
                <w:rFonts w:cstheme="minorHAnsi"/>
                <w:sz w:val="24"/>
                <w:szCs w:val="24"/>
              </w:rPr>
              <w:t>recorded in the accounts</w:t>
            </w:r>
            <w:r w:rsidRPr="00750DEB">
              <w:rPr>
                <w:rFonts w:cstheme="minorHAnsi"/>
                <w:sz w:val="24"/>
                <w:szCs w:val="24"/>
              </w:rPr>
              <w:t xml:space="preserve"> at cost, less accumulated </w:t>
            </w:r>
            <w:proofErr w:type="gramStart"/>
            <w:r w:rsidRPr="00750DEB">
              <w:rPr>
                <w:rFonts w:cstheme="minorHAnsi"/>
                <w:sz w:val="24"/>
                <w:szCs w:val="24"/>
              </w:rPr>
              <w:t>depreciation</w:t>
            </w:r>
            <w:proofErr w:type="gramEnd"/>
            <w:r w:rsidRPr="00750DEB">
              <w:rPr>
                <w:rFonts w:cstheme="minorHAnsi"/>
                <w:sz w:val="24"/>
                <w:szCs w:val="24"/>
              </w:rPr>
              <w:t xml:space="preserve"> and impairment losses. Depreciation is calculated on straight line basis over </w:t>
            </w:r>
            <w:r w:rsidR="00B866C8">
              <w:rPr>
                <w:rFonts w:cstheme="minorHAnsi"/>
                <w:sz w:val="24"/>
                <w:szCs w:val="24"/>
              </w:rPr>
              <w:t xml:space="preserve">a </w:t>
            </w:r>
            <w:r w:rsidRPr="00750DEB">
              <w:rPr>
                <w:rFonts w:cstheme="minorHAnsi"/>
                <w:sz w:val="24"/>
                <w:szCs w:val="24"/>
              </w:rPr>
              <w:t>f</w:t>
            </w:r>
            <w:r w:rsidR="00B866C8">
              <w:rPr>
                <w:rFonts w:cstheme="minorHAnsi"/>
                <w:sz w:val="24"/>
                <w:szCs w:val="24"/>
              </w:rPr>
              <w:t>our</w:t>
            </w:r>
            <w:r w:rsidR="00183C0A">
              <w:rPr>
                <w:rFonts w:cstheme="minorHAnsi"/>
                <w:sz w:val="24"/>
                <w:szCs w:val="24"/>
              </w:rPr>
              <w:t>-</w:t>
            </w:r>
            <w:r w:rsidR="00B866C8">
              <w:rPr>
                <w:rFonts w:cstheme="minorHAnsi"/>
                <w:sz w:val="24"/>
                <w:szCs w:val="24"/>
              </w:rPr>
              <w:t>year period.</w:t>
            </w:r>
            <w:r w:rsidRPr="00750DEB">
              <w:rPr>
                <w:rFonts w:cstheme="minorHAnsi"/>
                <w:sz w:val="24"/>
                <w:szCs w:val="24"/>
              </w:rPr>
              <w:t xml:space="preserve"> </w:t>
            </w:r>
          </w:p>
          <w:p w14:paraId="0A44D328" w14:textId="77777777" w:rsidR="00FC2BEC" w:rsidRPr="00750DEB" w:rsidRDefault="00FC2BEC" w:rsidP="00270417">
            <w:pPr>
              <w:rPr>
                <w:rFonts w:cstheme="minorHAnsi"/>
                <w:sz w:val="24"/>
                <w:szCs w:val="24"/>
              </w:rPr>
            </w:pPr>
          </w:p>
          <w:p w14:paraId="0D656BF8" w14:textId="77777777" w:rsidR="00FC2BEC" w:rsidRPr="00750DEB" w:rsidRDefault="00FC2BEC" w:rsidP="00270417">
            <w:pPr>
              <w:rPr>
                <w:rFonts w:cstheme="minorHAnsi"/>
                <w:sz w:val="24"/>
                <w:szCs w:val="24"/>
              </w:rPr>
            </w:pPr>
          </w:p>
        </w:tc>
      </w:tr>
      <w:tr w:rsidR="00FC2BEC" w:rsidRPr="00750DEB" w14:paraId="35169FB0" w14:textId="77777777" w:rsidTr="00FC2BEC">
        <w:trPr>
          <w:trHeight w:val="1260"/>
        </w:trPr>
        <w:tc>
          <w:tcPr>
            <w:tcW w:w="2269" w:type="dxa"/>
            <w:hideMark/>
          </w:tcPr>
          <w:p w14:paraId="1B328FC9" w14:textId="77777777" w:rsidR="00FC2BEC" w:rsidRPr="00750DEB" w:rsidRDefault="00FC2BEC" w:rsidP="00270417">
            <w:pPr>
              <w:rPr>
                <w:rFonts w:cstheme="minorHAnsi"/>
                <w:b/>
                <w:bCs/>
                <w:sz w:val="24"/>
                <w:szCs w:val="24"/>
              </w:rPr>
            </w:pPr>
            <w:r w:rsidRPr="00750DEB">
              <w:rPr>
                <w:rFonts w:cstheme="minorHAnsi"/>
                <w:b/>
                <w:bCs/>
                <w:sz w:val="24"/>
                <w:szCs w:val="24"/>
              </w:rPr>
              <w:lastRenderedPageBreak/>
              <w:t>Subsequent expenditure</w:t>
            </w:r>
          </w:p>
        </w:tc>
        <w:tc>
          <w:tcPr>
            <w:tcW w:w="8789" w:type="dxa"/>
            <w:hideMark/>
          </w:tcPr>
          <w:p w14:paraId="7DC2CBF0" w14:textId="3CCA9285" w:rsidR="00FC2BEC" w:rsidRPr="00750DEB" w:rsidRDefault="00B866C8" w:rsidP="004F5937">
            <w:pPr>
              <w:rPr>
                <w:rFonts w:cstheme="minorHAnsi"/>
                <w:sz w:val="24"/>
                <w:szCs w:val="24"/>
              </w:rPr>
            </w:pPr>
            <w:r>
              <w:rPr>
                <w:rFonts w:cstheme="minorHAnsi"/>
                <w:sz w:val="24"/>
                <w:szCs w:val="24"/>
              </w:rPr>
              <w:t xml:space="preserve">Where the </w:t>
            </w:r>
            <w:r w:rsidRPr="00750DEB">
              <w:rPr>
                <w:rFonts w:cstheme="minorHAnsi"/>
                <w:sz w:val="24"/>
                <w:szCs w:val="24"/>
              </w:rPr>
              <w:t>cost</w:t>
            </w:r>
            <w:r>
              <w:rPr>
                <w:rFonts w:cstheme="minorHAnsi"/>
                <w:sz w:val="24"/>
                <w:szCs w:val="24"/>
              </w:rPr>
              <w:t>s</w:t>
            </w:r>
            <w:r w:rsidRPr="00750DEB">
              <w:rPr>
                <w:rFonts w:cstheme="minorHAnsi"/>
                <w:sz w:val="24"/>
                <w:szCs w:val="24"/>
              </w:rPr>
              <w:t xml:space="preserve"> of upgrading or enhancing an existing equipment asset</w:t>
            </w:r>
            <w:r>
              <w:rPr>
                <w:rFonts w:cstheme="minorHAnsi"/>
                <w:sz w:val="24"/>
                <w:szCs w:val="24"/>
              </w:rPr>
              <w:t xml:space="preserve"> exceeds £10,000, it</w:t>
            </w:r>
            <w:r w:rsidRPr="00750DEB">
              <w:rPr>
                <w:rFonts w:cstheme="minorHAnsi"/>
                <w:sz w:val="24"/>
                <w:szCs w:val="24"/>
              </w:rPr>
              <w:t xml:space="preserve"> </w:t>
            </w:r>
            <w:r w:rsidR="00FC2BEC" w:rsidRPr="00750DEB">
              <w:rPr>
                <w:rFonts w:cstheme="minorHAnsi"/>
                <w:sz w:val="24"/>
                <w:szCs w:val="24"/>
              </w:rPr>
              <w:t>will be treated as a separate asset addition</w:t>
            </w:r>
            <w:r w:rsidR="004F5937">
              <w:rPr>
                <w:rFonts w:cstheme="minorHAnsi"/>
                <w:sz w:val="24"/>
                <w:szCs w:val="24"/>
              </w:rPr>
              <w:t xml:space="preserve"> in the accounts. This means it will be </w:t>
            </w:r>
            <w:r w:rsidR="00FC2BEC" w:rsidRPr="00750DEB">
              <w:rPr>
                <w:rFonts w:cstheme="minorHAnsi"/>
                <w:sz w:val="24"/>
                <w:szCs w:val="24"/>
              </w:rPr>
              <w:t>measured on the same basis</w:t>
            </w:r>
            <w:r w:rsidR="004F5937">
              <w:rPr>
                <w:rFonts w:cstheme="minorHAnsi"/>
                <w:sz w:val="24"/>
                <w:szCs w:val="24"/>
              </w:rPr>
              <w:t xml:space="preserve"> as an asset,</w:t>
            </w:r>
            <w:r w:rsidR="00FC2BEC" w:rsidRPr="00750DEB">
              <w:rPr>
                <w:rFonts w:cstheme="minorHAnsi"/>
                <w:sz w:val="24"/>
                <w:szCs w:val="24"/>
              </w:rPr>
              <w:t xml:space="preserve"> subject to the same thresholds as if it were new.</w:t>
            </w:r>
          </w:p>
        </w:tc>
      </w:tr>
      <w:tr w:rsidR="00FC2BEC" w:rsidRPr="00750DEB" w14:paraId="3B35FE1E" w14:textId="77777777" w:rsidTr="00FC2BEC">
        <w:trPr>
          <w:trHeight w:val="630"/>
        </w:trPr>
        <w:tc>
          <w:tcPr>
            <w:tcW w:w="2269" w:type="dxa"/>
            <w:hideMark/>
          </w:tcPr>
          <w:p w14:paraId="3FF8F330" w14:textId="77777777" w:rsidR="00FC2BEC" w:rsidRPr="00750DEB" w:rsidRDefault="00FC2BEC" w:rsidP="00270417">
            <w:pPr>
              <w:rPr>
                <w:rFonts w:cstheme="minorHAnsi"/>
                <w:b/>
                <w:bCs/>
                <w:sz w:val="24"/>
                <w:szCs w:val="24"/>
              </w:rPr>
            </w:pPr>
            <w:r w:rsidRPr="00750DEB">
              <w:rPr>
                <w:rFonts w:cstheme="minorHAnsi"/>
                <w:b/>
                <w:bCs/>
                <w:sz w:val="24"/>
                <w:szCs w:val="24"/>
              </w:rPr>
              <w:t>Donated assets</w:t>
            </w:r>
          </w:p>
        </w:tc>
        <w:tc>
          <w:tcPr>
            <w:tcW w:w="8789" w:type="dxa"/>
            <w:noWrap/>
            <w:hideMark/>
          </w:tcPr>
          <w:p w14:paraId="4C964085" w14:textId="4C7CD74C" w:rsidR="00FC2BEC" w:rsidRPr="00750DEB" w:rsidRDefault="00FC2BEC" w:rsidP="005F2B92">
            <w:pPr>
              <w:rPr>
                <w:rFonts w:cstheme="minorHAnsi"/>
                <w:sz w:val="24"/>
                <w:szCs w:val="24"/>
              </w:rPr>
            </w:pPr>
            <w:r w:rsidRPr="00750DEB">
              <w:rPr>
                <w:rFonts w:cstheme="minorHAnsi"/>
                <w:sz w:val="24"/>
                <w:szCs w:val="24"/>
              </w:rPr>
              <w:t xml:space="preserve">Donated equipment assets are capitalised at fair value in the year of donation. </w:t>
            </w:r>
            <w:r w:rsidR="001D325D">
              <w:rPr>
                <w:rFonts w:cstheme="minorHAnsi"/>
                <w:sz w:val="24"/>
                <w:szCs w:val="24"/>
              </w:rPr>
              <w:t xml:space="preserve">Fair value </w:t>
            </w:r>
            <w:r w:rsidR="005F2B92">
              <w:rPr>
                <w:rFonts w:cstheme="minorHAnsi"/>
                <w:sz w:val="24"/>
                <w:szCs w:val="24"/>
              </w:rPr>
              <w:t>is</w:t>
            </w:r>
            <w:r w:rsidR="001D325D">
              <w:rPr>
                <w:rFonts w:cstheme="minorHAnsi"/>
                <w:sz w:val="24"/>
                <w:szCs w:val="24"/>
              </w:rPr>
              <w:t xml:space="preserve"> defined as the estimated market price.</w:t>
            </w:r>
          </w:p>
        </w:tc>
      </w:tr>
      <w:tr w:rsidR="00FC2BEC" w:rsidRPr="00750DEB" w14:paraId="13A0A937" w14:textId="77777777" w:rsidTr="00FC2BEC">
        <w:trPr>
          <w:trHeight w:val="1260"/>
        </w:trPr>
        <w:tc>
          <w:tcPr>
            <w:tcW w:w="2269" w:type="dxa"/>
            <w:hideMark/>
          </w:tcPr>
          <w:p w14:paraId="21628989" w14:textId="77777777" w:rsidR="00FC2BEC" w:rsidRPr="00750DEB" w:rsidRDefault="00FC2BEC" w:rsidP="00270417">
            <w:pPr>
              <w:rPr>
                <w:rFonts w:cstheme="minorHAnsi"/>
                <w:b/>
                <w:bCs/>
                <w:sz w:val="24"/>
                <w:szCs w:val="24"/>
              </w:rPr>
            </w:pPr>
            <w:r w:rsidRPr="00750DEB">
              <w:rPr>
                <w:rFonts w:cstheme="minorHAnsi"/>
                <w:b/>
                <w:bCs/>
                <w:sz w:val="24"/>
                <w:szCs w:val="24"/>
              </w:rPr>
              <w:t>Revaluations and impairments</w:t>
            </w:r>
          </w:p>
        </w:tc>
        <w:tc>
          <w:tcPr>
            <w:tcW w:w="8789" w:type="dxa"/>
            <w:hideMark/>
          </w:tcPr>
          <w:p w14:paraId="5C430EEE" w14:textId="55AE4F72" w:rsidR="00FC2BEC" w:rsidRPr="00750DEB" w:rsidRDefault="00FC2BEC" w:rsidP="00270417">
            <w:pPr>
              <w:rPr>
                <w:rFonts w:cstheme="minorHAnsi"/>
                <w:sz w:val="24"/>
                <w:szCs w:val="24"/>
              </w:rPr>
            </w:pPr>
            <w:r w:rsidRPr="00750DEB">
              <w:rPr>
                <w:rFonts w:cstheme="minorHAnsi"/>
                <w:sz w:val="24"/>
                <w:szCs w:val="24"/>
              </w:rPr>
              <w:t>The University does not revalue equipment assets. A review for impairment is carried out if events or changes in circumstances indicate that the carrying value of an asset may be lower tha</w:t>
            </w:r>
            <w:r w:rsidR="00183C0A">
              <w:rPr>
                <w:rFonts w:cstheme="minorHAnsi"/>
                <w:sz w:val="24"/>
                <w:szCs w:val="24"/>
              </w:rPr>
              <w:t>n</w:t>
            </w:r>
            <w:r w:rsidRPr="00750DEB">
              <w:rPr>
                <w:rFonts w:cstheme="minorHAnsi"/>
                <w:sz w:val="24"/>
                <w:szCs w:val="24"/>
              </w:rPr>
              <w:t xml:space="preserve"> stated.</w:t>
            </w:r>
          </w:p>
        </w:tc>
      </w:tr>
      <w:tr w:rsidR="00FC2BEC" w:rsidRPr="00750DEB" w14:paraId="0AA5BF75" w14:textId="77777777" w:rsidTr="00FC2BEC">
        <w:trPr>
          <w:trHeight w:val="1359"/>
        </w:trPr>
        <w:tc>
          <w:tcPr>
            <w:tcW w:w="2269" w:type="dxa"/>
            <w:hideMark/>
          </w:tcPr>
          <w:p w14:paraId="158853E9" w14:textId="77777777" w:rsidR="00FC2BEC" w:rsidRPr="00750DEB" w:rsidRDefault="00FC2BEC" w:rsidP="00270417">
            <w:pPr>
              <w:rPr>
                <w:rFonts w:cstheme="minorHAnsi"/>
                <w:b/>
                <w:bCs/>
                <w:sz w:val="24"/>
                <w:szCs w:val="24"/>
              </w:rPr>
            </w:pPr>
            <w:r w:rsidRPr="00750DEB">
              <w:rPr>
                <w:rFonts w:cstheme="minorHAnsi"/>
                <w:b/>
                <w:bCs/>
                <w:sz w:val="24"/>
                <w:szCs w:val="24"/>
              </w:rPr>
              <w:t>Depreciation</w:t>
            </w:r>
          </w:p>
        </w:tc>
        <w:tc>
          <w:tcPr>
            <w:tcW w:w="8789" w:type="dxa"/>
            <w:hideMark/>
          </w:tcPr>
          <w:p w14:paraId="2A07DC93" w14:textId="13E88787" w:rsidR="00FC2BEC" w:rsidRPr="00750DEB" w:rsidRDefault="00FC2BEC" w:rsidP="00270417">
            <w:pPr>
              <w:rPr>
                <w:rFonts w:cstheme="minorHAnsi"/>
                <w:sz w:val="24"/>
                <w:szCs w:val="24"/>
              </w:rPr>
            </w:pPr>
            <w:r w:rsidRPr="00750DEB">
              <w:rPr>
                <w:rFonts w:cstheme="minorHAnsi"/>
                <w:sz w:val="24"/>
                <w:szCs w:val="24"/>
              </w:rPr>
              <w:t>A full year’s depreciation is charged in the year an asset becomes available for use</w:t>
            </w:r>
            <w:r w:rsidR="004F5937">
              <w:rPr>
                <w:rFonts w:cstheme="minorHAnsi"/>
                <w:sz w:val="24"/>
                <w:szCs w:val="24"/>
              </w:rPr>
              <w:t xml:space="preserve"> (regardless of actual usage period)</w:t>
            </w:r>
            <w:r w:rsidRPr="00750DEB">
              <w:rPr>
                <w:rFonts w:cstheme="minorHAnsi"/>
                <w:sz w:val="24"/>
                <w:szCs w:val="24"/>
              </w:rPr>
              <w:t xml:space="preserve"> and depreciation is charged up to the month of disposal. Changes in an asset’s carrying value are depreciated over its remaining life.</w:t>
            </w:r>
          </w:p>
        </w:tc>
      </w:tr>
      <w:tr w:rsidR="00FC2BEC" w:rsidRPr="00750DEB" w14:paraId="2F2F5CAC" w14:textId="77777777" w:rsidTr="00FC2BEC">
        <w:trPr>
          <w:trHeight w:val="315"/>
        </w:trPr>
        <w:tc>
          <w:tcPr>
            <w:tcW w:w="11058" w:type="dxa"/>
            <w:gridSpan w:val="2"/>
            <w:hideMark/>
          </w:tcPr>
          <w:p w14:paraId="13AEACFF" w14:textId="77777777" w:rsidR="00FC2BEC" w:rsidRPr="00750DEB" w:rsidRDefault="00FC2BEC" w:rsidP="00270417">
            <w:pPr>
              <w:rPr>
                <w:rFonts w:cstheme="minorHAnsi"/>
                <w:b/>
                <w:bCs/>
                <w:sz w:val="24"/>
                <w:szCs w:val="24"/>
              </w:rPr>
            </w:pPr>
            <w:r w:rsidRPr="00750DEB">
              <w:rPr>
                <w:rFonts w:cstheme="minorHAnsi"/>
                <w:b/>
                <w:bCs/>
                <w:sz w:val="24"/>
                <w:szCs w:val="24"/>
              </w:rPr>
              <w:t>Other considerations</w:t>
            </w:r>
          </w:p>
        </w:tc>
      </w:tr>
      <w:tr w:rsidR="00FC2BEC" w:rsidRPr="00750DEB" w14:paraId="3038689F" w14:textId="77777777" w:rsidTr="00FC2BEC">
        <w:trPr>
          <w:trHeight w:val="1065"/>
        </w:trPr>
        <w:tc>
          <w:tcPr>
            <w:tcW w:w="2269" w:type="dxa"/>
            <w:hideMark/>
          </w:tcPr>
          <w:p w14:paraId="47030880" w14:textId="77777777" w:rsidR="00FC2BEC" w:rsidRPr="00750DEB" w:rsidRDefault="00FC2BEC" w:rsidP="00270417">
            <w:pPr>
              <w:rPr>
                <w:rFonts w:cstheme="minorHAnsi"/>
                <w:b/>
                <w:bCs/>
                <w:sz w:val="24"/>
                <w:szCs w:val="24"/>
              </w:rPr>
            </w:pPr>
            <w:r w:rsidRPr="00750DEB">
              <w:rPr>
                <w:rFonts w:cstheme="minorHAnsi"/>
                <w:b/>
                <w:bCs/>
                <w:sz w:val="24"/>
                <w:szCs w:val="24"/>
              </w:rPr>
              <w:t>Annual equipment verification exercise</w:t>
            </w:r>
          </w:p>
        </w:tc>
        <w:tc>
          <w:tcPr>
            <w:tcW w:w="8789" w:type="dxa"/>
            <w:hideMark/>
          </w:tcPr>
          <w:p w14:paraId="5A6A046B" w14:textId="555C9574" w:rsidR="00FC2BEC" w:rsidRPr="00750DEB" w:rsidRDefault="00D46BE0" w:rsidP="00D46BE0">
            <w:pPr>
              <w:rPr>
                <w:rFonts w:cstheme="minorHAnsi"/>
                <w:sz w:val="24"/>
                <w:szCs w:val="24"/>
              </w:rPr>
            </w:pPr>
            <w:r>
              <w:rPr>
                <w:rFonts w:cstheme="minorHAnsi"/>
                <w:sz w:val="24"/>
                <w:szCs w:val="24"/>
              </w:rPr>
              <w:t>The Financial</w:t>
            </w:r>
            <w:r w:rsidR="004F5937">
              <w:rPr>
                <w:rFonts w:cstheme="minorHAnsi"/>
                <w:sz w:val="24"/>
                <w:szCs w:val="24"/>
              </w:rPr>
              <w:t xml:space="preserve"> Information and Re</w:t>
            </w:r>
            <w:r>
              <w:rPr>
                <w:rFonts w:cstheme="minorHAnsi"/>
                <w:sz w:val="24"/>
                <w:szCs w:val="24"/>
              </w:rPr>
              <w:t>porting Strategy Team (FIRST) carry out</w:t>
            </w:r>
            <w:r w:rsidRPr="00750DEB">
              <w:rPr>
                <w:rFonts w:cstheme="minorHAnsi"/>
                <w:sz w:val="24"/>
                <w:szCs w:val="24"/>
              </w:rPr>
              <w:t xml:space="preserve"> </w:t>
            </w:r>
            <w:r>
              <w:rPr>
                <w:rFonts w:cstheme="minorHAnsi"/>
                <w:sz w:val="24"/>
                <w:szCs w:val="24"/>
              </w:rPr>
              <w:t>a</w:t>
            </w:r>
            <w:r w:rsidR="00FC2BEC" w:rsidRPr="00750DEB">
              <w:rPr>
                <w:rFonts w:cstheme="minorHAnsi"/>
                <w:sz w:val="24"/>
                <w:szCs w:val="24"/>
              </w:rPr>
              <w:t>n annual verification exercise</w:t>
            </w:r>
            <w:r>
              <w:rPr>
                <w:rFonts w:cstheme="minorHAnsi"/>
                <w:sz w:val="24"/>
                <w:szCs w:val="24"/>
              </w:rPr>
              <w:t xml:space="preserve"> of existing assets held. In the exercise,</w:t>
            </w:r>
            <w:r w:rsidR="00FC2BEC" w:rsidRPr="00750DEB">
              <w:rPr>
                <w:rFonts w:cstheme="minorHAnsi"/>
                <w:sz w:val="24"/>
                <w:szCs w:val="24"/>
              </w:rPr>
              <w:t xml:space="preserve"> each college and professional services group confirm that its asset records are correct, that no capital assets have been omitted and any asset disposals are reflected in the register.</w:t>
            </w:r>
          </w:p>
        </w:tc>
      </w:tr>
    </w:tbl>
    <w:p w14:paraId="7D9BDBA3" w14:textId="4DFFBC79" w:rsidR="00FC2BEC" w:rsidRPr="00750DEB" w:rsidRDefault="00FC2BEC" w:rsidP="00FC2BEC">
      <w:pPr>
        <w:rPr>
          <w:rFonts w:cstheme="minorHAnsi"/>
          <w:sz w:val="24"/>
          <w:szCs w:val="24"/>
        </w:rPr>
      </w:pPr>
    </w:p>
    <w:tbl>
      <w:tblPr>
        <w:tblStyle w:val="TableGrid"/>
        <w:tblW w:w="11058" w:type="dxa"/>
        <w:tblInd w:w="-998" w:type="dxa"/>
        <w:tblLook w:val="04A0" w:firstRow="1" w:lastRow="0" w:firstColumn="1" w:lastColumn="0" w:noHBand="0" w:noVBand="1"/>
      </w:tblPr>
      <w:tblGrid>
        <w:gridCol w:w="2269"/>
        <w:gridCol w:w="8789"/>
      </w:tblGrid>
      <w:tr w:rsidR="00FC2BEC" w:rsidRPr="00750DEB" w14:paraId="1B1F648D" w14:textId="77777777" w:rsidTr="00750DEB">
        <w:trPr>
          <w:trHeight w:val="337"/>
        </w:trPr>
        <w:tc>
          <w:tcPr>
            <w:tcW w:w="11058" w:type="dxa"/>
            <w:gridSpan w:val="2"/>
            <w:shd w:val="clear" w:color="auto" w:fill="F2F2F2" w:themeFill="background1" w:themeFillShade="F2"/>
          </w:tcPr>
          <w:p w14:paraId="5F45FD9D" w14:textId="77777777" w:rsidR="00FC2BEC" w:rsidRPr="00750DEB" w:rsidRDefault="00FC2BEC" w:rsidP="00270417">
            <w:pPr>
              <w:rPr>
                <w:rFonts w:cstheme="minorHAnsi"/>
                <w:sz w:val="24"/>
                <w:szCs w:val="24"/>
              </w:rPr>
            </w:pPr>
            <w:r w:rsidRPr="00750DEB">
              <w:rPr>
                <w:rFonts w:cstheme="minorHAnsi"/>
                <w:b/>
                <w:bCs/>
                <w:sz w:val="24"/>
                <w:szCs w:val="24"/>
              </w:rPr>
              <w:t>Tangible assets – land and buildings</w:t>
            </w:r>
          </w:p>
        </w:tc>
      </w:tr>
      <w:tr w:rsidR="00FC2BEC" w:rsidRPr="00750DEB" w14:paraId="6D19D567" w14:textId="77777777" w:rsidTr="00FC2BEC">
        <w:trPr>
          <w:trHeight w:val="975"/>
        </w:trPr>
        <w:tc>
          <w:tcPr>
            <w:tcW w:w="2269" w:type="dxa"/>
          </w:tcPr>
          <w:p w14:paraId="1E613A02" w14:textId="77777777" w:rsidR="00FC2BEC" w:rsidRPr="00750DEB" w:rsidRDefault="00FC2BEC" w:rsidP="00270417">
            <w:pPr>
              <w:rPr>
                <w:rFonts w:cstheme="minorHAnsi"/>
                <w:b/>
                <w:bCs/>
                <w:sz w:val="24"/>
                <w:szCs w:val="24"/>
              </w:rPr>
            </w:pPr>
            <w:r w:rsidRPr="00750DEB">
              <w:rPr>
                <w:rFonts w:eastAsia="Times New Roman" w:cstheme="minorHAnsi"/>
                <w:b/>
                <w:bCs/>
                <w:color w:val="000000"/>
                <w:sz w:val="24"/>
                <w:szCs w:val="24"/>
                <w:lang w:eastAsia="en-GB"/>
              </w:rPr>
              <w:t>Accounting policy</w:t>
            </w:r>
          </w:p>
        </w:tc>
        <w:tc>
          <w:tcPr>
            <w:tcW w:w="8789" w:type="dxa"/>
          </w:tcPr>
          <w:p w14:paraId="12FB2ED4" w14:textId="77777777" w:rsidR="00FC2BEC" w:rsidRPr="00750DEB" w:rsidRDefault="00FC2BEC" w:rsidP="00270417">
            <w:pPr>
              <w:rPr>
                <w:rFonts w:eastAsia="Times New Roman" w:cstheme="minorHAnsi"/>
                <w:color w:val="000000"/>
                <w:sz w:val="24"/>
                <w:szCs w:val="24"/>
                <w:lang w:eastAsia="en-GB"/>
              </w:rPr>
            </w:pPr>
            <w:r w:rsidRPr="00750DEB">
              <w:rPr>
                <w:rFonts w:eastAsia="Times New Roman" w:cstheme="minorHAnsi"/>
                <w:color w:val="000000"/>
                <w:sz w:val="24"/>
                <w:szCs w:val="24"/>
                <w:lang w:eastAsia="en-GB"/>
              </w:rPr>
              <w:t>Land and buildings (including plant and infrastructure assets) are stated at their deemed cost less accumulated depreciation and impairment losses.</w:t>
            </w:r>
          </w:p>
          <w:p w14:paraId="49403529" w14:textId="77777777" w:rsidR="00FC2BEC" w:rsidRPr="00750DEB" w:rsidRDefault="00FC2BEC" w:rsidP="00270417">
            <w:pPr>
              <w:rPr>
                <w:rFonts w:eastAsia="Times New Roman" w:cstheme="minorHAnsi"/>
                <w:color w:val="000000"/>
                <w:sz w:val="24"/>
                <w:szCs w:val="24"/>
                <w:lang w:eastAsia="en-GB"/>
              </w:rPr>
            </w:pPr>
          </w:p>
          <w:p w14:paraId="3F443DF0" w14:textId="77777777" w:rsidR="00FC2BEC" w:rsidRPr="00750DEB" w:rsidRDefault="00FC2BEC" w:rsidP="00270417">
            <w:pPr>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Gerald Eve LLP independently valued land and buildings owned by the University on 1 August 2014. Deemed cost comprises those valued amounts and the cost of any additions, or the fair value of any donations, after that date, in accordance with section 35.1 of Financial Reporting Standard 102. </w:t>
            </w:r>
          </w:p>
          <w:p w14:paraId="3808E413" w14:textId="77777777" w:rsidR="00FC2BEC" w:rsidRPr="00750DEB" w:rsidRDefault="00FC2BEC" w:rsidP="00270417">
            <w:pPr>
              <w:rPr>
                <w:rFonts w:eastAsia="Times New Roman" w:cstheme="minorHAnsi"/>
                <w:color w:val="000000"/>
                <w:sz w:val="24"/>
                <w:szCs w:val="24"/>
                <w:lang w:eastAsia="en-GB"/>
              </w:rPr>
            </w:pPr>
          </w:p>
          <w:p w14:paraId="4822761B" w14:textId="77777777" w:rsidR="00FC2BEC" w:rsidRPr="00750DEB" w:rsidRDefault="00FC2BEC" w:rsidP="00270417">
            <w:pPr>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Freehold land is not depreciated as it is considered to have an indefinite useful life. Freehold buildings are depreciated on a </w:t>
            </w:r>
            <w:proofErr w:type="gramStart"/>
            <w:r w:rsidRPr="00750DEB">
              <w:rPr>
                <w:rFonts w:eastAsia="Times New Roman" w:cstheme="minorHAnsi"/>
                <w:color w:val="000000"/>
                <w:sz w:val="24"/>
                <w:szCs w:val="24"/>
                <w:lang w:eastAsia="en-GB"/>
              </w:rPr>
              <w:t>straight line</w:t>
            </w:r>
            <w:proofErr w:type="gramEnd"/>
            <w:r w:rsidRPr="00750DEB">
              <w:rPr>
                <w:rFonts w:eastAsia="Times New Roman" w:cstheme="minorHAnsi"/>
                <w:color w:val="000000"/>
                <w:sz w:val="24"/>
                <w:szCs w:val="24"/>
                <w:lang w:eastAsia="en-GB"/>
              </w:rPr>
              <w:t xml:space="preserve"> basis over their expected useful economic lives as follows:</w:t>
            </w:r>
            <w:r w:rsidRPr="00750DEB">
              <w:rPr>
                <w:rFonts w:cstheme="minorHAnsi"/>
                <w:sz w:val="24"/>
                <w:szCs w:val="24"/>
              </w:rPr>
              <w:tab/>
            </w:r>
          </w:p>
        </w:tc>
      </w:tr>
      <w:tr w:rsidR="00FC2BEC" w:rsidRPr="00750DEB" w14:paraId="7A1610C5" w14:textId="77777777" w:rsidTr="00FC2BEC">
        <w:trPr>
          <w:trHeight w:val="975"/>
        </w:trPr>
        <w:tc>
          <w:tcPr>
            <w:tcW w:w="2269" w:type="dxa"/>
          </w:tcPr>
          <w:p w14:paraId="131CCA54" w14:textId="77777777" w:rsidR="00FC2BEC" w:rsidRPr="00750DEB" w:rsidRDefault="00FC2BEC" w:rsidP="00270417">
            <w:pPr>
              <w:rPr>
                <w:rFonts w:eastAsia="Times New Roman" w:cstheme="minorHAnsi"/>
                <w:b/>
                <w:bCs/>
                <w:color w:val="000000"/>
                <w:sz w:val="24"/>
                <w:szCs w:val="24"/>
                <w:lang w:eastAsia="en-GB"/>
              </w:rPr>
            </w:pPr>
          </w:p>
        </w:tc>
        <w:tc>
          <w:tcPr>
            <w:tcW w:w="8789" w:type="dxa"/>
          </w:tcPr>
          <w:tbl>
            <w:tblPr>
              <w:tblpPr w:leftFromText="180" w:rightFromText="180" w:horzAnchor="page" w:tblpX="531" w:tblpY="270"/>
              <w:tblOverlap w:val="never"/>
              <w:tblW w:w="6216" w:type="dxa"/>
              <w:tblLook w:val="04A0" w:firstRow="1" w:lastRow="0" w:firstColumn="1" w:lastColumn="0" w:noHBand="0" w:noVBand="1"/>
            </w:tblPr>
            <w:tblGrid>
              <w:gridCol w:w="2417"/>
              <w:gridCol w:w="3799"/>
            </w:tblGrid>
            <w:tr w:rsidR="00FC2BEC" w:rsidRPr="00750DEB" w14:paraId="74B03EB6" w14:textId="77777777" w:rsidTr="00270417">
              <w:trPr>
                <w:trHeight w:val="300"/>
              </w:trPr>
              <w:tc>
                <w:tcPr>
                  <w:tcW w:w="2417" w:type="dxa"/>
                  <w:tcBorders>
                    <w:top w:val="nil"/>
                    <w:left w:val="nil"/>
                    <w:bottom w:val="nil"/>
                    <w:right w:val="nil"/>
                  </w:tcBorders>
                  <w:shd w:val="clear" w:color="auto" w:fill="auto"/>
                  <w:noWrap/>
                  <w:vAlign w:val="center"/>
                </w:tcPr>
                <w:p w14:paraId="528AC05F" w14:textId="77777777" w:rsidR="00FC2BEC" w:rsidRPr="00750DEB" w:rsidRDefault="00FC2BEC" w:rsidP="00270417">
                  <w:pPr>
                    <w:spacing w:after="120" w:line="240" w:lineRule="auto"/>
                    <w:rPr>
                      <w:rFonts w:eastAsia="Times New Roman" w:cstheme="minorHAnsi"/>
                      <w:color w:val="000000"/>
                      <w:sz w:val="24"/>
                      <w:szCs w:val="24"/>
                      <w:lang w:eastAsia="en-GB"/>
                    </w:rPr>
                  </w:pPr>
                  <w:r w:rsidRPr="00750DEB">
                    <w:rPr>
                      <w:rFonts w:cstheme="minorHAnsi"/>
                      <w:sz w:val="24"/>
                      <w:szCs w:val="24"/>
                    </w:rPr>
                    <w:t>Major plant and infrastructure</w:t>
                  </w:r>
                  <w:r w:rsidRPr="00750DEB">
                    <w:rPr>
                      <w:rFonts w:cstheme="minorHAnsi"/>
                      <w:sz w:val="24"/>
                      <w:szCs w:val="24"/>
                    </w:rPr>
                    <w:tab/>
                  </w:r>
                </w:p>
              </w:tc>
              <w:tc>
                <w:tcPr>
                  <w:tcW w:w="3799" w:type="dxa"/>
                  <w:tcBorders>
                    <w:top w:val="nil"/>
                    <w:left w:val="nil"/>
                    <w:bottom w:val="nil"/>
                    <w:right w:val="single" w:sz="4" w:space="0" w:color="auto"/>
                  </w:tcBorders>
                  <w:shd w:val="clear" w:color="auto" w:fill="auto"/>
                  <w:noWrap/>
                  <w:vAlign w:val="center"/>
                </w:tcPr>
                <w:p w14:paraId="3002DDC5" w14:textId="77777777" w:rsidR="00FC2BEC" w:rsidRPr="00750DEB" w:rsidRDefault="00FC2BEC" w:rsidP="00270417">
                  <w:pPr>
                    <w:spacing w:after="0" w:line="240" w:lineRule="auto"/>
                    <w:rPr>
                      <w:rFonts w:cstheme="minorHAnsi"/>
                      <w:sz w:val="24"/>
                      <w:szCs w:val="24"/>
                    </w:rPr>
                  </w:pPr>
                  <w:r w:rsidRPr="00750DEB">
                    <w:rPr>
                      <w:rFonts w:cstheme="minorHAnsi"/>
                      <w:sz w:val="24"/>
                      <w:szCs w:val="24"/>
                    </w:rPr>
                    <w:t>10 to 15 years</w:t>
                  </w:r>
                </w:p>
                <w:p w14:paraId="79029F90" w14:textId="77777777" w:rsidR="00FC2BEC" w:rsidRPr="00750DEB" w:rsidRDefault="00FC2BEC" w:rsidP="00270417">
                  <w:pPr>
                    <w:spacing w:after="120" w:line="240" w:lineRule="auto"/>
                    <w:rPr>
                      <w:rFonts w:eastAsia="Times New Roman" w:cstheme="minorHAnsi"/>
                      <w:color w:val="000000"/>
                      <w:sz w:val="24"/>
                      <w:szCs w:val="24"/>
                      <w:lang w:eastAsia="en-GB"/>
                    </w:rPr>
                  </w:pPr>
                </w:p>
              </w:tc>
            </w:tr>
            <w:tr w:rsidR="00FC2BEC" w:rsidRPr="00750DEB" w14:paraId="70213DEE" w14:textId="77777777" w:rsidTr="00270417">
              <w:trPr>
                <w:trHeight w:val="300"/>
              </w:trPr>
              <w:tc>
                <w:tcPr>
                  <w:tcW w:w="2417" w:type="dxa"/>
                  <w:tcBorders>
                    <w:top w:val="nil"/>
                    <w:left w:val="single" w:sz="4" w:space="0" w:color="auto"/>
                    <w:bottom w:val="nil"/>
                    <w:right w:val="nil"/>
                  </w:tcBorders>
                  <w:shd w:val="clear" w:color="auto" w:fill="auto"/>
                  <w:noWrap/>
                  <w:vAlign w:val="center"/>
                </w:tcPr>
                <w:p w14:paraId="2862BF6F" w14:textId="2A0D0BEF" w:rsidR="00FC2BEC" w:rsidRPr="00750DEB" w:rsidRDefault="00FC2BEC" w:rsidP="00270417">
                  <w:pPr>
                    <w:spacing w:after="120" w:line="240" w:lineRule="auto"/>
                    <w:rPr>
                      <w:rFonts w:eastAsia="Times New Roman" w:cstheme="minorHAnsi"/>
                      <w:color w:val="000000"/>
                      <w:sz w:val="24"/>
                      <w:szCs w:val="24"/>
                      <w:lang w:eastAsia="en-GB"/>
                    </w:rPr>
                  </w:pPr>
                  <w:r w:rsidRPr="00750DEB">
                    <w:rPr>
                      <w:rFonts w:cstheme="minorHAnsi"/>
                      <w:sz w:val="24"/>
                      <w:szCs w:val="24"/>
                    </w:rPr>
                    <w:t>System built properties</w:t>
                  </w:r>
                  <w:r w:rsidR="004F5937">
                    <w:rPr>
                      <w:rFonts w:cstheme="minorHAnsi"/>
                      <w:sz w:val="24"/>
                      <w:szCs w:val="24"/>
                    </w:rPr>
                    <w:t xml:space="preserve"> (</w:t>
                  </w:r>
                  <w:proofErr w:type="spellStart"/>
                  <w:proofErr w:type="gramStart"/>
                  <w:r w:rsidR="004F5937">
                    <w:rPr>
                      <w:rFonts w:cstheme="minorHAnsi"/>
                      <w:sz w:val="24"/>
                      <w:szCs w:val="24"/>
                    </w:rPr>
                    <w:t>ie</w:t>
                  </w:r>
                  <w:proofErr w:type="spellEnd"/>
                  <w:proofErr w:type="gramEnd"/>
                  <w:r w:rsidR="004F5937">
                    <w:rPr>
                      <w:rFonts w:cstheme="minorHAnsi"/>
                      <w:sz w:val="24"/>
                      <w:szCs w:val="24"/>
                    </w:rPr>
                    <w:t xml:space="preserve"> a modular building)</w:t>
                  </w:r>
                </w:p>
              </w:tc>
              <w:tc>
                <w:tcPr>
                  <w:tcW w:w="3799" w:type="dxa"/>
                  <w:tcBorders>
                    <w:top w:val="nil"/>
                    <w:left w:val="nil"/>
                    <w:bottom w:val="nil"/>
                    <w:right w:val="single" w:sz="4" w:space="0" w:color="auto"/>
                  </w:tcBorders>
                  <w:shd w:val="clear" w:color="auto" w:fill="auto"/>
                  <w:noWrap/>
                  <w:vAlign w:val="center"/>
                </w:tcPr>
                <w:p w14:paraId="6F56CDC7" w14:textId="77777777" w:rsidR="00FC2BEC" w:rsidRPr="00750DEB" w:rsidRDefault="00FC2BEC" w:rsidP="00270417">
                  <w:pPr>
                    <w:spacing w:after="120" w:line="240" w:lineRule="auto"/>
                    <w:rPr>
                      <w:rFonts w:eastAsia="Times New Roman" w:cstheme="minorHAnsi"/>
                      <w:color w:val="000000"/>
                      <w:sz w:val="24"/>
                      <w:szCs w:val="24"/>
                      <w:lang w:eastAsia="en-GB"/>
                    </w:rPr>
                  </w:pPr>
                  <w:r w:rsidRPr="00750DEB">
                    <w:rPr>
                      <w:rFonts w:cstheme="minorHAnsi"/>
                      <w:sz w:val="24"/>
                      <w:szCs w:val="24"/>
                    </w:rPr>
                    <w:t>15 to 25 years</w:t>
                  </w:r>
                </w:p>
              </w:tc>
            </w:tr>
            <w:tr w:rsidR="00FC2BEC" w:rsidRPr="00750DEB" w14:paraId="3F16EC08" w14:textId="77777777" w:rsidTr="00270417">
              <w:trPr>
                <w:trHeight w:val="300"/>
              </w:trPr>
              <w:tc>
                <w:tcPr>
                  <w:tcW w:w="2417" w:type="dxa"/>
                  <w:tcBorders>
                    <w:top w:val="nil"/>
                    <w:left w:val="single" w:sz="4" w:space="0" w:color="auto"/>
                    <w:bottom w:val="nil"/>
                    <w:right w:val="nil"/>
                  </w:tcBorders>
                  <w:shd w:val="clear" w:color="auto" w:fill="auto"/>
                  <w:noWrap/>
                  <w:vAlign w:val="center"/>
                </w:tcPr>
                <w:p w14:paraId="4651D05E" w14:textId="77777777" w:rsidR="00FC2BEC" w:rsidRPr="00750DEB" w:rsidRDefault="00FC2BEC" w:rsidP="00270417">
                  <w:pPr>
                    <w:spacing w:after="120" w:line="240" w:lineRule="auto"/>
                    <w:rPr>
                      <w:rFonts w:eastAsia="Times New Roman" w:cstheme="minorHAnsi"/>
                      <w:color w:val="000000"/>
                      <w:sz w:val="24"/>
                      <w:szCs w:val="24"/>
                      <w:lang w:eastAsia="en-GB"/>
                    </w:rPr>
                  </w:pPr>
                  <w:r w:rsidRPr="00750DEB">
                    <w:rPr>
                      <w:rFonts w:cstheme="minorHAnsi"/>
                      <w:sz w:val="24"/>
                      <w:szCs w:val="24"/>
                    </w:rPr>
                    <w:t>General buildings</w:t>
                  </w:r>
                </w:p>
              </w:tc>
              <w:tc>
                <w:tcPr>
                  <w:tcW w:w="3799" w:type="dxa"/>
                  <w:tcBorders>
                    <w:top w:val="nil"/>
                    <w:left w:val="nil"/>
                    <w:bottom w:val="nil"/>
                    <w:right w:val="single" w:sz="4" w:space="0" w:color="auto"/>
                  </w:tcBorders>
                  <w:shd w:val="clear" w:color="auto" w:fill="auto"/>
                  <w:noWrap/>
                  <w:vAlign w:val="center"/>
                </w:tcPr>
                <w:p w14:paraId="4BB37832" w14:textId="77777777" w:rsidR="00FC2BEC" w:rsidRPr="00750DEB" w:rsidRDefault="00FC2BEC" w:rsidP="00270417">
                  <w:pPr>
                    <w:spacing w:after="120" w:line="240" w:lineRule="auto"/>
                    <w:rPr>
                      <w:rFonts w:eastAsia="Times New Roman" w:cstheme="minorHAnsi"/>
                      <w:color w:val="000000"/>
                      <w:sz w:val="24"/>
                      <w:szCs w:val="24"/>
                      <w:lang w:eastAsia="en-GB"/>
                    </w:rPr>
                  </w:pPr>
                  <w:r w:rsidRPr="00750DEB">
                    <w:rPr>
                      <w:rFonts w:cstheme="minorHAnsi"/>
                      <w:sz w:val="24"/>
                      <w:szCs w:val="24"/>
                    </w:rPr>
                    <w:t>50 to 80 years</w:t>
                  </w:r>
                </w:p>
              </w:tc>
            </w:tr>
            <w:tr w:rsidR="00FC2BEC" w:rsidRPr="00750DEB" w14:paraId="2B2718E0" w14:textId="77777777" w:rsidTr="00270417">
              <w:trPr>
                <w:trHeight w:val="300"/>
              </w:trPr>
              <w:tc>
                <w:tcPr>
                  <w:tcW w:w="2417" w:type="dxa"/>
                  <w:tcBorders>
                    <w:top w:val="nil"/>
                    <w:left w:val="nil"/>
                    <w:bottom w:val="nil"/>
                    <w:right w:val="nil"/>
                  </w:tcBorders>
                  <w:shd w:val="clear" w:color="auto" w:fill="auto"/>
                  <w:noWrap/>
                  <w:vAlign w:val="center"/>
                </w:tcPr>
                <w:p w14:paraId="6D69CEE3" w14:textId="77777777" w:rsidR="00FC2BEC" w:rsidRPr="00750DEB" w:rsidRDefault="00FC2BEC" w:rsidP="00270417">
                  <w:pPr>
                    <w:spacing w:after="120" w:line="240" w:lineRule="auto"/>
                    <w:rPr>
                      <w:rFonts w:eastAsia="Times New Roman" w:cstheme="minorHAnsi"/>
                      <w:color w:val="000000"/>
                      <w:sz w:val="24"/>
                      <w:szCs w:val="24"/>
                      <w:lang w:eastAsia="en-GB"/>
                    </w:rPr>
                  </w:pPr>
                  <w:r w:rsidRPr="00750DEB">
                    <w:rPr>
                      <w:rFonts w:cstheme="minorHAnsi"/>
                      <w:sz w:val="24"/>
                      <w:szCs w:val="24"/>
                    </w:rPr>
                    <w:t>Historic and legacy properties</w:t>
                  </w:r>
                </w:p>
              </w:tc>
              <w:tc>
                <w:tcPr>
                  <w:tcW w:w="3799" w:type="dxa"/>
                  <w:tcBorders>
                    <w:top w:val="nil"/>
                    <w:left w:val="nil"/>
                    <w:bottom w:val="nil"/>
                    <w:right w:val="single" w:sz="4" w:space="0" w:color="auto"/>
                  </w:tcBorders>
                  <w:shd w:val="clear" w:color="auto" w:fill="auto"/>
                  <w:noWrap/>
                  <w:vAlign w:val="center"/>
                </w:tcPr>
                <w:p w14:paraId="0F32CE75" w14:textId="77777777" w:rsidR="00FC2BEC" w:rsidRPr="00750DEB" w:rsidRDefault="00FC2BEC" w:rsidP="00270417">
                  <w:pPr>
                    <w:spacing w:after="120" w:line="240" w:lineRule="auto"/>
                    <w:rPr>
                      <w:rFonts w:eastAsia="Times New Roman" w:cstheme="minorHAnsi"/>
                      <w:color w:val="000000"/>
                      <w:sz w:val="24"/>
                      <w:szCs w:val="24"/>
                      <w:lang w:eastAsia="en-GB"/>
                    </w:rPr>
                  </w:pPr>
                  <w:r w:rsidRPr="00750DEB">
                    <w:rPr>
                      <w:rFonts w:cstheme="minorHAnsi"/>
                      <w:sz w:val="24"/>
                      <w:szCs w:val="24"/>
                    </w:rPr>
                    <w:t>100 years</w:t>
                  </w:r>
                </w:p>
              </w:tc>
            </w:tr>
            <w:tr w:rsidR="00FC2BEC" w:rsidRPr="00750DEB" w14:paraId="794A8027" w14:textId="77777777" w:rsidTr="00270417">
              <w:trPr>
                <w:trHeight w:val="300"/>
              </w:trPr>
              <w:tc>
                <w:tcPr>
                  <w:tcW w:w="2417" w:type="dxa"/>
                  <w:tcBorders>
                    <w:top w:val="nil"/>
                    <w:left w:val="nil"/>
                    <w:bottom w:val="nil"/>
                    <w:right w:val="nil"/>
                  </w:tcBorders>
                  <w:shd w:val="clear" w:color="auto" w:fill="auto"/>
                  <w:noWrap/>
                  <w:vAlign w:val="center"/>
                </w:tcPr>
                <w:p w14:paraId="15F20FF6" w14:textId="77777777" w:rsidR="00FC2BEC" w:rsidRPr="00750DEB" w:rsidRDefault="00FC2BEC" w:rsidP="00270417">
                  <w:pPr>
                    <w:spacing w:after="120" w:line="240" w:lineRule="auto"/>
                    <w:rPr>
                      <w:rFonts w:cstheme="minorHAnsi"/>
                      <w:sz w:val="24"/>
                      <w:szCs w:val="24"/>
                    </w:rPr>
                  </w:pPr>
                  <w:r w:rsidRPr="00750DEB">
                    <w:rPr>
                      <w:rFonts w:cstheme="minorHAnsi"/>
                      <w:sz w:val="24"/>
                      <w:szCs w:val="24"/>
                    </w:rPr>
                    <w:t>Major repair and refurbishments</w:t>
                  </w:r>
                </w:p>
              </w:tc>
              <w:tc>
                <w:tcPr>
                  <w:tcW w:w="3799" w:type="dxa"/>
                  <w:tcBorders>
                    <w:top w:val="nil"/>
                    <w:left w:val="nil"/>
                    <w:bottom w:val="nil"/>
                    <w:right w:val="single" w:sz="4" w:space="0" w:color="auto"/>
                  </w:tcBorders>
                  <w:shd w:val="clear" w:color="auto" w:fill="auto"/>
                  <w:noWrap/>
                  <w:vAlign w:val="center"/>
                </w:tcPr>
                <w:p w14:paraId="025B07E5" w14:textId="77777777" w:rsidR="00FC2BEC" w:rsidRPr="00750DEB" w:rsidRDefault="00FC2BEC" w:rsidP="00270417">
                  <w:pPr>
                    <w:spacing w:after="120" w:line="240" w:lineRule="auto"/>
                    <w:rPr>
                      <w:rFonts w:cstheme="minorHAnsi"/>
                      <w:sz w:val="24"/>
                      <w:szCs w:val="24"/>
                    </w:rPr>
                  </w:pPr>
                  <w:r w:rsidRPr="00750DEB">
                    <w:rPr>
                      <w:rFonts w:cstheme="minorHAnsi"/>
                      <w:sz w:val="24"/>
                      <w:szCs w:val="24"/>
                    </w:rPr>
                    <w:t>10 to 20 years</w:t>
                  </w:r>
                </w:p>
              </w:tc>
            </w:tr>
          </w:tbl>
          <w:p w14:paraId="3A235F91" w14:textId="77777777" w:rsidR="00FC2BEC" w:rsidRPr="00750DEB" w:rsidRDefault="00FC2BEC" w:rsidP="00270417">
            <w:pPr>
              <w:rPr>
                <w:rFonts w:eastAsia="Times New Roman" w:cstheme="minorHAnsi"/>
                <w:color w:val="000000"/>
                <w:sz w:val="24"/>
                <w:szCs w:val="24"/>
                <w:lang w:eastAsia="en-GB"/>
              </w:rPr>
            </w:pPr>
          </w:p>
        </w:tc>
      </w:tr>
      <w:tr w:rsidR="00FC2BEC" w:rsidRPr="00750DEB" w14:paraId="63F29EED" w14:textId="77777777" w:rsidTr="00FC2BEC">
        <w:trPr>
          <w:trHeight w:val="975"/>
        </w:trPr>
        <w:tc>
          <w:tcPr>
            <w:tcW w:w="2269" w:type="dxa"/>
          </w:tcPr>
          <w:p w14:paraId="3B8E4044"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Depreciation</w:t>
            </w:r>
          </w:p>
        </w:tc>
        <w:tc>
          <w:tcPr>
            <w:tcW w:w="8789" w:type="dxa"/>
          </w:tcPr>
          <w:p w14:paraId="5B443D5A"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Leasehold land and buildings are depreciated over the life of the lease up to a maximum of 50 years. No depreciation is charged on assets during the course of construction.</w:t>
            </w:r>
          </w:p>
        </w:tc>
      </w:tr>
      <w:tr w:rsidR="00FC2BEC" w:rsidRPr="00750DEB" w14:paraId="287FA354" w14:textId="77777777" w:rsidTr="00FC2BEC">
        <w:trPr>
          <w:trHeight w:val="975"/>
        </w:trPr>
        <w:tc>
          <w:tcPr>
            <w:tcW w:w="2269" w:type="dxa"/>
          </w:tcPr>
          <w:p w14:paraId="6DC7E640"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lastRenderedPageBreak/>
              <w:t>Subsequent expenditure</w:t>
            </w:r>
          </w:p>
          <w:p w14:paraId="28D924A1" w14:textId="77777777" w:rsidR="00FC2BEC" w:rsidRPr="00750DEB" w:rsidRDefault="00FC2BEC" w:rsidP="00270417">
            <w:pPr>
              <w:rPr>
                <w:rFonts w:eastAsia="Times New Roman" w:cstheme="minorHAnsi"/>
                <w:b/>
                <w:bCs/>
                <w:color w:val="000000"/>
                <w:sz w:val="24"/>
                <w:szCs w:val="24"/>
                <w:lang w:eastAsia="en-GB"/>
              </w:rPr>
            </w:pPr>
          </w:p>
          <w:p w14:paraId="2D5F063D"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Capital and Revenue Classification</w:t>
            </w:r>
          </w:p>
        </w:tc>
        <w:tc>
          <w:tcPr>
            <w:tcW w:w="8789" w:type="dxa"/>
          </w:tcPr>
          <w:p w14:paraId="317F0C28"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Subsequent expenditure on an asset is capitalised where the cost of renovating, </w:t>
            </w:r>
            <w:proofErr w:type="gramStart"/>
            <w:r w:rsidRPr="00750DEB">
              <w:rPr>
                <w:rFonts w:eastAsia="Times New Roman" w:cstheme="minorHAnsi"/>
                <w:color w:val="000000"/>
                <w:sz w:val="24"/>
                <w:szCs w:val="24"/>
                <w:lang w:eastAsia="en-GB"/>
              </w:rPr>
              <w:t>upgrading</w:t>
            </w:r>
            <w:proofErr w:type="gramEnd"/>
            <w:r w:rsidRPr="00750DEB">
              <w:rPr>
                <w:rFonts w:eastAsia="Times New Roman" w:cstheme="minorHAnsi"/>
                <w:color w:val="000000"/>
                <w:sz w:val="24"/>
                <w:szCs w:val="24"/>
                <w:lang w:eastAsia="en-GB"/>
              </w:rPr>
              <w:t xml:space="preserve"> or converting buildings prolongs the useful economic life, substantially adds to the total area of the building or enhances the economic benefits provided by the building. </w:t>
            </w:r>
          </w:p>
          <w:p w14:paraId="720224A2"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When accounting for subsequent expenditure on property, the following is classified as </w:t>
            </w:r>
            <w:r w:rsidRPr="00750DEB">
              <w:rPr>
                <w:rFonts w:eastAsia="Times New Roman" w:cstheme="minorHAnsi"/>
                <w:b/>
                <w:bCs/>
                <w:color w:val="000000"/>
                <w:sz w:val="24"/>
                <w:szCs w:val="24"/>
                <w:lang w:eastAsia="en-GB"/>
              </w:rPr>
              <w:t>capital</w:t>
            </w:r>
            <w:r w:rsidRPr="00750DEB">
              <w:rPr>
                <w:rFonts w:eastAsia="Times New Roman" w:cstheme="minorHAnsi"/>
                <w:color w:val="000000"/>
                <w:sz w:val="24"/>
                <w:szCs w:val="24"/>
                <w:lang w:eastAsia="en-GB"/>
              </w:rPr>
              <w:t>:</w:t>
            </w:r>
          </w:p>
          <w:p w14:paraId="57444D57"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Expenditure on the construction or acquisition of new buildings</w:t>
            </w:r>
          </w:p>
          <w:p w14:paraId="7257F16C"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Subsequent expenditure on renovations, upgrades and building conversion work</w:t>
            </w:r>
          </w:p>
          <w:p w14:paraId="32D5AEE0"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Demolition costs to enable the construction of a new building</w:t>
            </w:r>
          </w:p>
          <w:p w14:paraId="4AA29DEB" w14:textId="1B2A9D29"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Loose furniture and fittings acquired as part of a new build or initial fit out (capitalised and depreciated as equipment assets).</w:t>
            </w:r>
          </w:p>
          <w:p w14:paraId="5B911257" w14:textId="4CDBF214"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Major equipment purchases, such a</w:t>
            </w:r>
            <w:r w:rsidR="00183C0A">
              <w:rPr>
                <w:rFonts w:eastAsia="Times New Roman" w:cstheme="minorHAnsi"/>
                <w:color w:val="000000"/>
                <w:sz w:val="24"/>
                <w:szCs w:val="24"/>
                <w:lang w:eastAsia="en-GB"/>
              </w:rPr>
              <w:t>s</w:t>
            </w:r>
            <w:r w:rsidRPr="00750DEB">
              <w:rPr>
                <w:rFonts w:eastAsia="Times New Roman" w:cstheme="minorHAnsi"/>
                <w:color w:val="000000"/>
                <w:sz w:val="24"/>
                <w:szCs w:val="24"/>
                <w:lang w:eastAsia="en-GB"/>
              </w:rPr>
              <w:t xml:space="preserve"> medical or veterinary scanners, included within major projects (capitalised and depreciated as equipment assets)</w:t>
            </w:r>
          </w:p>
          <w:p w14:paraId="677988DE"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b/>
                <w:bCs/>
                <w:color w:val="000000"/>
                <w:sz w:val="24"/>
                <w:szCs w:val="24"/>
                <w:lang w:eastAsia="en-GB"/>
              </w:rPr>
              <w:t>Revenue</w:t>
            </w:r>
            <w:r w:rsidRPr="00750DEB">
              <w:rPr>
                <w:rFonts w:eastAsia="Times New Roman" w:cstheme="minorHAnsi"/>
                <w:color w:val="000000"/>
                <w:sz w:val="24"/>
                <w:szCs w:val="24"/>
                <w:lang w:eastAsia="en-GB"/>
              </w:rPr>
              <w:t xml:space="preserve"> costs incurred in such project budgets will not be capitalised, and include:</w:t>
            </w:r>
          </w:p>
          <w:p w14:paraId="3C8490C1" w14:textId="3641C042"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Other equipment costs not capitalised</w:t>
            </w:r>
            <w:r w:rsidR="00D46BE0">
              <w:rPr>
                <w:rFonts w:eastAsia="Times New Roman" w:cstheme="minorHAnsi"/>
                <w:color w:val="000000"/>
                <w:sz w:val="24"/>
                <w:szCs w:val="24"/>
                <w:lang w:eastAsia="en-GB"/>
              </w:rPr>
              <w:t xml:space="preserve"> as detailed in the capital equipment policy</w:t>
            </w:r>
            <w:r w:rsidRPr="00750DEB">
              <w:rPr>
                <w:rFonts w:eastAsia="Times New Roman" w:cstheme="minorHAnsi"/>
                <w:color w:val="000000"/>
                <w:sz w:val="24"/>
                <w:szCs w:val="24"/>
                <w:lang w:eastAsia="en-GB"/>
              </w:rPr>
              <w:t xml:space="preserve"> above</w:t>
            </w:r>
          </w:p>
          <w:p w14:paraId="44B2095D"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Other demolition costs</w:t>
            </w:r>
          </w:p>
          <w:p w14:paraId="7D1E1909"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Asbestos removal</w:t>
            </w:r>
          </w:p>
          <w:p w14:paraId="06B36FD3"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Decanting and subsequent reoccupation costs</w:t>
            </w:r>
          </w:p>
          <w:p w14:paraId="2CD5A761" w14:textId="0E414F6E"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Elements of repairs and maintenance</w:t>
            </w:r>
            <w:r w:rsidR="00D46BE0">
              <w:rPr>
                <w:rFonts w:eastAsia="Times New Roman" w:cstheme="minorHAnsi"/>
                <w:color w:val="000000"/>
                <w:sz w:val="24"/>
                <w:szCs w:val="24"/>
                <w:lang w:eastAsia="en-GB"/>
              </w:rPr>
              <w:t xml:space="preserve"> – where they do not upgrade or extend the useful economic life of the asset.</w:t>
            </w:r>
          </w:p>
          <w:p w14:paraId="1B82F0C8"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Departmental costs, travel &amp; meeting expenses</w:t>
            </w:r>
          </w:p>
          <w:p w14:paraId="095BF982"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Public realm works and financial contributions towards assets not owned by the University</w:t>
            </w:r>
          </w:p>
        </w:tc>
      </w:tr>
      <w:tr w:rsidR="00FC2BEC" w:rsidRPr="00750DEB" w14:paraId="256E7D1B" w14:textId="77777777" w:rsidTr="00FC2BEC">
        <w:trPr>
          <w:trHeight w:val="975"/>
        </w:trPr>
        <w:tc>
          <w:tcPr>
            <w:tcW w:w="2269" w:type="dxa"/>
          </w:tcPr>
          <w:p w14:paraId="43A9A2B6"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Donated assets</w:t>
            </w:r>
          </w:p>
        </w:tc>
        <w:tc>
          <w:tcPr>
            <w:tcW w:w="8789" w:type="dxa"/>
          </w:tcPr>
          <w:p w14:paraId="5DD3E7BF"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Donated land and building assets are capitalised at fair value in the year of donation.</w:t>
            </w:r>
          </w:p>
        </w:tc>
      </w:tr>
      <w:tr w:rsidR="00FC2BEC" w:rsidRPr="00750DEB" w14:paraId="469EC68E" w14:textId="77777777" w:rsidTr="00FC2BEC">
        <w:trPr>
          <w:trHeight w:val="975"/>
        </w:trPr>
        <w:tc>
          <w:tcPr>
            <w:tcW w:w="2269" w:type="dxa"/>
          </w:tcPr>
          <w:p w14:paraId="1AC22BCF"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Revaluations and impairments</w:t>
            </w:r>
          </w:p>
        </w:tc>
        <w:tc>
          <w:tcPr>
            <w:tcW w:w="8789" w:type="dxa"/>
          </w:tcPr>
          <w:p w14:paraId="2617641D" w14:textId="05A1DF71"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The University no longer </w:t>
            </w:r>
            <w:proofErr w:type="spellStart"/>
            <w:r w:rsidRPr="00750DEB">
              <w:rPr>
                <w:rFonts w:eastAsia="Times New Roman" w:cstheme="minorHAnsi"/>
                <w:color w:val="000000"/>
                <w:sz w:val="24"/>
                <w:szCs w:val="24"/>
                <w:lang w:eastAsia="en-GB"/>
              </w:rPr>
              <w:t>revalues</w:t>
            </w:r>
            <w:proofErr w:type="spellEnd"/>
            <w:r w:rsidRPr="00750DEB">
              <w:rPr>
                <w:rFonts w:eastAsia="Times New Roman" w:cstheme="minorHAnsi"/>
                <w:color w:val="000000"/>
                <w:sz w:val="24"/>
                <w:szCs w:val="24"/>
                <w:lang w:eastAsia="en-GB"/>
              </w:rPr>
              <w:t xml:space="preserve"> its land and buildings. An annual review for impairment is carried out on land and buildings to identify material events which would indicate changes in the lif</w:t>
            </w:r>
            <w:r w:rsidR="00953B41">
              <w:rPr>
                <w:rFonts w:eastAsia="Times New Roman" w:cstheme="minorHAnsi"/>
                <w:color w:val="000000"/>
                <w:sz w:val="24"/>
                <w:szCs w:val="24"/>
                <w:lang w:eastAsia="en-GB"/>
              </w:rPr>
              <w:t>e, use or condition of assets.</w:t>
            </w:r>
          </w:p>
          <w:p w14:paraId="6A68840D"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Project budgets will often include fees incurred in the planning stages of an Estates project. If a project is not pursued at the end of the planning process, these costs are expensed as part of the annual impairment review.</w:t>
            </w:r>
          </w:p>
        </w:tc>
      </w:tr>
      <w:tr w:rsidR="00FC2BEC" w:rsidRPr="00750DEB" w14:paraId="3C408EA2" w14:textId="77777777" w:rsidTr="00FC2BEC">
        <w:trPr>
          <w:trHeight w:val="975"/>
        </w:trPr>
        <w:tc>
          <w:tcPr>
            <w:tcW w:w="2269" w:type="dxa"/>
          </w:tcPr>
          <w:p w14:paraId="54341BA3"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Depreciation</w:t>
            </w:r>
          </w:p>
        </w:tc>
        <w:tc>
          <w:tcPr>
            <w:tcW w:w="8789" w:type="dxa"/>
          </w:tcPr>
          <w:p w14:paraId="6E152530"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strike/>
                <w:color w:val="000000"/>
                <w:sz w:val="24"/>
                <w:szCs w:val="24"/>
                <w:lang w:eastAsia="en-GB"/>
              </w:rPr>
              <w:t>.</w:t>
            </w:r>
            <w:r w:rsidRPr="00750DEB">
              <w:rPr>
                <w:rFonts w:eastAsia="Times New Roman" w:cstheme="minorHAnsi"/>
                <w:color w:val="000000"/>
                <w:sz w:val="24"/>
                <w:szCs w:val="24"/>
                <w:lang w:eastAsia="en-GB"/>
              </w:rPr>
              <w:t xml:space="preserve"> A full year’s depreciation is charged in the year an asset becomes available for use and </w:t>
            </w:r>
            <w:r w:rsidRPr="00750DEB">
              <w:rPr>
                <w:rFonts w:cstheme="minorHAnsi"/>
                <w:sz w:val="24"/>
                <w:szCs w:val="24"/>
              </w:rPr>
              <w:t xml:space="preserve">depreciation is charged up to the month of </w:t>
            </w:r>
            <w:proofErr w:type="gramStart"/>
            <w:r w:rsidRPr="00750DEB">
              <w:rPr>
                <w:rFonts w:cstheme="minorHAnsi"/>
                <w:sz w:val="24"/>
                <w:szCs w:val="24"/>
              </w:rPr>
              <w:t>disposal.</w:t>
            </w:r>
            <w:r w:rsidRPr="00750DEB">
              <w:rPr>
                <w:rFonts w:eastAsia="Times New Roman" w:cstheme="minorHAnsi"/>
                <w:color w:val="000000"/>
                <w:sz w:val="24"/>
                <w:szCs w:val="24"/>
                <w:lang w:eastAsia="en-GB"/>
              </w:rPr>
              <w:t>.</w:t>
            </w:r>
            <w:proofErr w:type="gramEnd"/>
            <w:r w:rsidRPr="00750DEB">
              <w:rPr>
                <w:rFonts w:eastAsia="Times New Roman" w:cstheme="minorHAnsi"/>
                <w:color w:val="000000"/>
                <w:sz w:val="24"/>
                <w:szCs w:val="24"/>
                <w:lang w:eastAsia="en-GB"/>
              </w:rPr>
              <w:t xml:space="preserve"> Changes in an asset’s carrying value are depreciated over its remaining life</w:t>
            </w:r>
          </w:p>
        </w:tc>
      </w:tr>
    </w:tbl>
    <w:p w14:paraId="13ACC1C8" w14:textId="3FFAEE2E" w:rsidR="00750DEB" w:rsidRDefault="00750DEB" w:rsidP="00FC2BEC">
      <w:pPr>
        <w:rPr>
          <w:rFonts w:cstheme="minorHAnsi"/>
          <w:sz w:val="24"/>
          <w:szCs w:val="24"/>
        </w:rPr>
      </w:pPr>
    </w:p>
    <w:p w14:paraId="1890366D" w14:textId="681571C1" w:rsidR="00750DEB" w:rsidRDefault="00750DEB">
      <w:pPr>
        <w:rPr>
          <w:rFonts w:cstheme="minorHAnsi"/>
          <w:sz w:val="24"/>
          <w:szCs w:val="24"/>
        </w:rPr>
      </w:pPr>
    </w:p>
    <w:tbl>
      <w:tblPr>
        <w:tblStyle w:val="TableGrid"/>
        <w:tblW w:w="11058" w:type="dxa"/>
        <w:tblInd w:w="-998" w:type="dxa"/>
        <w:tblLook w:val="04A0" w:firstRow="1" w:lastRow="0" w:firstColumn="1" w:lastColumn="0" w:noHBand="0" w:noVBand="1"/>
      </w:tblPr>
      <w:tblGrid>
        <w:gridCol w:w="2269"/>
        <w:gridCol w:w="8789"/>
      </w:tblGrid>
      <w:tr w:rsidR="00FC2BEC" w:rsidRPr="00750DEB" w14:paraId="4F14E2AA" w14:textId="77777777" w:rsidTr="00750DEB">
        <w:trPr>
          <w:trHeight w:val="315"/>
        </w:trPr>
        <w:tc>
          <w:tcPr>
            <w:tcW w:w="11058" w:type="dxa"/>
            <w:gridSpan w:val="2"/>
            <w:shd w:val="clear" w:color="auto" w:fill="F2F2F2" w:themeFill="background1" w:themeFillShade="F2"/>
            <w:noWrap/>
            <w:hideMark/>
          </w:tcPr>
          <w:p w14:paraId="6592E2D5" w14:textId="77777777" w:rsidR="00FC2BEC" w:rsidRPr="00750DEB" w:rsidRDefault="00FC2BEC" w:rsidP="00270417">
            <w:pPr>
              <w:jc w:val="center"/>
              <w:rPr>
                <w:rFonts w:cstheme="minorHAnsi"/>
                <w:b/>
                <w:bCs/>
                <w:sz w:val="24"/>
                <w:szCs w:val="24"/>
              </w:rPr>
            </w:pPr>
            <w:r w:rsidRPr="00750DEB">
              <w:rPr>
                <w:rFonts w:cstheme="minorHAnsi"/>
                <w:b/>
                <w:bCs/>
                <w:sz w:val="24"/>
                <w:szCs w:val="24"/>
              </w:rPr>
              <w:t>Intangible Assets</w:t>
            </w:r>
          </w:p>
        </w:tc>
      </w:tr>
      <w:tr w:rsidR="00FC2BEC" w:rsidRPr="00750DEB" w14:paraId="13592C06" w14:textId="77777777" w:rsidTr="00FC2BEC">
        <w:trPr>
          <w:trHeight w:val="1906"/>
        </w:trPr>
        <w:tc>
          <w:tcPr>
            <w:tcW w:w="2269" w:type="dxa"/>
            <w:hideMark/>
          </w:tcPr>
          <w:p w14:paraId="6F487310" w14:textId="77777777" w:rsidR="00FC2BEC" w:rsidRPr="00750DEB" w:rsidRDefault="00FC2BEC" w:rsidP="00270417">
            <w:pPr>
              <w:rPr>
                <w:rFonts w:cstheme="minorHAnsi"/>
                <w:b/>
                <w:bCs/>
                <w:sz w:val="24"/>
                <w:szCs w:val="24"/>
              </w:rPr>
            </w:pPr>
            <w:r w:rsidRPr="00750DEB">
              <w:rPr>
                <w:rFonts w:cstheme="minorHAnsi"/>
                <w:b/>
                <w:bCs/>
                <w:sz w:val="24"/>
                <w:szCs w:val="24"/>
              </w:rPr>
              <w:lastRenderedPageBreak/>
              <w:t>Accounting policy</w:t>
            </w:r>
          </w:p>
        </w:tc>
        <w:tc>
          <w:tcPr>
            <w:tcW w:w="8789" w:type="dxa"/>
            <w:hideMark/>
          </w:tcPr>
          <w:p w14:paraId="49732ED0" w14:textId="77777777" w:rsidR="00FC2BEC" w:rsidRPr="00750DEB" w:rsidRDefault="00FC2BEC" w:rsidP="00270417">
            <w:pPr>
              <w:rPr>
                <w:rFonts w:cstheme="minorHAnsi"/>
                <w:sz w:val="24"/>
                <w:szCs w:val="24"/>
              </w:rPr>
            </w:pPr>
            <w:r w:rsidRPr="00750DEB">
              <w:rPr>
                <w:rFonts w:cstheme="minorHAnsi"/>
                <w:sz w:val="24"/>
                <w:szCs w:val="24"/>
              </w:rPr>
              <w:t>Intangible assets represent the cost of software acquisitions, development and implementation costing £10,000 or more. Associated research and training costs are written off as incurred. Where software is integral to the operation of an item of equipment, its cost will be accounted for as a tangible asset provided that any other requirements for that class of asset are met.</w:t>
            </w:r>
          </w:p>
          <w:p w14:paraId="62D7C118" w14:textId="77777777" w:rsidR="00FC2BEC" w:rsidRPr="00750DEB" w:rsidRDefault="00FC2BEC" w:rsidP="00270417">
            <w:pPr>
              <w:rPr>
                <w:rFonts w:cstheme="minorHAnsi"/>
                <w:sz w:val="24"/>
                <w:szCs w:val="24"/>
              </w:rPr>
            </w:pPr>
          </w:p>
          <w:p w14:paraId="0A17A644" w14:textId="77777777" w:rsidR="00FC2BEC" w:rsidRPr="00750DEB" w:rsidRDefault="00FC2BEC" w:rsidP="00270417">
            <w:pPr>
              <w:rPr>
                <w:rFonts w:cstheme="minorHAnsi"/>
                <w:sz w:val="24"/>
                <w:szCs w:val="24"/>
              </w:rPr>
            </w:pPr>
            <w:r w:rsidRPr="00750DEB">
              <w:rPr>
                <w:rFonts w:cstheme="minorHAnsi"/>
                <w:sz w:val="24"/>
                <w:szCs w:val="24"/>
              </w:rPr>
              <w:t xml:space="preserve">The capitalisation threshold is inclusive of irrecoverable VAT. </w:t>
            </w:r>
          </w:p>
          <w:p w14:paraId="48522B6F" w14:textId="77777777" w:rsidR="00FC2BEC" w:rsidRPr="00750DEB" w:rsidRDefault="00FC2BEC" w:rsidP="00270417">
            <w:pPr>
              <w:rPr>
                <w:rFonts w:cstheme="minorHAnsi"/>
                <w:sz w:val="24"/>
                <w:szCs w:val="24"/>
              </w:rPr>
            </w:pPr>
          </w:p>
        </w:tc>
      </w:tr>
      <w:tr w:rsidR="00FC2BEC" w:rsidRPr="00750DEB" w14:paraId="15D4110C" w14:textId="77777777" w:rsidTr="00FC2BEC">
        <w:trPr>
          <w:trHeight w:val="735"/>
        </w:trPr>
        <w:tc>
          <w:tcPr>
            <w:tcW w:w="2269" w:type="dxa"/>
            <w:hideMark/>
          </w:tcPr>
          <w:p w14:paraId="5EFAAED4" w14:textId="77777777" w:rsidR="00FC2BEC" w:rsidRPr="00750DEB" w:rsidRDefault="00FC2BEC" w:rsidP="00270417">
            <w:pPr>
              <w:rPr>
                <w:rFonts w:cstheme="minorHAnsi"/>
                <w:b/>
                <w:bCs/>
                <w:sz w:val="24"/>
                <w:szCs w:val="24"/>
              </w:rPr>
            </w:pPr>
            <w:r w:rsidRPr="00750DEB">
              <w:rPr>
                <w:rFonts w:cstheme="minorHAnsi"/>
                <w:b/>
                <w:bCs/>
                <w:sz w:val="24"/>
                <w:szCs w:val="24"/>
              </w:rPr>
              <w:t>Measurement</w:t>
            </w:r>
          </w:p>
        </w:tc>
        <w:tc>
          <w:tcPr>
            <w:tcW w:w="8789" w:type="dxa"/>
            <w:hideMark/>
          </w:tcPr>
          <w:p w14:paraId="5211F440" w14:textId="77777777" w:rsidR="00FC2BEC" w:rsidRPr="00750DEB" w:rsidRDefault="00FC2BEC" w:rsidP="00270417">
            <w:pPr>
              <w:rPr>
                <w:rFonts w:cstheme="minorHAnsi"/>
                <w:sz w:val="24"/>
                <w:szCs w:val="24"/>
              </w:rPr>
            </w:pPr>
            <w:r w:rsidRPr="00750DEB">
              <w:rPr>
                <w:rFonts w:cstheme="minorHAnsi"/>
                <w:sz w:val="24"/>
                <w:szCs w:val="24"/>
              </w:rPr>
              <w:t xml:space="preserve">Assets are held at cost minus impairment losses and amortisation. </w:t>
            </w:r>
          </w:p>
        </w:tc>
      </w:tr>
      <w:tr w:rsidR="00FC2BEC" w:rsidRPr="00750DEB" w14:paraId="37A7B21A" w14:textId="77777777" w:rsidTr="00FC2BEC">
        <w:trPr>
          <w:trHeight w:val="1260"/>
        </w:trPr>
        <w:tc>
          <w:tcPr>
            <w:tcW w:w="2269" w:type="dxa"/>
            <w:hideMark/>
          </w:tcPr>
          <w:p w14:paraId="039EAC04" w14:textId="77777777" w:rsidR="00FC2BEC" w:rsidRPr="00750DEB" w:rsidRDefault="00FC2BEC" w:rsidP="00270417">
            <w:pPr>
              <w:rPr>
                <w:rFonts w:cstheme="minorHAnsi"/>
                <w:b/>
                <w:bCs/>
                <w:sz w:val="24"/>
                <w:szCs w:val="24"/>
              </w:rPr>
            </w:pPr>
            <w:r w:rsidRPr="00750DEB">
              <w:rPr>
                <w:rFonts w:cstheme="minorHAnsi"/>
                <w:b/>
                <w:bCs/>
                <w:sz w:val="24"/>
                <w:szCs w:val="24"/>
              </w:rPr>
              <w:t>Subsequent expenditure</w:t>
            </w:r>
          </w:p>
        </w:tc>
        <w:tc>
          <w:tcPr>
            <w:tcW w:w="8789" w:type="dxa"/>
            <w:hideMark/>
          </w:tcPr>
          <w:p w14:paraId="7939C0D5" w14:textId="77777777" w:rsidR="00FC2BEC" w:rsidRPr="00750DEB" w:rsidRDefault="00FC2BEC" w:rsidP="00270417">
            <w:pPr>
              <w:rPr>
                <w:rFonts w:cstheme="minorHAnsi"/>
                <w:sz w:val="24"/>
                <w:szCs w:val="24"/>
              </w:rPr>
            </w:pPr>
            <w:r w:rsidRPr="00750DEB">
              <w:rPr>
                <w:rFonts w:cstheme="minorHAnsi"/>
                <w:sz w:val="24"/>
                <w:szCs w:val="24"/>
              </w:rPr>
              <w:t>The cost of upgrading or enhancing an existing intangible asset will be treated as a separate asset addition, measured on the same basis and subject to the same thresholds as if it were new.</w:t>
            </w:r>
          </w:p>
        </w:tc>
      </w:tr>
      <w:tr w:rsidR="00FC2BEC" w:rsidRPr="00750DEB" w14:paraId="4DCB12EF" w14:textId="77777777" w:rsidTr="00FC2BEC">
        <w:trPr>
          <w:trHeight w:val="630"/>
        </w:trPr>
        <w:tc>
          <w:tcPr>
            <w:tcW w:w="2269" w:type="dxa"/>
            <w:hideMark/>
          </w:tcPr>
          <w:p w14:paraId="376859B3" w14:textId="77777777" w:rsidR="00FC2BEC" w:rsidRPr="00750DEB" w:rsidRDefault="00FC2BEC" w:rsidP="00270417">
            <w:pPr>
              <w:rPr>
                <w:rFonts w:cstheme="minorHAnsi"/>
                <w:b/>
                <w:bCs/>
                <w:sz w:val="24"/>
                <w:szCs w:val="24"/>
              </w:rPr>
            </w:pPr>
            <w:r w:rsidRPr="00750DEB">
              <w:rPr>
                <w:rFonts w:cstheme="minorHAnsi"/>
                <w:b/>
                <w:bCs/>
                <w:sz w:val="24"/>
                <w:szCs w:val="24"/>
              </w:rPr>
              <w:t>Donated assets</w:t>
            </w:r>
          </w:p>
        </w:tc>
        <w:tc>
          <w:tcPr>
            <w:tcW w:w="8789" w:type="dxa"/>
            <w:noWrap/>
            <w:hideMark/>
          </w:tcPr>
          <w:p w14:paraId="39460218" w14:textId="77777777" w:rsidR="00FC2BEC" w:rsidRPr="00750DEB" w:rsidRDefault="00FC2BEC" w:rsidP="00270417">
            <w:pPr>
              <w:rPr>
                <w:rFonts w:cstheme="minorHAnsi"/>
                <w:sz w:val="24"/>
                <w:szCs w:val="24"/>
              </w:rPr>
            </w:pPr>
            <w:r w:rsidRPr="00750DEB">
              <w:rPr>
                <w:rFonts w:cstheme="minorHAnsi"/>
                <w:sz w:val="24"/>
                <w:szCs w:val="24"/>
              </w:rPr>
              <w:t xml:space="preserve">Donated intangible assets are capitalised at fair value in the year of donation. </w:t>
            </w:r>
          </w:p>
        </w:tc>
      </w:tr>
      <w:tr w:rsidR="00FC2BEC" w:rsidRPr="00750DEB" w14:paraId="1BDEAD0D" w14:textId="77777777" w:rsidTr="00FC2BEC">
        <w:trPr>
          <w:trHeight w:val="1095"/>
        </w:trPr>
        <w:tc>
          <w:tcPr>
            <w:tcW w:w="2269" w:type="dxa"/>
            <w:hideMark/>
          </w:tcPr>
          <w:p w14:paraId="02A227DB" w14:textId="77777777" w:rsidR="00FC2BEC" w:rsidRPr="00750DEB" w:rsidRDefault="00FC2BEC" w:rsidP="00270417">
            <w:pPr>
              <w:rPr>
                <w:rFonts w:cstheme="minorHAnsi"/>
                <w:b/>
                <w:bCs/>
                <w:sz w:val="24"/>
                <w:szCs w:val="24"/>
              </w:rPr>
            </w:pPr>
            <w:r w:rsidRPr="00750DEB">
              <w:rPr>
                <w:rFonts w:cstheme="minorHAnsi"/>
                <w:b/>
                <w:bCs/>
                <w:sz w:val="24"/>
                <w:szCs w:val="24"/>
              </w:rPr>
              <w:t>Revaluations and impairments</w:t>
            </w:r>
          </w:p>
        </w:tc>
        <w:tc>
          <w:tcPr>
            <w:tcW w:w="8789" w:type="dxa"/>
            <w:hideMark/>
          </w:tcPr>
          <w:p w14:paraId="21DFA58C" w14:textId="74577FEF" w:rsidR="00FC2BEC" w:rsidRPr="00750DEB" w:rsidRDefault="00FC2BEC" w:rsidP="00270417">
            <w:pPr>
              <w:rPr>
                <w:rFonts w:cstheme="minorHAnsi"/>
                <w:sz w:val="24"/>
                <w:szCs w:val="24"/>
              </w:rPr>
            </w:pPr>
            <w:r w:rsidRPr="00750DEB">
              <w:rPr>
                <w:rFonts w:cstheme="minorHAnsi"/>
                <w:sz w:val="24"/>
                <w:szCs w:val="24"/>
              </w:rPr>
              <w:t>The University does not revalue intangible</w:t>
            </w:r>
            <w:r w:rsidR="00D46BE0">
              <w:rPr>
                <w:rFonts w:cstheme="minorHAnsi"/>
                <w:sz w:val="24"/>
                <w:szCs w:val="24"/>
              </w:rPr>
              <w:t xml:space="preserve"> assets</w:t>
            </w:r>
            <w:r w:rsidRPr="00750DEB">
              <w:rPr>
                <w:rFonts w:cstheme="minorHAnsi"/>
                <w:sz w:val="24"/>
                <w:szCs w:val="24"/>
              </w:rPr>
              <w:t>. A review for impairment is carried out if events or changes in circumstances indicate that the carrying value of an asset may be lower t</w:t>
            </w:r>
            <w:r w:rsidR="00D46BE0">
              <w:rPr>
                <w:rFonts w:cstheme="minorHAnsi"/>
                <w:sz w:val="24"/>
                <w:szCs w:val="24"/>
              </w:rPr>
              <w:t>han</w:t>
            </w:r>
            <w:r w:rsidRPr="00750DEB">
              <w:rPr>
                <w:rFonts w:cstheme="minorHAnsi"/>
                <w:sz w:val="24"/>
                <w:szCs w:val="24"/>
              </w:rPr>
              <w:t xml:space="preserve"> stated.</w:t>
            </w:r>
          </w:p>
        </w:tc>
      </w:tr>
      <w:tr w:rsidR="00FC2BEC" w:rsidRPr="00750DEB" w14:paraId="43E1D9D2" w14:textId="77777777" w:rsidTr="00FC2BEC">
        <w:trPr>
          <w:trHeight w:val="735"/>
        </w:trPr>
        <w:tc>
          <w:tcPr>
            <w:tcW w:w="2269" w:type="dxa"/>
            <w:hideMark/>
          </w:tcPr>
          <w:p w14:paraId="48A19740" w14:textId="77777777" w:rsidR="00FC2BEC" w:rsidRPr="00750DEB" w:rsidRDefault="00FC2BEC" w:rsidP="00270417">
            <w:pPr>
              <w:rPr>
                <w:rFonts w:cstheme="minorHAnsi"/>
                <w:b/>
                <w:bCs/>
                <w:sz w:val="24"/>
                <w:szCs w:val="24"/>
              </w:rPr>
            </w:pPr>
            <w:r w:rsidRPr="00750DEB">
              <w:rPr>
                <w:rFonts w:cstheme="minorHAnsi"/>
                <w:b/>
                <w:bCs/>
                <w:sz w:val="24"/>
                <w:szCs w:val="24"/>
              </w:rPr>
              <w:t>Amortisation</w:t>
            </w:r>
          </w:p>
        </w:tc>
        <w:tc>
          <w:tcPr>
            <w:tcW w:w="8789" w:type="dxa"/>
            <w:hideMark/>
          </w:tcPr>
          <w:p w14:paraId="7A344FAF" w14:textId="77777777" w:rsidR="00FC2BEC" w:rsidRPr="00750DEB" w:rsidRDefault="00FC2BEC" w:rsidP="00270417">
            <w:pPr>
              <w:rPr>
                <w:rFonts w:cstheme="minorHAnsi"/>
                <w:sz w:val="24"/>
                <w:szCs w:val="24"/>
              </w:rPr>
            </w:pPr>
            <w:r w:rsidRPr="00750DEB">
              <w:rPr>
                <w:rFonts w:cstheme="minorHAnsi"/>
                <w:sz w:val="24"/>
                <w:szCs w:val="24"/>
              </w:rPr>
              <w:t>A full year’s amortisation is charged in the year an asset becomes available for use and amortisation is charged up to the month of disposal. Amortisation is calculated on straight line basis over an asset’s useful economic life, being between four and ten years.</w:t>
            </w:r>
          </w:p>
        </w:tc>
      </w:tr>
      <w:tr w:rsidR="00FC2BEC" w:rsidRPr="00750DEB" w14:paraId="7DEE7985" w14:textId="77777777" w:rsidTr="00FC2BEC">
        <w:trPr>
          <w:trHeight w:val="315"/>
        </w:trPr>
        <w:tc>
          <w:tcPr>
            <w:tcW w:w="11058" w:type="dxa"/>
            <w:gridSpan w:val="2"/>
            <w:hideMark/>
          </w:tcPr>
          <w:p w14:paraId="4A6E20D5" w14:textId="77777777" w:rsidR="00FC2BEC" w:rsidRPr="00750DEB" w:rsidRDefault="00FC2BEC" w:rsidP="00270417">
            <w:pPr>
              <w:rPr>
                <w:rFonts w:cstheme="minorHAnsi"/>
                <w:b/>
                <w:bCs/>
                <w:sz w:val="24"/>
                <w:szCs w:val="24"/>
              </w:rPr>
            </w:pPr>
            <w:r w:rsidRPr="00750DEB">
              <w:rPr>
                <w:rFonts w:cstheme="minorHAnsi"/>
                <w:b/>
                <w:bCs/>
                <w:sz w:val="24"/>
                <w:szCs w:val="24"/>
              </w:rPr>
              <w:t>Other considerations</w:t>
            </w:r>
          </w:p>
        </w:tc>
      </w:tr>
      <w:tr w:rsidR="00FC2BEC" w:rsidRPr="00750DEB" w14:paraId="15DCBC84" w14:textId="77777777" w:rsidTr="00FC2BEC">
        <w:trPr>
          <w:trHeight w:val="1065"/>
        </w:trPr>
        <w:tc>
          <w:tcPr>
            <w:tcW w:w="2269" w:type="dxa"/>
            <w:noWrap/>
            <w:hideMark/>
          </w:tcPr>
          <w:p w14:paraId="40B8E3F8" w14:textId="77777777" w:rsidR="00FC2BEC" w:rsidRPr="00750DEB" w:rsidRDefault="00FC2BEC" w:rsidP="00270417">
            <w:pPr>
              <w:rPr>
                <w:rFonts w:cstheme="minorHAnsi"/>
                <w:b/>
                <w:bCs/>
                <w:sz w:val="24"/>
                <w:szCs w:val="24"/>
              </w:rPr>
            </w:pPr>
            <w:r w:rsidRPr="00750DEB">
              <w:rPr>
                <w:rFonts w:cstheme="minorHAnsi"/>
                <w:b/>
                <w:bCs/>
                <w:sz w:val="24"/>
                <w:szCs w:val="24"/>
              </w:rPr>
              <w:t>Software as a service and cloud computing</w:t>
            </w:r>
          </w:p>
        </w:tc>
        <w:tc>
          <w:tcPr>
            <w:tcW w:w="8789" w:type="dxa"/>
            <w:hideMark/>
          </w:tcPr>
          <w:p w14:paraId="100E764A" w14:textId="77777777" w:rsidR="00FC2BEC" w:rsidRPr="00750DEB" w:rsidRDefault="00FC2BEC" w:rsidP="00270417">
            <w:pPr>
              <w:rPr>
                <w:rFonts w:cstheme="minorHAnsi"/>
                <w:sz w:val="24"/>
                <w:szCs w:val="24"/>
              </w:rPr>
            </w:pPr>
            <w:r w:rsidRPr="00750DEB">
              <w:rPr>
                <w:rFonts w:cstheme="minorHAnsi"/>
                <w:sz w:val="24"/>
                <w:szCs w:val="24"/>
              </w:rPr>
              <w:t xml:space="preserve">Whilst the licensing costs and subscriptions for software as a service arrangements and cloud computing services are revenue and cannot be capitalised, the development costs incurred customising, </w:t>
            </w:r>
            <w:proofErr w:type="gramStart"/>
            <w:r w:rsidRPr="00750DEB">
              <w:rPr>
                <w:rFonts w:cstheme="minorHAnsi"/>
                <w:sz w:val="24"/>
                <w:szCs w:val="24"/>
              </w:rPr>
              <w:t>configuring</w:t>
            </w:r>
            <w:proofErr w:type="gramEnd"/>
            <w:r w:rsidRPr="00750DEB">
              <w:rPr>
                <w:rFonts w:cstheme="minorHAnsi"/>
                <w:sz w:val="24"/>
                <w:szCs w:val="24"/>
              </w:rPr>
              <w:t xml:space="preserve"> and implementing these services can be capitalised where they meet the thresholds for this asset type.</w:t>
            </w:r>
          </w:p>
        </w:tc>
      </w:tr>
    </w:tbl>
    <w:p w14:paraId="3101EDB3" w14:textId="18BC9A27" w:rsidR="00FC2BEC" w:rsidRPr="00750DEB" w:rsidRDefault="00FC2BEC" w:rsidP="00FC2BEC">
      <w:pPr>
        <w:rPr>
          <w:rFonts w:cstheme="minorHAnsi"/>
          <w:sz w:val="24"/>
          <w:szCs w:val="24"/>
        </w:rPr>
      </w:pPr>
    </w:p>
    <w:tbl>
      <w:tblPr>
        <w:tblStyle w:val="TableGrid"/>
        <w:tblW w:w="11058" w:type="dxa"/>
        <w:tblInd w:w="-998" w:type="dxa"/>
        <w:tblLook w:val="04A0" w:firstRow="1" w:lastRow="0" w:firstColumn="1" w:lastColumn="0" w:noHBand="0" w:noVBand="1"/>
      </w:tblPr>
      <w:tblGrid>
        <w:gridCol w:w="2269"/>
        <w:gridCol w:w="8789"/>
      </w:tblGrid>
      <w:tr w:rsidR="00FC2BEC" w:rsidRPr="00750DEB" w14:paraId="11B91412" w14:textId="77777777" w:rsidTr="00750DEB">
        <w:trPr>
          <w:trHeight w:val="344"/>
        </w:trPr>
        <w:tc>
          <w:tcPr>
            <w:tcW w:w="11058" w:type="dxa"/>
            <w:gridSpan w:val="2"/>
            <w:shd w:val="clear" w:color="auto" w:fill="F2F2F2" w:themeFill="background1" w:themeFillShade="F2"/>
          </w:tcPr>
          <w:p w14:paraId="3208ABF1" w14:textId="77777777" w:rsidR="00FC2BEC" w:rsidRPr="00750DEB" w:rsidRDefault="00FC2BEC" w:rsidP="00270417">
            <w:pPr>
              <w:spacing w:after="120"/>
              <w:rPr>
                <w:rFonts w:eastAsia="Times New Roman" w:cstheme="minorHAnsi"/>
                <w:b/>
                <w:color w:val="000000"/>
                <w:sz w:val="24"/>
                <w:szCs w:val="24"/>
                <w:lang w:eastAsia="en-GB"/>
              </w:rPr>
            </w:pPr>
            <w:r w:rsidRPr="00750DEB">
              <w:rPr>
                <w:rFonts w:eastAsia="Times New Roman" w:cstheme="minorHAnsi"/>
                <w:b/>
                <w:color w:val="000000"/>
                <w:sz w:val="24"/>
                <w:szCs w:val="24"/>
                <w:lang w:eastAsia="en-GB"/>
              </w:rPr>
              <w:t>Heritage Assets</w:t>
            </w:r>
          </w:p>
        </w:tc>
      </w:tr>
      <w:tr w:rsidR="00FC2BEC" w:rsidRPr="00750DEB" w14:paraId="2177BDE7" w14:textId="77777777" w:rsidTr="00FC2BEC">
        <w:trPr>
          <w:trHeight w:val="975"/>
        </w:trPr>
        <w:tc>
          <w:tcPr>
            <w:tcW w:w="2269" w:type="dxa"/>
          </w:tcPr>
          <w:p w14:paraId="0443B003"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Accounting policy</w:t>
            </w:r>
          </w:p>
        </w:tc>
        <w:tc>
          <w:tcPr>
            <w:tcW w:w="8789" w:type="dxa"/>
          </w:tcPr>
          <w:p w14:paraId="33C422C8"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The University holds, </w:t>
            </w:r>
            <w:proofErr w:type="gramStart"/>
            <w:r w:rsidRPr="00750DEB">
              <w:rPr>
                <w:rFonts w:eastAsia="Times New Roman" w:cstheme="minorHAnsi"/>
                <w:color w:val="000000"/>
                <w:sz w:val="24"/>
                <w:szCs w:val="24"/>
                <w:lang w:eastAsia="en-GB"/>
              </w:rPr>
              <w:t>preserves</w:t>
            </w:r>
            <w:proofErr w:type="gramEnd"/>
            <w:r w:rsidRPr="00750DEB">
              <w:rPr>
                <w:rFonts w:eastAsia="Times New Roman" w:cstheme="minorHAnsi"/>
                <w:color w:val="000000"/>
                <w:sz w:val="24"/>
                <w:szCs w:val="24"/>
                <w:lang w:eastAsia="en-GB"/>
              </w:rPr>
              <w:t xml:space="preserve"> and makes available a number of collections, exhibits, artefacts and other assets of historical, artistic or scientific importance. Heritage asset acquisitions are held at cost, or fair value for donations, and are subject to revaluation at fair value through other comprehensive income.  </w:t>
            </w:r>
          </w:p>
          <w:p w14:paraId="06771545" w14:textId="77777777" w:rsidR="00FC2BEC" w:rsidRPr="00750DEB" w:rsidRDefault="00FC2BEC" w:rsidP="00270417">
            <w:pPr>
              <w:spacing w:after="120"/>
              <w:rPr>
                <w:rFonts w:eastAsia="Times New Roman" w:cstheme="minorHAnsi"/>
                <w:color w:val="000000"/>
                <w:sz w:val="24"/>
                <w:szCs w:val="24"/>
                <w:lang w:eastAsia="en-GB"/>
              </w:rPr>
            </w:pPr>
          </w:p>
        </w:tc>
      </w:tr>
      <w:tr w:rsidR="00FC2BEC" w:rsidRPr="00750DEB" w14:paraId="59F69EA9" w14:textId="77777777" w:rsidTr="00FC2BEC">
        <w:trPr>
          <w:trHeight w:val="975"/>
        </w:trPr>
        <w:tc>
          <w:tcPr>
            <w:tcW w:w="2269" w:type="dxa"/>
          </w:tcPr>
          <w:p w14:paraId="09BD057D"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Measurement</w:t>
            </w:r>
          </w:p>
        </w:tc>
        <w:tc>
          <w:tcPr>
            <w:tcW w:w="8789" w:type="dxa"/>
          </w:tcPr>
          <w:p w14:paraId="33883339"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Heritage assets are not depreciated since their long economic life and high residual value mean that any depreciation would not be material.</w:t>
            </w:r>
          </w:p>
          <w:p w14:paraId="0B21EEFF"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There is no lower limit on the capitalisation of heritage assets as, while individual purchases may be low in value, their impact as an addition to an existing collection can be significant, or their individual significance (or potential significance in the future) supports their capitalisation. </w:t>
            </w:r>
          </w:p>
          <w:p w14:paraId="2FDA6595"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Heritage assets purchased prior to 1 August 1999 have not been capitalised.</w:t>
            </w:r>
          </w:p>
          <w:p w14:paraId="6877E0C4" w14:textId="77777777" w:rsidR="00FC2BEC" w:rsidRPr="00750DEB" w:rsidRDefault="00FC2BEC" w:rsidP="00270417">
            <w:pPr>
              <w:spacing w:after="120"/>
              <w:rPr>
                <w:rFonts w:eastAsia="Times New Roman" w:cstheme="minorHAnsi"/>
                <w:color w:val="000000"/>
                <w:sz w:val="24"/>
                <w:szCs w:val="24"/>
                <w:lang w:eastAsia="en-GB"/>
              </w:rPr>
            </w:pPr>
          </w:p>
        </w:tc>
      </w:tr>
      <w:tr w:rsidR="00FC2BEC" w:rsidRPr="00750DEB" w14:paraId="6A39C65A" w14:textId="77777777" w:rsidTr="00FC2BEC">
        <w:trPr>
          <w:trHeight w:val="975"/>
        </w:trPr>
        <w:tc>
          <w:tcPr>
            <w:tcW w:w="2269" w:type="dxa"/>
          </w:tcPr>
          <w:p w14:paraId="6531A2F7"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Donated assets</w:t>
            </w:r>
          </w:p>
        </w:tc>
        <w:tc>
          <w:tcPr>
            <w:tcW w:w="8789" w:type="dxa"/>
          </w:tcPr>
          <w:p w14:paraId="5EFB5005" w14:textId="1470BFD5" w:rsidR="00FC2BEC" w:rsidRPr="00750DEB" w:rsidRDefault="00FC2BEC" w:rsidP="00D46BE0">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The University receives a high volume of donated assets, which are not valued unless they are of special interest or expected to be of a material value. The cost of valuing items received in such high volumes would exceed the relative benefit to readers of the Annual Report and Accounts. Where i</w:t>
            </w:r>
            <w:r w:rsidR="00D46BE0">
              <w:rPr>
                <w:rFonts w:eastAsia="Times New Roman" w:cstheme="minorHAnsi"/>
                <w:color w:val="000000"/>
                <w:sz w:val="24"/>
                <w:szCs w:val="24"/>
                <w:lang w:eastAsia="en-GB"/>
              </w:rPr>
              <w:t>t’</w:t>
            </w:r>
            <w:r w:rsidRPr="00750DEB">
              <w:rPr>
                <w:rFonts w:eastAsia="Times New Roman" w:cstheme="minorHAnsi"/>
                <w:color w:val="000000"/>
                <w:sz w:val="24"/>
                <w:szCs w:val="24"/>
                <w:lang w:eastAsia="en-GB"/>
              </w:rPr>
              <w:t xml:space="preserve">s determined </w:t>
            </w:r>
            <w:r w:rsidR="00D46BE0">
              <w:rPr>
                <w:rFonts w:eastAsia="Times New Roman" w:cstheme="minorHAnsi"/>
                <w:color w:val="000000"/>
                <w:sz w:val="24"/>
                <w:szCs w:val="24"/>
                <w:lang w:eastAsia="en-GB"/>
              </w:rPr>
              <w:t>to be of benefit</w:t>
            </w:r>
            <w:r w:rsidRPr="00750DEB">
              <w:rPr>
                <w:rFonts w:eastAsia="Times New Roman" w:cstheme="minorHAnsi"/>
                <w:color w:val="000000"/>
                <w:sz w:val="24"/>
                <w:szCs w:val="24"/>
                <w:lang w:eastAsia="en-GB"/>
              </w:rPr>
              <w:t>, donated assets are record</w:t>
            </w:r>
            <w:r w:rsidR="00D2172C">
              <w:rPr>
                <w:rFonts w:eastAsia="Times New Roman" w:cstheme="minorHAnsi"/>
                <w:color w:val="000000"/>
                <w:sz w:val="24"/>
                <w:szCs w:val="24"/>
                <w:lang w:eastAsia="en-GB"/>
              </w:rPr>
              <w:t>ed</w:t>
            </w:r>
            <w:r w:rsidRPr="00750DEB">
              <w:rPr>
                <w:rFonts w:eastAsia="Times New Roman" w:cstheme="minorHAnsi"/>
                <w:color w:val="000000"/>
                <w:sz w:val="24"/>
                <w:szCs w:val="24"/>
                <w:lang w:eastAsia="en-GB"/>
              </w:rPr>
              <w:t xml:space="preserve"> at fair value through income and expenditure in the year of donation. </w:t>
            </w:r>
          </w:p>
        </w:tc>
      </w:tr>
      <w:tr w:rsidR="00FC2BEC" w:rsidRPr="00750DEB" w14:paraId="404C9F2E" w14:textId="77777777" w:rsidTr="00FC2BEC">
        <w:trPr>
          <w:trHeight w:val="975"/>
        </w:trPr>
        <w:tc>
          <w:tcPr>
            <w:tcW w:w="2269" w:type="dxa"/>
          </w:tcPr>
          <w:p w14:paraId="457B522C"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lastRenderedPageBreak/>
              <w:t>Revaluations and impairments</w:t>
            </w:r>
          </w:p>
        </w:tc>
        <w:tc>
          <w:tcPr>
            <w:tcW w:w="8789" w:type="dxa"/>
          </w:tcPr>
          <w:p w14:paraId="270C35E8"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Heritage assets are valued on a cyclical basis as determined by management. Independent, external valuers are used wherever possible. However, in the case of specialised collections, some values are assessed internally by the University’s Centre for Research Collections. Any movement in value is applied if commensurate with market activity, or material benefit to the readers of the Annual Report and Accounts. </w:t>
            </w:r>
          </w:p>
          <w:p w14:paraId="1A7CC98B"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A review for impairment is carried out if events or changes in circumstances indicate that the carrying value of an asset may be lower.</w:t>
            </w:r>
          </w:p>
        </w:tc>
      </w:tr>
      <w:tr w:rsidR="00FC2BEC" w:rsidRPr="00750DEB" w14:paraId="6479A5BC" w14:textId="77777777" w:rsidTr="00FC2BEC">
        <w:trPr>
          <w:trHeight w:val="975"/>
        </w:trPr>
        <w:tc>
          <w:tcPr>
            <w:tcW w:w="2269" w:type="dxa"/>
          </w:tcPr>
          <w:p w14:paraId="56837EB4" w14:textId="77777777" w:rsidR="00FC2BEC" w:rsidRPr="00750DEB" w:rsidRDefault="00FC2BEC" w:rsidP="00270417">
            <w:pPr>
              <w:rPr>
                <w:rFonts w:cstheme="minorHAnsi"/>
                <w:b/>
                <w:sz w:val="24"/>
                <w:szCs w:val="24"/>
              </w:rPr>
            </w:pPr>
            <w:r w:rsidRPr="00750DEB">
              <w:rPr>
                <w:rFonts w:cstheme="minorHAnsi"/>
                <w:b/>
                <w:sz w:val="24"/>
                <w:szCs w:val="24"/>
              </w:rPr>
              <w:t>Collections management policy</w:t>
            </w:r>
          </w:p>
        </w:tc>
        <w:tc>
          <w:tcPr>
            <w:tcW w:w="8789" w:type="dxa"/>
          </w:tcPr>
          <w:p w14:paraId="0DA094D0" w14:textId="77777777" w:rsidR="00FC2BEC" w:rsidRPr="00750DEB" w:rsidRDefault="00FC2BEC" w:rsidP="00270417">
            <w:pPr>
              <w:spacing w:after="120"/>
              <w:rPr>
                <w:rFonts w:cstheme="minorHAnsi"/>
                <w:sz w:val="24"/>
                <w:szCs w:val="24"/>
              </w:rPr>
            </w:pPr>
            <w:r w:rsidRPr="00750DEB">
              <w:rPr>
                <w:rFonts w:eastAsia="Times New Roman" w:cstheme="minorHAnsi"/>
                <w:color w:val="000000"/>
                <w:sz w:val="24"/>
                <w:szCs w:val="24"/>
                <w:lang w:eastAsia="en-GB"/>
              </w:rPr>
              <w:t>The University’s Collections Management Policy governs the treatment of additions and disposals to the University’s Collections.</w:t>
            </w:r>
          </w:p>
        </w:tc>
      </w:tr>
    </w:tbl>
    <w:p w14:paraId="29D803A7" w14:textId="77777777" w:rsidR="00FC2BEC" w:rsidRPr="00750DEB" w:rsidRDefault="00FC2BEC" w:rsidP="00FC2BEC">
      <w:pPr>
        <w:rPr>
          <w:rFonts w:cstheme="minorHAnsi"/>
          <w:sz w:val="24"/>
          <w:szCs w:val="24"/>
        </w:rPr>
      </w:pPr>
    </w:p>
    <w:tbl>
      <w:tblPr>
        <w:tblStyle w:val="TableGrid"/>
        <w:tblW w:w="11058" w:type="dxa"/>
        <w:tblInd w:w="-998" w:type="dxa"/>
        <w:tblLook w:val="04A0" w:firstRow="1" w:lastRow="0" w:firstColumn="1" w:lastColumn="0" w:noHBand="0" w:noVBand="1"/>
      </w:tblPr>
      <w:tblGrid>
        <w:gridCol w:w="2269"/>
        <w:gridCol w:w="8789"/>
      </w:tblGrid>
      <w:tr w:rsidR="00FC2BEC" w:rsidRPr="00750DEB" w14:paraId="23E68219" w14:textId="77777777" w:rsidTr="1F2AB8B1">
        <w:trPr>
          <w:trHeight w:val="449"/>
        </w:trPr>
        <w:tc>
          <w:tcPr>
            <w:tcW w:w="11058" w:type="dxa"/>
            <w:gridSpan w:val="2"/>
            <w:shd w:val="clear" w:color="auto" w:fill="F2F2F2" w:themeFill="background1" w:themeFillShade="F2"/>
          </w:tcPr>
          <w:p w14:paraId="5F10D5CA" w14:textId="77777777" w:rsidR="00FC2BEC" w:rsidRPr="00750DEB" w:rsidRDefault="00FC2BEC" w:rsidP="00270417">
            <w:pPr>
              <w:spacing w:after="120"/>
              <w:rPr>
                <w:rFonts w:eastAsia="Times New Roman" w:cstheme="minorHAnsi"/>
                <w:b/>
                <w:color w:val="000000"/>
                <w:sz w:val="24"/>
                <w:szCs w:val="24"/>
                <w:lang w:eastAsia="en-GB"/>
              </w:rPr>
            </w:pPr>
            <w:r w:rsidRPr="00750DEB">
              <w:rPr>
                <w:rFonts w:eastAsia="Times New Roman" w:cstheme="minorHAnsi"/>
                <w:b/>
                <w:color w:val="000000"/>
                <w:sz w:val="24"/>
                <w:szCs w:val="24"/>
                <w:lang w:eastAsia="en-GB"/>
              </w:rPr>
              <w:t xml:space="preserve">Capital Funding Accounting </w:t>
            </w:r>
          </w:p>
        </w:tc>
      </w:tr>
      <w:tr w:rsidR="00FC2BEC" w:rsidRPr="00750DEB" w14:paraId="4B4919C8" w14:textId="77777777" w:rsidTr="1F2AB8B1">
        <w:trPr>
          <w:trHeight w:val="975"/>
        </w:trPr>
        <w:tc>
          <w:tcPr>
            <w:tcW w:w="2269" w:type="dxa"/>
          </w:tcPr>
          <w:p w14:paraId="5D19B925"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color w:val="000000"/>
                <w:sz w:val="24"/>
                <w:szCs w:val="24"/>
                <w:lang w:eastAsia="en-GB"/>
              </w:rPr>
              <w:t>External Funding</w:t>
            </w:r>
          </w:p>
        </w:tc>
        <w:tc>
          <w:tcPr>
            <w:tcW w:w="8789" w:type="dxa"/>
          </w:tcPr>
          <w:p w14:paraId="2DC6EB68" w14:textId="74A2B72F" w:rsidR="00831FC9" w:rsidRDefault="00FC2BEC" w:rsidP="00831FC9">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Capital expenditure</w:t>
            </w:r>
            <w:r w:rsidR="001911F2" w:rsidRPr="00750DEB">
              <w:rPr>
                <w:rFonts w:eastAsia="Times New Roman" w:cstheme="minorHAnsi"/>
                <w:color w:val="000000"/>
                <w:sz w:val="24"/>
                <w:szCs w:val="24"/>
                <w:lang w:eastAsia="en-GB"/>
              </w:rPr>
              <w:t xml:space="preserve"> can</w:t>
            </w:r>
            <w:r w:rsidRPr="00750DEB">
              <w:rPr>
                <w:rFonts w:eastAsia="Times New Roman" w:cstheme="minorHAnsi"/>
                <w:color w:val="000000"/>
                <w:sz w:val="24"/>
                <w:szCs w:val="24"/>
                <w:lang w:eastAsia="en-GB"/>
              </w:rPr>
              <w:t xml:space="preserve"> be funded by externally sourced grants and donations. These funding types are recognised in line with the performance model adopted by the University under FRS 102.</w:t>
            </w:r>
            <w:r w:rsidR="00694119">
              <w:rPr>
                <w:rStyle w:val="FootnoteReference"/>
                <w:rFonts w:eastAsia="Times New Roman" w:cstheme="minorHAnsi"/>
                <w:color w:val="000000"/>
                <w:sz w:val="24"/>
                <w:szCs w:val="24"/>
                <w:lang w:eastAsia="en-GB"/>
              </w:rPr>
              <w:footnoteReference w:id="2"/>
            </w:r>
          </w:p>
          <w:p w14:paraId="77D450B6" w14:textId="6642EA80" w:rsidR="00FC2BEC" w:rsidRPr="00750DEB" w:rsidRDefault="00FC2BEC" w:rsidP="1F2AB8B1">
            <w:pPr>
              <w:spacing w:after="120"/>
              <w:rPr>
                <w:rFonts w:eastAsia="Times New Roman"/>
                <w:color w:val="000000" w:themeColor="text1"/>
                <w:sz w:val="24"/>
                <w:szCs w:val="24"/>
                <w:lang w:eastAsia="en-GB"/>
              </w:rPr>
            </w:pPr>
            <w:r w:rsidRPr="1F2AB8B1">
              <w:rPr>
                <w:rFonts w:eastAsia="Times New Roman"/>
                <w:color w:val="000000" w:themeColor="text1"/>
                <w:sz w:val="24"/>
                <w:szCs w:val="24"/>
                <w:lang w:eastAsia="en-GB"/>
              </w:rPr>
              <w:t>If funding does not impose performance</w:t>
            </w:r>
            <w:r w:rsidR="00D2172C">
              <w:rPr>
                <w:rFonts w:eastAsia="Times New Roman"/>
                <w:color w:val="000000" w:themeColor="text1"/>
                <w:sz w:val="24"/>
                <w:szCs w:val="24"/>
                <w:lang w:eastAsia="en-GB"/>
              </w:rPr>
              <w:t>-</w:t>
            </w:r>
            <w:r w:rsidRPr="1F2AB8B1">
              <w:rPr>
                <w:rFonts w:eastAsia="Times New Roman"/>
                <w:color w:val="000000" w:themeColor="text1"/>
                <w:sz w:val="24"/>
                <w:szCs w:val="24"/>
                <w:lang w:eastAsia="en-GB"/>
              </w:rPr>
              <w:t>related conditions,</w:t>
            </w:r>
            <w:r w:rsidR="04DBAE93" w:rsidRPr="1F2AB8B1">
              <w:rPr>
                <w:rFonts w:eastAsia="Times New Roman"/>
                <w:color w:val="000000" w:themeColor="text1"/>
                <w:sz w:val="24"/>
                <w:szCs w:val="24"/>
                <w:lang w:eastAsia="en-GB"/>
              </w:rPr>
              <w:t xml:space="preserve"> </w:t>
            </w:r>
            <w:r w:rsidRPr="1F2AB8B1">
              <w:rPr>
                <w:rFonts w:eastAsia="Times New Roman"/>
                <w:color w:val="000000" w:themeColor="text1"/>
                <w:sz w:val="24"/>
                <w:szCs w:val="24"/>
                <w:lang w:eastAsia="en-GB"/>
              </w:rPr>
              <w:t xml:space="preserve">all income will be recognised on receipt and held in restricted reserves until </w:t>
            </w:r>
            <w:r w:rsidR="135E0DE4" w:rsidRPr="1F2AB8B1">
              <w:rPr>
                <w:rFonts w:eastAsia="Times New Roman"/>
                <w:color w:val="000000" w:themeColor="text1"/>
                <w:sz w:val="24"/>
                <w:szCs w:val="24"/>
                <w:lang w:eastAsia="en-GB"/>
              </w:rPr>
              <w:t xml:space="preserve">it is </w:t>
            </w:r>
            <w:r w:rsidRPr="1F2AB8B1">
              <w:rPr>
                <w:rFonts w:eastAsia="Times New Roman"/>
                <w:color w:val="000000" w:themeColor="text1"/>
                <w:sz w:val="24"/>
                <w:szCs w:val="24"/>
                <w:lang w:eastAsia="en-GB"/>
              </w:rPr>
              <w:t>spent. If there are performance-related conditions, funding will be recognised in line with expenditure, with any unspent funds deferred as a creditor until they can be applied to the asset.</w:t>
            </w:r>
          </w:p>
          <w:p w14:paraId="3EE0A5E5" w14:textId="03A1FEF2" w:rsidR="00FC2BEC" w:rsidRPr="005F2B92" w:rsidRDefault="005F2B92" w:rsidP="005F2B92">
            <w:pPr>
              <w:spacing w:after="120"/>
              <w:rPr>
                <w:rFonts w:eastAsia="Times New Roman"/>
                <w:color w:val="000000"/>
                <w:sz w:val="24"/>
                <w:szCs w:val="24"/>
                <w:highlight w:val="yellow"/>
                <w:lang w:eastAsia="en-GB"/>
              </w:rPr>
            </w:pPr>
            <w:r w:rsidRPr="005F2B92">
              <w:rPr>
                <w:sz w:val="24"/>
                <w:szCs w:val="24"/>
              </w:rPr>
              <w:t>There is a UKRI requirement that research</w:t>
            </w:r>
            <w:r w:rsidR="00D2172C">
              <w:rPr>
                <w:sz w:val="24"/>
                <w:szCs w:val="24"/>
              </w:rPr>
              <w:t>-</w:t>
            </w:r>
            <w:r w:rsidRPr="005F2B92">
              <w:rPr>
                <w:sz w:val="24"/>
                <w:szCs w:val="24"/>
              </w:rPr>
              <w:t xml:space="preserve">funded assets must be recorded on </w:t>
            </w:r>
            <w:hyperlink r:id="rId12" w:history="1">
              <w:r w:rsidRPr="005F2B92">
                <w:rPr>
                  <w:rStyle w:val="Hyperlink"/>
                  <w:sz w:val="24"/>
                  <w:szCs w:val="24"/>
                </w:rPr>
                <w:t>UK University Facilities and Equipment Open Data</w:t>
              </w:r>
            </w:hyperlink>
            <w:r w:rsidRPr="005F2B92">
              <w:rPr>
                <w:sz w:val="24"/>
                <w:szCs w:val="24"/>
              </w:rPr>
              <w:t>, an open access database for users to locate research equipment facilities in the UK.</w:t>
            </w:r>
          </w:p>
        </w:tc>
      </w:tr>
      <w:tr w:rsidR="00FC2BEC" w:rsidRPr="00750DEB" w14:paraId="0427A1AD" w14:textId="77777777" w:rsidTr="1F2AB8B1">
        <w:trPr>
          <w:trHeight w:val="975"/>
        </w:trPr>
        <w:tc>
          <w:tcPr>
            <w:tcW w:w="2269" w:type="dxa"/>
          </w:tcPr>
          <w:p w14:paraId="4E6EF475" w14:textId="2AEDBBC9" w:rsidR="00FC2BEC" w:rsidRPr="00750DEB" w:rsidRDefault="00F809D0" w:rsidP="1F2AB8B1">
            <w:pPr>
              <w:spacing w:line="259" w:lineRule="auto"/>
              <w:rPr>
                <w:rFonts w:eastAsia="Times New Roman"/>
                <w:b/>
                <w:bCs/>
                <w:color w:val="000000" w:themeColor="text1"/>
                <w:sz w:val="24"/>
                <w:szCs w:val="24"/>
                <w:lang w:eastAsia="en-GB"/>
              </w:rPr>
            </w:pPr>
            <w:r>
              <w:rPr>
                <w:rFonts w:eastAsia="Times New Roman"/>
                <w:b/>
                <w:bCs/>
                <w:color w:val="000000" w:themeColor="text1"/>
                <w:sz w:val="24"/>
                <w:szCs w:val="24"/>
                <w:lang w:eastAsia="en-GB"/>
              </w:rPr>
              <w:t>University Capital Funding</w:t>
            </w:r>
          </w:p>
        </w:tc>
        <w:tc>
          <w:tcPr>
            <w:tcW w:w="8789" w:type="dxa"/>
          </w:tcPr>
          <w:p w14:paraId="11A50E70" w14:textId="367C6909"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University</w:t>
            </w:r>
            <w:r w:rsidR="00D2172C">
              <w:rPr>
                <w:rFonts w:eastAsia="Times New Roman" w:cstheme="minorHAnsi"/>
                <w:color w:val="000000"/>
                <w:sz w:val="24"/>
                <w:szCs w:val="24"/>
                <w:lang w:eastAsia="en-GB"/>
              </w:rPr>
              <w:t>-</w:t>
            </w:r>
            <w:r w:rsidRPr="00750DEB">
              <w:rPr>
                <w:rFonts w:eastAsia="Times New Roman" w:cstheme="minorHAnsi"/>
                <w:color w:val="000000"/>
                <w:sz w:val="24"/>
                <w:szCs w:val="24"/>
                <w:lang w:eastAsia="en-GB"/>
              </w:rPr>
              <w:t>funded capital purchases are funded through the University’s Capital Budget. Capital budgets are awarded based on the capital plan which is prioritised to ensure the overall affordability of capital expenditure while ensuring resources are allocated to allow the University to achieve its strategic objectives.</w:t>
            </w:r>
          </w:p>
        </w:tc>
      </w:tr>
    </w:tbl>
    <w:p w14:paraId="7076C064" w14:textId="4374AEE5" w:rsidR="00FC2BEC" w:rsidRPr="00750DEB" w:rsidRDefault="00FC2BEC" w:rsidP="00FC2BEC">
      <w:pPr>
        <w:rPr>
          <w:rFonts w:cstheme="minorHAnsi"/>
          <w:sz w:val="24"/>
          <w:szCs w:val="24"/>
        </w:rPr>
      </w:pPr>
    </w:p>
    <w:tbl>
      <w:tblPr>
        <w:tblStyle w:val="TableGrid"/>
        <w:tblW w:w="11058" w:type="dxa"/>
        <w:tblInd w:w="-998" w:type="dxa"/>
        <w:tblLook w:val="04A0" w:firstRow="1" w:lastRow="0" w:firstColumn="1" w:lastColumn="0" w:noHBand="0" w:noVBand="1"/>
      </w:tblPr>
      <w:tblGrid>
        <w:gridCol w:w="2269"/>
        <w:gridCol w:w="8789"/>
      </w:tblGrid>
      <w:tr w:rsidR="00FC2BEC" w:rsidRPr="00750DEB" w14:paraId="529137AB" w14:textId="77777777" w:rsidTr="00750DEB">
        <w:trPr>
          <w:trHeight w:val="369"/>
        </w:trPr>
        <w:tc>
          <w:tcPr>
            <w:tcW w:w="11058" w:type="dxa"/>
            <w:gridSpan w:val="2"/>
            <w:shd w:val="clear" w:color="auto" w:fill="F2F2F2" w:themeFill="background1" w:themeFillShade="F2"/>
          </w:tcPr>
          <w:p w14:paraId="16BFAE5F" w14:textId="77777777" w:rsidR="00FC2BEC" w:rsidRPr="00750DEB" w:rsidRDefault="00FC2BEC" w:rsidP="00270417">
            <w:pPr>
              <w:spacing w:after="120"/>
              <w:rPr>
                <w:rFonts w:eastAsia="Times New Roman" w:cstheme="minorHAnsi"/>
                <w:b/>
                <w:color w:val="000000"/>
                <w:sz w:val="24"/>
                <w:szCs w:val="24"/>
                <w:lang w:eastAsia="en-GB"/>
              </w:rPr>
            </w:pPr>
            <w:r w:rsidRPr="00750DEB">
              <w:rPr>
                <w:rFonts w:eastAsia="Times New Roman" w:cstheme="minorHAnsi"/>
                <w:b/>
                <w:color w:val="000000"/>
                <w:sz w:val="24"/>
                <w:szCs w:val="24"/>
                <w:lang w:eastAsia="en-GB"/>
              </w:rPr>
              <w:t xml:space="preserve">Asset Disposal </w:t>
            </w:r>
          </w:p>
        </w:tc>
      </w:tr>
      <w:tr w:rsidR="00FC2BEC" w:rsidRPr="00750DEB" w14:paraId="32DD9A26" w14:textId="77777777" w:rsidTr="001911F2">
        <w:trPr>
          <w:trHeight w:val="975"/>
        </w:trPr>
        <w:tc>
          <w:tcPr>
            <w:tcW w:w="2269" w:type="dxa"/>
          </w:tcPr>
          <w:p w14:paraId="28118E10" w14:textId="77777777" w:rsidR="00FC2BEC" w:rsidRPr="00750DEB" w:rsidRDefault="00FC2BEC" w:rsidP="00270417">
            <w:pPr>
              <w:rPr>
                <w:rFonts w:eastAsia="Times New Roman" w:cstheme="minorHAnsi"/>
                <w:b/>
                <w:bCs/>
                <w:color w:val="000000"/>
                <w:sz w:val="24"/>
                <w:szCs w:val="24"/>
                <w:lang w:eastAsia="en-GB"/>
              </w:rPr>
            </w:pPr>
            <w:r w:rsidRPr="00750DEB">
              <w:rPr>
                <w:rFonts w:eastAsia="Times New Roman" w:cstheme="minorHAnsi"/>
                <w:b/>
                <w:bCs/>
                <w:sz w:val="24"/>
                <w:szCs w:val="24"/>
                <w:lang w:eastAsia="en-GB"/>
              </w:rPr>
              <w:t>Asset Disposals</w:t>
            </w:r>
          </w:p>
        </w:tc>
        <w:tc>
          <w:tcPr>
            <w:tcW w:w="8789" w:type="dxa"/>
          </w:tcPr>
          <w:p w14:paraId="4483C7B7"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The disposal of capital assets must only take place with the appropriate authorisation according to the University’s Delegated Authority Schedule (DAS). Disposal includes Sales, Trade Ins, and Transfers to Third Parties.</w:t>
            </w:r>
          </w:p>
          <w:p w14:paraId="0E919166" w14:textId="49635B08"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Where the DAS </w:t>
            </w:r>
            <w:r w:rsidR="00D46BE0">
              <w:rPr>
                <w:rFonts w:eastAsia="Times New Roman" w:cstheme="minorHAnsi"/>
                <w:color w:val="000000"/>
                <w:sz w:val="24"/>
                <w:szCs w:val="24"/>
                <w:lang w:eastAsia="en-GB"/>
              </w:rPr>
              <w:t>does not distinguish between particular classes</w:t>
            </w:r>
            <w:r w:rsidRPr="00750DEB">
              <w:rPr>
                <w:rFonts w:eastAsia="Times New Roman" w:cstheme="minorHAnsi"/>
                <w:color w:val="000000"/>
                <w:sz w:val="24"/>
                <w:szCs w:val="24"/>
                <w:lang w:eastAsia="en-GB"/>
              </w:rPr>
              <w:t xml:space="preserve"> of asset, the disposal should follow the same process of authorisation as for its original purchase. </w:t>
            </w:r>
          </w:p>
          <w:p w14:paraId="0183A856" w14:textId="5CC407CA" w:rsidR="00FC2BEC" w:rsidRPr="00750DEB" w:rsidRDefault="00FC2BEC" w:rsidP="00270417">
            <w:pPr>
              <w:spacing w:after="120"/>
              <w:rPr>
                <w:rFonts w:eastAsia="Times New Roman" w:cstheme="minorHAnsi"/>
                <w:color w:val="000000"/>
                <w:sz w:val="24"/>
                <w:szCs w:val="24"/>
                <w:lang w:eastAsia="en-GB"/>
              </w:rPr>
            </w:pPr>
            <w:r w:rsidRPr="00881783">
              <w:rPr>
                <w:rFonts w:eastAsia="Times New Roman" w:cstheme="minorHAnsi"/>
                <w:color w:val="000000"/>
                <w:sz w:val="24"/>
                <w:szCs w:val="24"/>
                <w:lang w:eastAsia="en-GB"/>
              </w:rPr>
              <w:t>Where the terms of an asset’s purchase limit</w:t>
            </w:r>
            <w:r w:rsidR="00881783" w:rsidRPr="00881783">
              <w:rPr>
                <w:rFonts w:eastAsia="Times New Roman" w:cstheme="minorHAnsi"/>
                <w:color w:val="000000"/>
                <w:sz w:val="24"/>
                <w:szCs w:val="24"/>
                <w:lang w:eastAsia="en-GB"/>
              </w:rPr>
              <w:t>s</w:t>
            </w:r>
            <w:r w:rsidRPr="00881783">
              <w:rPr>
                <w:rFonts w:eastAsia="Times New Roman" w:cstheme="minorHAnsi"/>
                <w:color w:val="000000"/>
                <w:sz w:val="24"/>
                <w:szCs w:val="24"/>
                <w:lang w:eastAsia="en-GB"/>
              </w:rPr>
              <w:t xml:space="preserve"> its useful economic life or require that it be transferred to another party at a future date, the asset should be disposed of at the end of this term or the agreed date</w:t>
            </w:r>
          </w:p>
        </w:tc>
      </w:tr>
      <w:tr w:rsidR="00FC2BEC" w:rsidRPr="00750DEB" w14:paraId="22B33503" w14:textId="77777777" w:rsidTr="001911F2">
        <w:trPr>
          <w:trHeight w:val="975"/>
        </w:trPr>
        <w:tc>
          <w:tcPr>
            <w:tcW w:w="2269" w:type="dxa"/>
          </w:tcPr>
          <w:p w14:paraId="7A6F7267" w14:textId="77777777" w:rsidR="00FC2BEC" w:rsidRPr="00750DEB" w:rsidRDefault="00FC2BEC" w:rsidP="00270417">
            <w:pPr>
              <w:rPr>
                <w:rFonts w:eastAsia="Times New Roman" w:cstheme="minorHAnsi"/>
                <w:b/>
                <w:bCs/>
                <w:sz w:val="24"/>
                <w:szCs w:val="24"/>
                <w:lang w:eastAsia="en-GB"/>
              </w:rPr>
            </w:pPr>
            <w:r w:rsidRPr="00750DEB">
              <w:rPr>
                <w:rFonts w:eastAsia="Times New Roman" w:cstheme="minorHAnsi"/>
                <w:b/>
                <w:bCs/>
                <w:sz w:val="24"/>
                <w:szCs w:val="24"/>
                <w:lang w:eastAsia="en-GB"/>
              </w:rPr>
              <w:t>Disposal of Heritage Assets</w:t>
            </w:r>
          </w:p>
        </w:tc>
        <w:tc>
          <w:tcPr>
            <w:tcW w:w="8789" w:type="dxa"/>
          </w:tcPr>
          <w:p w14:paraId="2084D384" w14:textId="7F7E2431"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The disposal of heritage assets </w:t>
            </w:r>
            <w:r w:rsidR="00D2172C">
              <w:rPr>
                <w:rFonts w:eastAsia="Times New Roman" w:cstheme="minorHAnsi"/>
                <w:color w:val="000000"/>
                <w:sz w:val="24"/>
                <w:szCs w:val="24"/>
                <w:lang w:eastAsia="en-GB"/>
              </w:rPr>
              <w:t>is</w:t>
            </w:r>
            <w:r w:rsidRPr="00750DEB">
              <w:rPr>
                <w:rFonts w:eastAsia="Times New Roman" w:cstheme="minorHAnsi"/>
                <w:color w:val="000000"/>
                <w:sz w:val="24"/>
                <w:szCs w:val="24"/>
                <w:lang w:eastAsia="en-GB"/>
              </w:rPr>
              <w:t xml:space="preserve"> governed by the University’s Collection Management Policy in addition to these requirements</w:t>
            </w:r>
          </w:p>
        </w:tc>
      </w:tr>
      <w:tr w:rsidR="00FC2BEC" w:rsidRPr="00750DEB" w14:paraId="312A8A09" w14:textId="77777777" w:rsidTr="001911F2">
        <w:trPr>
          <w:trHeight w:val="975"/>
        </w:trPr>
        <w:tc>
          <w:tcPr>
            <w:tcW w:w="2269" w:type="dxa"/>
          </w:tcPr>
          <w:p w14:paraId="5005878F" w14:textId="77777777" w:rsidR="00FC2BEC" w:rsidRPr="00750DEB" w:rsidRDefault="00FC2BEC" w:rsidP="00270417">
            <w:pPr>
              <w:rPr>
                <w:rFonts w:eastAsia="Times New Roman" w:cstheme="minorHAnsi"/>
                <w:b/>
                <w:bCs/>
                <w:sz w:val="24"/>
                <w:szCs w:val="24"/>
                <w:lang w:eastAsia="en-GB"/>
              </w:rPr>
            </w:pPr>
            <w:r w:rsidRPr="00750DEB">
              <w:rPr>
                <w:rFonts w:eastAsia="Times New Roman" w:cstheme="minorHAnsi"/>
                <w:b/>
                <w:bCs/>
                <w:sz w:val="24"/>
                <w:szCs w:val="24"/>
                <w:lang w:eastAsia="en-GB"/>
              </w:rPr>
              <w:t xml:space="preserve">Disposal of Externally Funded </w:t>
            </w:r>
          </w:p>
        </w:tc>
        <w:tc>
          <w:tcPr>
            <w:tcW w:w="8789" w:type="dxa"/>
          </w:tcPr>
          <w:p w14:paraId="7F2E601F" w14:textId="77777777" w:rsidR="00FC2BEC" w:rsidRPr="00750DEB" w:rsidRDefault="00FC2BEC" w:rsidP="00270417">
            <w:pPr>
              <w:spacing w:after="120"/>
              <w:rPr>
                <w:rFonts w:eastAsia="Times New Roman" w:cstheme="minorHAnsi"/>
                <w:color w:val="000000"/>
                <w:sz w:val="24"/>
                <w:szCs w:val="24"/>
                <w:lang w:eastAsia="en-GB"/>
              </w:rPr>
            </w:pPr>
            <w:r w:rsidRPr="00750DEB">
              <w:rPr>
                <w:rFonts w:eastAsia="Times New Roman" w:cstheme="minorHAnsi"/>
                <w:color w:val="000000"/>
                <w:sz w:val="24"/>
                <w:szCs w:val="24"/>
                <w:lang w:eastAsia="en-GB"/>
              </w:rPr>
              <w:t xml:space="preserve">Externally funded assets may have additional conditions relating to asset use, retained ownership and disposal. Individual terms and conditions of the original funding should </w:t>
            </w:r>
            <w:r w:rsidRPr="00750DEB">
              <w:rPr>
                <w:rFonts w:eastAsia="Times New Roman" w:cstheme="minorHAnsi"/>
                <w:color w:val="000000"/>
                <w:sz w:val="24"/>
                <w:szCs w:val="24"/>
                <w:lang w:eastAsia="en-GB"/>
              </w:rPr>
              <w:lastRenderedPageBreak/>
              <w:t>be consulted before disposal of any asset.</w:t>
            </w:r>
            <w:r w:rsidRPr="00750DEB">
              <w:rPr>
                <w:rFonts w:cstheme="minorHAnsi"/>
                <w:sz w:val="24"/>
                <w:szCs w:val="24"/>
              </w:rPr>
              <w:t xml:space="preserve"> </w:t>
            </w:r>
            <w:r w:rsidRPr="00750DEB">
              <w:rPr>
                <w:rFonts w:eastAsia="Times New Roman" w:cstheme="minorHAnsi"/>
                <w:color w:val="000000"/>
                <w:sz w:val="24"/>
                <w:szCs w:val="24"/>
                <w:lang w:eastAsia="en-GB"/>
              </w:rPr>
              <w:t>All equipment disposals must comply with legislative requirements as detailed by the University’s waste &amp; recycling policies.</w:t>
            </w:r>
          </w:p>
        </w:tc>
      </w:tr>
    </w:tbl>
    <w:p w14:paraId="21FFEA1C" w14:textId="6207EA1D" w:rsidR="00FC2BEC" w:rsidRPr="00750DEB" w:rsidRDefault="00FC2BEC">
      <w:pPr>
        <w:rPr>
          <w:rFonts w:cstheme="minorHAnsi"/>
          <w:sz w:val="24"/>
          <w:szCs w:val="24"/>
        </w:rPr>
      </w:pPr>
    </w:p>
    <w:p w14:paraId="64AD3B7E" w14:textId="77777777" w:rsidR="00FC2BEC" w:rsidRPr="00750DEB" w:rsidRDefault="00FC2BEC">
      <w:pPr>
        <w:rPr>
          <w:rFonts w:cstheme="minorHAnsi"/>
          <w:sz w:val="24"/>
          <w:szCs w:val="24"/>
        </w:rPr>
      </w:pPr>
    </w:p>
    <w:tbl>
      <w:tblPr>
        <w:tblStyle w:val="TableGrid"/>
        <w:tblW w:w="11058" w:type="dxa"/>
        <w:tblInd w:w="-998" w:type="dxa"/>
        <w:tblLook w:val="04A0" w:firstRow="1" w:lastRow="0" w:firstColumn="1" w:lastColumn="0" w:noHBand="0" w:noVBand="1"/>
      </w:tblPr>
      <w:tblGrid>
        <w:gridCol w:w="2291"/>
        <w:gridCol w:w="8767"/>
      </w:tblGrid>
      <w:tr w:rsidR="00A7609B" w:rsidRPr="00750DEB" w14:paraId="3C78E8D5" w14:textId="77777777" w:rsidTr="3483F08E">
        <w:tc>
          <w:tcPr>
            <w:tcW w:w="2127" w:type="dxa"/>
          </w:tcPr>
          <w:p w14:paraId="4CF380E8" w14:textId="6D970425" w:rsidR="00A7609B" w:rsidRPr="00750DEB" w:rsidRDefault="00A7609B">
            <w:pPr>
              <w:rPr>
                <w:rFonts w:cstheme="minorHAnsi"/>
                <w:b/>
                <w:bCs/>
                <w:sz w:val="24"/>
                <w:szCs w:val="24"/>
              </w:rPr>
            </w:pPr>
            <w:r w:rsidRPr="00750DEB">
              <w:rPr>
                <w:rFonts w:cstheme="minorHAnsi"/>
                <w:b/>
                <w:bCs/>
                <w:sz w:val="24"/>
                <w:szCs w:val="24"/>
              </w:rPr>
              <w:t>Equality and Diversity</w:t>
            </w:r>
          </w:p>
        </w:tc>
        <w:tc>
          <w:tcPr>
            <w:tcW w:w="8931" w:type="dxa"/>
          </w:tcPr>
          <w:p w14:paraId="34A5173A" w14:textId="6543E492" w:rsidR="00A7609B" w:rsidRPr="00750DEB" w:rsidRDefault="00A7609B" w:rsidP="0042376B">
            <w:pPr>
              <w:rPr>
                <w:rFonts w:eastAsia="SimSun" w:cstheme="minorHAnsi"/>
                <w:sz w:val="24"/>
                <w:szCs w:val="24"/>
              </w:rPr>
            </w:pPr>
            <w:r w:rsidRPr="00750DEB">
              <w:rPr>
                <w:rFonts w:eastAsia="SimSun" w:cstheme="minorHAnsi"/>
                <w:sz w:val="24"/>
                <w:szCs w:val="24"/>
              </w:rPr>
              <w:t xml:space="preserve">The Equality Impact Assessment has been completed and </w:t>
            </w:r>
            <w:r w:rsidR="0042376B">
              <w:rPr>
                <w:rFonts w:eastAsia="SimSun" w:cstheme="minorHAnsi"/>
                <w:sz w:val="24"/>
                <w:szCs w:val="24"/>
              </w:rPr>
              <w:t>no i</w:t>
            </w:r>
            <w:r w:rsidR="00D46BE0">
              <w:rPr>
                <w:rFonts w:eastAsia="SimSun" w:cstheme="minorHAnsi"/>
                <w:sz w:val="24"/>
                <w:szCs w:val="24"/>
              </w:rPr>
              <w:t>mpact has been identified.</w:t>
            </w:r>
          </w:p>
        </w:tc>
      </w:tr>
      <w:tr w:rsidR="00200758" w:rsidRPr="00750DEB" w14:paraId="16CB7F5A" w14:textId="77777777" w:rsidTr="3483F08E">
        <w:tc>
          <w:tcPr>
            <w:tcW w:w="2127" w:type="dxa"/>
          </w:tcPr>
          <w:p w14:paraId="71195E73" w14:textId="572446CB" w:rsidR="00200758" w:rsidRPr="00750DEB" w:rsidRDefault="00D81A31">
            <w:pPr>
              <w:rPr>
                <w:rFonts w:cstheme="minorHAnsi"/>
                <w:b/>
                <w:sz w:val="24"/>
                <w:szCs w:val="24"/>
              </w:rPr>
            </w:pPr>
            <w:r w:rsidRPr="00750DEB">
              <w:rPr>
                <w:rFonts w:cstheme="minorHAnsi"/>
                <w:b/>
                <w:bCs/>
                <w:sz w:val="24"/>
                <w:szCs w:val="24"/>
              </w:rPr>
              <w:t>Further Information/Queries</w:t>
            </w:r>
          </w:p>
        </w:tc>
        <w:tc>
          <w:tcPr>
            <w:tcW w:w="8931" w:type="dxa"/>
          </w:tcPr>
          <w:p w14:paraId="7549443B" w14:textId="53F8DE4D" w:rsidR="00200758" w:rsidRPr="00750DEB" w:rsidRDefault="00D81A31" w:rsidP="0027598E">
            <w:pPr>
              <w:rPr>
                <w:rFonts w:cstheme="minorHAnsi"/>
                <w:sz w:val="24"/>
                <w:szCs w:val="24"/>
              </w:rPr>
            </w:pPr>
            <w:r w:rsidRPr="00750DEB">
              <w:rPr>
                <w:rFonts w:cstheme="minorHAnsi"/>
                <w:sz w:val="24"/>
                <w:szCs w:val="24"/>
              </w:rPr>
              <w:t xml:space="preserve">Any queries regarding the </w:t>
            </w:r>
            <w:r w:rsidR="0027598E">
              <w:rPr>
                <w:rFonts w:cstheme="minorHAnsi"/>
                <w:sz w:val="24"/>
                <w:szCs w:val="24"/>
              </w:rPr>
              <w:t>Capital Accounting</w:t>
            </w:r>
            <w:r w:rsidRPr="00750DEB">
              <w:rPr>
                <w:rFonts w:cstheme="minorHAnsi"/>
                <w:sz w:val="24"/>
                <w:szCs w:val="24"/>
              </w:rPr>
              <w:t xml:space="preserve"> policy </w:t>
            </w:r>
            <w:r w:rsidR="0027598E" w:rsidRPr="0027598E">
              <w:rPr>
                <w:rFonts w:cstheme="minorHAnsi"/>
                <w:sz w:val="24"/>
                <w:szCs w:val="24"/>
              </w:rPr>
              <w:t>should be directed to the Financial Information Reporting and Strategy Team (FIRST) via finance.helpline@ed.ac.uk.</w:t>
            </w:r>
          </w:p>
        </w:tc>
      </w:tr>
      <w:tr w:rsidR="00C636D5" w:rsidRPr="00750DEB" w14:paraId="2E22B126" w14:textId="77777777" w:rsidTr="3483F08E">
        <w:tc>
          <w:tcPr>
            <w:tcW w:w="2127" w:type="dxa"/>
          </w:tcPr>
          <w:p w14:paraId="59C2A5CB" w14:textId="0D62DB1A" w:rsidR="00C636D5" w:rsidRPr="00750DEB" w:rsidRDefault="004B2CA8">
            <w:pPr>
              <w:rPr>
                <w:rFonts w:cstheme="minorHAnsi"/>
                <w:b/>
                <w:sz w:val="24"/>
                <w:szCs w:val="24"/>
              </w:rPr>
            </w:pPr>
            <w:r w:rsidRPr="00750DEB">
              <w:rPr>
                <w:rFonts w:cstheme="minorHAnsi"/>
                <w:b/>
                <w:sz w:val="24"/>
                <w:szCs w:val="24"/>
              </w:rPr>
              <w:t>Useful links</w:t>
            </w:r>
          </w:p>
        </w:tc>
        <w:tc>
          <w:tcPr>
            <w:tcW w:w="8931" w:type="dxa"/>
          </w:tcPr>
          <w:p w14:paraId="51E290DF" w14:textId="7EA65F70" w:rsidR="0042376B" w:rsidRDefault="00000000" w:rsidP="004B2CA8">
            <w:pPr>
              <w:ind w:right="159"/>
              <w:rPr>
                <w:rFonts w:cstheme="minorHAnsi"/>
                <w:sz w:val="24"/>
                <w:szCs w:val="24"/>
              </w:rPr>
            </w:pPr>
            <w:hyperlink r:id="rId13" w:history="1">
              <w:r w:rsidR="0042376B">
                <w:rPr>
                  <w:rStyle w:val="Hyperlink"/>
                  <w:rFonts w:cstheme="minorHAnsi"/>
                  <w:sz w:val="24"/>
                  <w:szCs w:val="24"/>
                </w:rPr>
                <w:t>University of Edinburgh Delegated Authority Schedule</w:t>
              </w:r>
            </w:hyperlink>
            <w:r w:rsidR="0042376B">
              <w:rPr>
                <w:rFonts w:cstheme="minorHAnsi"/>
                <w:sz w:val="24"/>
                <w:szCs w:val="24"/>
              </w:rPr>
              <w:t xml:space="preserve"> </w:t>
            </w:r>
          </w:p>
          <w:p w14:paraId="606B5CF6" w14:textId="73E4FD7F" w:rsidR="0042376B" w:rsidRDefault="00000000" w:rsidP="004B2CA8">
            <w:pPr>
              <w:ind w:right="159"/>
              <w:rPr>
                <w:rFonts w:cstheme="minorHAnsi"/>
                <w:sz w:val="24"/>
                <w:szCs w:val="24"/>
              </w:rPr>
            </w:pPr>
            <w:hyperlink r:id="rId14" w:history="1">
              <w:r w:rsidR="0042376B" w:rsidRPr="0042376B">
                <w:rPr>
                  <w:rStyle w:val="Hyperlink"/>
                  <w:rFonts w:cstheme="minorHAnsi"/>
                  <w:sz w:val="24"/>
                  <w:szCs w:val="24"/>
                </w:rPr>
                <w:t>Statement of Recommended Practice: Accounting for Further and Higher Education 2019</w:t>
              </w:r>
            </w:hyperlink>
          </w:p>
          <w:p w14:paraId="32DDEF9E" w14:textId="3B708FC3" w:rsidR="0042376B" w:rsidRPr="00750DEB" w:rsidRDefault="00000000" w:rsidP="004B2CA8">
            <w:pPr>
              <w:ind w:right="159"/>
              <w:rPr>
                <w:rFonts w:cstheme="minorHAnsi"/>
                <w:sz w:val="24"/>
                <w:szCs w:val="24"/>
              </w:rPr>
            </w:pPr>
            <w:hyperlink r:id="rId15" w:history="1">
              <w:r w:rsidR="0042376B">
                <w:rPr>
                  <w:rStyle w:val="Hyperlink"/>
                  <w:rFonts w:cstheme="minorHAnsi"/>
                  <w:sz w:val="24"/>
                  <w:szCs w:val="24"/>
                </w:rPr>
                <w:t>University of Edinburgh Collections Management Policy</w:t>
              </w:r>
            </w:hyperlink>
          </w:p>
          <w:p w14:paraId="1B5F328B" w14:textId="7E4DE870" w:rsidR="00C636D5" w:rsidRPr="00750DEB" w:rsidRDefault="00000000" w:rsidP="2F067503">
            <w:pPr>
              <w:rPr>
                <w:rFonts w:cstheme="minorHAnsi"/>
                <w:sz w:val="24"/>
                <w:szCs w:val="24"/>
              </w:rPr>
            </w:pPr>
            <w:hyperlink r:id="rId16" w:history="1">
              <w:r w:rsidR="0042376B" w:rsidRPr="0042376B">
                <w:rPr>
                  <w:rStyle w:val="Hyperlink"/>
                  <w:rFonts w:cstheme="minorHAnsi"/>
                  <w:sz w:val="24"/>
                  <w:szCs w:val="24"/>
                </w:rPr>
                <w:t>FRS102 – The Financial Reporting Standard applicable in the UK and Republic of Ireland</w:t>
              </w:r>
            </w:hyperlink>
          </w:p>
        </w:tc>
      </w:tr>
    </w:tbl>
    <w:p w14:paraId="32C28EFE" w14:textId="55FDFDCA" w:rsidR="002017F8" w:rsidRPr="00750DEB" w:rsidRDefault="002017F8" w:rsidP="003D0DC8">
      <w:pPr>
        <w:tabs>
          <w:tab w:val="left" w:pos="2394"/>
        </w:tabs>
        <w:rPr>
          <w:rFonts w:cstheme="minorHAnsi"/>
          <w:sz w:val="24"/>
          <w:szCs w:val="24"/>
        </w:rPr>
      </w:pPr>
    </w:p>
    <w:tbl>
      <w:tblPr>
        <w:tblStyle w:val="TableGrid"/>
        <w:tblW w:w="11058" w:type="dxa"/>
        <w:tblInd w:w="-998" w:type="dxa"/>
        <w:tblLook w:val="04A0" w:firstRow="1" w:lastRow="0" w:firstColumn="1" w:lastColumn="0" w:noHBand="0" w:noVBand="1"/>
      </w:tblPr>
      <w:tblGrid>
        <w:gridCol w:w="5506"/>
        <w:gridCol w:w="5552"/>
      </w:tblGrid>
      <w:tr w:rsidR="000222C1" w:rsidRPr="00750DEB" w14:paraId="4E3E3BE8" w14:textId="77777777" w:rsidTr="1EF19704">
        <w:trPr>
          <w:trHeight w:val="624"/>
        </w:trPr>
        <w:tc>
          <w:tcPr>
            <w:tcW w:w="11058" w:type="dxa"/>
            <w:gridSpan w:val="2"/>
            <w:shd w:val="clear" w:color="auto" w:fill="D9D9D9" w:themeFill="background1" w:themeFillShade="D9"/>
            <w:vAlign w:val="center"/>
          </w:tcPr>
          <w:p w14:paraId="16080F43" w14:textId="74E83BA6" w:rsidR="000222C1" w:rsidRPr="00750DEB" w:rsidRDefault="003E0EFF" w:rsidP="003E0EFF">
            <w:pPr>
              <w:tabs>
                <w:tab w:val="left" w:pos="2394"/>
              </w:tabs>
              <w:rPr>
                <w:rFonts w:cstheme="minorHAnsi"/>
                <w:b/>
                <w:sz w:val="24"/>
                <w:szCs w:val="24"/>
              </w:rPr>
            </w:pPr>
            <w:r w:rsidRPr="00750DEB">
              <w:rPr>
                <w:rFonts w:cstheme="minorHAnsi"/>
                <w:b/>
                <w:sz w:val="24"/>
                <w:szCs w:val="24"/>
              </w:rPr>
              <w:t>Policy History and Review</w:t>
            </w:r>
          </w:p>
        </w:tc>
      </w:tr>
      <w:tr w:rsidR="003E0EFF" w:rsidRPr="00750DEB" w14:paraId="7210A1E6" w14:textId="77777777" w:rsidTr="1EF19704">
        <w:tc>
          <w:tcPr>
            <w:tcW w:w="5506" w:type="dxa"/>
          </w:tcPr>
          <w:p w14:paraId="52CB2881" w14:textId="76B3E8E6" w:rsidR="003E0EFF" w:rsidRPr="00750DEB" w:rsidRDefault="003E0EFF" w:rsidP="003E0EFF">
            <w:pPr>
              <w:tabs>
                <w:tab w:val="left" w:pos="2394"/>
              </w:tabs>
              <w:rPr>
                <w:rFonts w:cstheme="minorHAnsi"/>
                <w:sz w:val="24"/>
                <w:szCs w:val="24"/>
              </w:rPr>
            </w:pPr>
            <w:r w:rsidRPr="00750DEB">
              <w:rPr>
                <w:rFonts w:cstheme="minorHAnsi"/>
                <w:sz w:val="24"/>
                <w:szCs w:val="24"/>
              </w:rPr>
              <w:t>Date policy approved</w:t>
            </w:r>
          </w:p>
        </w:tc>
        <w:tc>
          <w:tcPr>
            <w:tcW w:w="5552" w:type="dxa"/>
          </w:tcPr>
          <w:p w14:paraId="448D0BF5" w14:textId="3011B109" w:rsidR="003E0EFF" w:rsidRPr="00750DEB" w:rsidRDefault="00874718" w:rsidP="003E0EFF">
            <w:pPr>
              <w:tabs>
                <w:tab w:val="left" w:pos="2394"/>
              </w:tabs>
              <w:rPr>
                <w:rFonts w:cstheme="minorHAnsi"/>
                <w:sz w:val="24"/>
                <w:szCs w:val="24"/>
              </w:rPr>
            </w:pPr>
            <w:r>
              <w:rPr>
                <w:rFonts w:cstheme="minorHAnsi"/>
                <w:sz w:val="24"/>
                <w:szCs w:val="24"/>
              </w:rPr>
              <w:t>18/01/2022</w:t>
            </w:r>
          </w:p>
        </w:tc>
      </w:tr>
      <w:tr w:rsidR="003E0EFF" w:rsidRPr="00750DEB" w14:paraId="3ADB4E69" w14:textId="77777777" w:rsidTr="1EF19704">
        <w:tc>
          <w:tcPr>
            <w:tcW w:w="5506" w:type="dxa"/>
          </w:tcPr>
          <w:p w14:paraId="6EEF212D" w14:textId="2021F2C9" w:rsidR="003E0EFF" w:rsidRPr="00750DEB" w:rsidRDefault="003E0EFF" w:rsidP="003E0EFF">
            <w:pPr>
              <w:tabs>
                <w:tab w:val="left" w:pos="2394"/>
              </w:tabs>
              <w:rPr>
                <w:rFonts w:cstheme="minorHAnsi"/>
                <w:sz w:val="24"/>
                <w:szCs w:val="24"/>
              </w:rPr>
            </w:pPr>
            <w:r w:rsidRPr="00750DEB">
              <w:rPr>
                <w:rFonts w:cstheme="minorHAnsi"/>
                <w:sz w:val="24"/>
                <w:szCs w:val="24"/>
              </w:rPr>
              <w:t>Final approval by</w:t>
            </w:r>
          </w:p>
        </w:tc>
        <w:tc>
          <w:tcPr>
            <w:tcW w:w="5552" w:type="dxa"/>
          </w:tcPr>
          <w:p w14:paraId="54FE4CF6" w14:textId="389F44B4" w:rsidR="003E0EFF" w:rsidRPr="00750DEB" w:rsidRDefault="003E0EFF" w:rsidP="001911F2">
            <w:pPr>
              <w:tabs>
                <w:tab w:val="left" w:pos="3030"/>
              </w:tabs>
              <w:contextualSpacing/>
              <w:rPr>
                <w:rFonts w:cstheme="minorHAnsi"/>
                <w:sz w:val="24"/>
                <w:szCs w:val="24"/>
              </w:rPr>
            </w:pPr>
            <w:r w:rsidRPr="00750DEB">
              <w:rPr>
                <w:rFonts w:cstheme="minorHAnsi"/>
                <w:sz w:val="24"/>
                <w:szCs w:val="24"/>
              </w:rPr>
              <w:t xml:space="preserve">University Executive </w:t>
            </w:r>
          </w:p>
        </w:tc>
      </w:tr>
      <w:tr w:rsidR="003E0EFF" w:rsidRPr="00750DEB" w14:paraId="772490A5" w14:textId="77777777" w:rsidTr="1EF19704">
        <w:tc>
          <w:tcPr>
            <w:tcW w:w="5506" w:type="dxa"/>
          </w:tcPr>
          <w:p w14:paraId="52882000" w14:textId="542D21C2" w:rsidR="003E0EFF" w:rsidRPr="00750DEB" w:rsidRDefault="003E0EFF" w:rsidP="003E0EFF">
            <w:pPr>
              <w:tabs>
                <w:tab w:val="left" w:pos="2394"/>
              </w:tabs>
              <w:rPr>
                <w:rFonts w:cstheme="minorHAnsi"/>
                <w:sz w:val="24"/>
                <w:szCs w:val="24"/>
              </w:rPr>
            </w:pPr>
            <w:r w:rsidRPr="00750DEB">
              <w:rPr>
                <w:rFonts w:cstheme="minorHAnsi"/>
                <w:sz w:val="24"/>
                <w:szCs w:val="24"/>
              </w:rPr>
              <w:t>Consultations held</w:t>
            </w:r>
          </w:p>
        </w:tc>
        <w:tc>
          <w:tcPr>
            <w:tcW w:w="5552" w:type="dxa"/>
          </w:tcPr>
          <w:p w14:paraId="2685D40C" w14:textId="6D6B3B91" w:rsidR="003E0EFF" w:rsidRPr="00750DEB" w:rsidRDefault="001911F2" w:rsidP="003E0EFF">
            <w:pPr>
              <w:tabs>
                <w:tab w:val="left" w:pos="2394"/>
              </w:tabs>
              <w:rPr>
                <w:rFonts w:cstheme="minorHAnsi"/>
                <w:sz w:val="24"/>
                <w:szCs w:val="24"/>
              </w:rPr>
            </w:pPr>
            <w:r w:rsidRPr="00750DEB">
              <w:rPr>
                <w:rFonts w:cstheme="minorHAnsi"/>
                <w:sz w:val="24"/>
                <w:szCs w:val="24"/>
              </w:rPr>
              <w:t>Finance Operations and Technical A</w:t>
            </w:r>
            <w:r w:rsidR="00750DEB">
              <w:rPr>
                <w:rFonts w:cstheme="minorHAnsi"/>
                <w:sz w:val="24"/>
                <w:szCs w:val="24"/>
              </w:rPr>
              <w:t>ccoun</w:t>
            </w:r>
            <w:r w:rsidRPr="00750DEB">
              <w:rPr>
                <w:rFonts w:cstheme="minorHAnsi"/>
                <w:sz w:val="24"/>
                <w:szCs w:val="24"/>
              </w:rPr>
              <w:t xml:space="preserve">ting </w:t>
            </w:r>
            <w:r w:rsidR="00750DEB">
              <w:rPr>
                <w:rFonts w:cstheme="minorHAnsi"/>
                <w:sz w:val="24"/>
                <w:szCs w:val="24"/>
              </w:rPr>
              <w:t>Group</w:t>
            </w:r>
          </w:p>
        </w:tc>
      </w:tr>
      <w:tr w:rsidR="003E0EFF" w:rsidRPr="00750DEB" w14:paraId="41AE7D45" w14:textId="77777777" w:rsidTr="1EF19704">
        <w:tc>
          <w:tcPr>
            <w:tcW w:w="5506" w:type="dxa"/>
          </w:tcPr>
          <w:p w14:paraId="54FE90D0" w14:textId="59A63274" w:rsidR="003E0EFF" w:rsidRPr="00750DEB" w:rsidRDefault="003E0EFF" w:rsidP="003E0EFF">
            <w:pPr>
              <w:tabs>
                <w:tab w:val="left" w:pos="2394"/>
              </w:tabs>
              <w:rPr>
                <w:rFonts w:cstheme="minorHAnsi"/>
                <w:sz w:val="24"/>
                <w:szCs w:val="24"/>
              </w:rPr>
            </w:pPr>
            <w:r w:rsidRPr="00750DEB">
              <w:rPr>
                <w:rFonts w:cstheme="minorHAnsi"/>
                <w:sz w:val="24"/>
                <w:szCs w:val="24"/>
              </w:rPr>
              <w:t>Date of commencement of policy</w:t>
            </w:r>
          </w:p>
        </w:tc>
        <w:tc>
          <w:tcPr>
            <w:tcW w:w="5552" w:type="dxa"/>
          </w:tcPr>
          <w:p w14:paraId="6C7AE4F5" w14:textId="2AE739F0" w:rsidR="003E0EFF" w:rsidRPr="00953B41" w:rsidRDefault="20063125" w:rsidP="1EF19704">
            <w:pPr>
              <w:tabs>
                <w:tab w:val="left" w:pos="2394"/>
              </w:tabs>
              <w:rPr>
                <w:sz w:val="24"/>
                <w:szCs w:val="24"/>
              </w:rPr>
            </w:pPr>
            <w:r w:rsidRPr="1EF19704">
              <w:rPr>
                <w:sz w:val="24"/>
                <w:szCs w:val="24"/>
              </w:rPr>
              <w:t>1</w:t>
            </w:r>
            <w:r w:rsidR="096CF0DE" w:rsidRPr="1EF19704">
              <w:rPr>
                <w:sz w:val="24"/>
                <w:szCs w:val="24"/>
              </w:rPr>
              <w:t>/08/2022</w:t>
            </w:r>
          </w:p>
        </w:tc>
      </w:tr>
      <w:tr w:rsidR="003E0EFF" w:rsidRPr="00750DEB" w14:paraId="239BD769" w14:textId="77777777" w:rsidTr="1EF19704">
        <w:tc>
          <w:tcPr>
            <w:tcW w:w="5506" w:type="dxa"/>
          </w:tcPr>
          <w:p w14:paraId="7BFDE696" w14:textId="03FCE172" w:rsidR="003E0EFF" w:rsidRPr="00750DEB" w:rsidRDefault="003E0EFF" w:rsidP="003E0EFF">
            <w:pPr>
              <w:tabs>
                <w:tab w:val="left" w:pos="2394"/>
              </w:tabs>
              <w:rPr>
                <w:rFonts w:cstheme="minorHAnsi"/>
                <w:sz w:val="24"/>
                <w:szCs w:val="24"/>
              </w:rPr>
            </w:pPr>
            <w:r w:rsidRPr="00750DEB">
              <w:rPr>
                <w:rFonts w:cstheme="minorHAnsi"/>
                <w:sz w:val="24"/>
                <w:szCs w:val="24"/>
              </w:rPr>
              <w:t>Date for review of policy</w:t>
            </w:r>
          </w:p>
        </w:tc>
        <w:tc>
          <w:tcPr>
            <w:tcW w:w="5552" w:type="dxa"/>
          </w:tcPr>
          <w:p w14:paraId="56841163" w14:textId="328E2AB8" w:rsidR="003E0EFF" w:rsidRPr="00750DEB" w:rsidRDefault="003E0EFF" w:rsidP="003E0EFF">
            <w:pPr>
              <w:tabs>
                <w:tab w:val="left" w:pos="2394"/>
              </w:tabs>
              <w:rPr>
                <w:rFonts w:cstheme="minorHAnsi"/>
                <w:sz w:val="24"/>
                <w:szCs w:val="24"/>
              </w:rPr>
            </w:pPr>
          </w:p>
        </w:tc>
      </w:tr>
      <w:tr w:rsidR="003E0EFF" w:rsidRPr="00750DEB" w14:paraId="20685502" w14:textId="77777777" w:rsidTr="1EF19704">
        <w:tc>
          <w:tcPr>
            <w:tcW w:w="5506" w:type="dxa"/>
          </w:tcPr>
          <w:p w14:paraId="7D27B333" w14:textId="208EBC85" w:rsidR="003E0EFF" w:rsidRPr="00750DEB" w:rsidRDefault="003E0EFF" w:rsidP="003E0EFF">
            <w:pPr>
              <w:tabs>
                <w:tab w:val="left" w:pos="2394"/>
              </w:tabs>
              <w:rPr>
                <w:rFonts w:cstheme="minorHAnsi"/>
                <w:sz w:val="24"/>
                <w:szCs w:val="24"/>
              </w:rPr>
            </w:pPr>
            <w:r w:rsidRPr="00750DEB">
              <w:rPr>
                <w:rFonts w:cstheme="minorHAnsi"/>
                <w:sz w:val="24"/>
                <w:szCs w:val="24"/>
              </w:rPr>
              <w:t>Policy review by</w:t>
            </w:r>
          </w:p>
        </w:tc>
        <w:tc>
          <w:tcPr>
            <w:tcW w:w="5552" w:type="dxa"/>
          </w:tcPr>
          <w:p w14:paraId="2E62D3E9" w14:textId="25D460D8" w:rsidR="003E0EFF" w:rsidRPr="00750DEB" w:rsidRDefault="00953B41" w:rsidP="00750DEB">
            <w:pPr>
              <w:tabs>
                <w:tab w:val="left" w:pos="2394"/>
              </w:tabs>
              <w:rPr>
                <w:rFonts w:cstheme="minorHAnsi"/>
                <w:sz w:val="24"/>
                <w:szCs w:val="24"/>
              </w:rPr>
            </w:pPr>
            <w:r>
              <w:rPr>
                <w:rFonts w:cstheme="minorHAnsi"/>
                <w:sz w:val="24"/>
                <w:szCs w:val="24"/>
              </w:rPr>
              <w:t>Deputy Director of Finance</w:t>
            </w:r>
          </w:p>
        </w:tc>
      </w:tr>
      <w:tr w:rsidR="003E0EFF" w:rsidRPr="00750DEB" w14:paraId="38668518" w14:textId="77777777" w:rsidTr="1EF19704">
        <w:tc>
          <w:tcPr>
            <w:tcW w:w="5506" w:type="dxa"/>
          </w:tcPr>
          <w:p w14:paraId="0F29385D" w14:textId="3437F00D" w:rsidR="003E0EFF" w:rsidRPr="00750DEB" w:rsidRDefault="003E0EFF" w:rsidP="003E0EFF">
            <w:pPr>
              <w:tabs>
                <w:tab w:val="left" w:pos="2394"/>
              </w:tabs>
              <w:rPr>
                <w:rFonts w:cstheme="minorHAnsi"/>
                <w:sz w:val="24"/>
                <w:szCs w:val="24"/>
              </w:rPr>
            </w:pPr>
            <w:r w:rsidRPr="00750DEB">
              <w:rPr>
                <w:rFonts w:cstheme="minorHAnsi"/>
                <w:sz w:val="24"/>
                <w:szCs w:val="24"/>
              </w:rPr>
              <w:t>Policies superseded by this policy</w:t>
            </w:r>
          </w:p>
        </w:tc>
        <w:tc>
          <w:tcPr>
            <w:tcW w:w="5552" w:type="dxa"/>
          </w:tcPr>
          <w:p w14:paraId="2D616A0C" w14:textId="77777777" w:rsidR="00202CA6" w:rsidRPr="00202CA6" w:rsidRDefault="00202CA6" w:rsidP="00202CA6">
            <w:pPr>
              <w:tabs>
                <w:tab w:val="left" w:pos="2394"/>
              </w:tabs>
              <w:rPr>
                <w:rFonts w:cstheme="minorHAnsi"/>
                <w:sz w:val="24"/>
                <w:szCs w:val="24"/>
              </w:rPr>
            </w:pPr>
            <w:r w:rsidRPr="00202CA6">
              <w:rPr>
                <w:rFonts w:cstheme="minorHAnsi"/>
                <w:sz w:val="24"/>
                <w:szCs w:val="24"/>
              </w:rPr>
              <w:t>Capital Policy – Estates and Equipment Capital</w:t>
            </w:r>
          </w:p>
          <w:p w14:paraId="4AF1C6DA" w14:textId="0D2E20B6" w:rsidR="003E0EFF" w:rsidRPr="00750DEB" w:rsidRDefault="00202CA6" w:rsidP="00202CA6">
            <w:pPr>
              <w:tabs>
                <w:tab w:val="left" w:pos="2394"/>
              </w:tabs>
              <w:rPr>
                <w:rFonts w:cstheme="minorHAnsi"/>
                <w:sz w:val="24"/>
                <w:szCs w:val="24"/>
              </w:rPr>
            </w:pPr>
            <w:r w:rsidRPr="00202CA6">
              <w:rPr>
                <w:rFonts w:cstheme="minorHAnsi"/>
                <w:sz w:val="24"/>
                <w:szCs w:val="24"/>
              </w:rPr>
              <w:t>Expenditure and Funding</w:t>
            </w:r>
          </w:p>
        </w:tc>
      </w:tr>
    </w:tbl>
    <w:p w14:paraId="1E644A0F" w14:textId="65E08242" w:rsidR="000222C1" w:rsidRPr="00750DEB" w:rsidRDefault="000222C1" w:rsidP="003D0DC8">
      <w:pPr>
        <w:tabs>
          <w:tab w:val="left" w:pos="2394"/>
        </w:tabs>
        <w:rPr>
          <w:rFonts w:cstheme="minorHAnsi"/>
          <w:b/>
          <w:sz w:val="24"/>
          <w:szCs w:val="24"/>
        </w:rPr>
      </w:pPr>
    </w:p>
    <w:tbl>
      <w:tblPr>
        <w:tblStyle w:val="TableGrid"/>
        <w:tblW w:w="11058" w:type="dxa"/>
        <w:tblInd w:w="-998" w:type="dxa"/>
        <w:tblLook w:val="04A0" w:firstRow="1" w:lastRow="0" w:firstColumn="1" w:lastColumn="0" w:noHBand="0" w:noVBand="1"/>
      </w:tblPr>
      <w:tblGrid>
        <w:gridCol w:w="1419"/>
        <w:gridCol w:w="3260"/>
        <w:gridCol w:w="2268"/>
        <w:gridCol w:w="4111"/>
      </w:tblGrid>
      <w:tr w:rsidR="003E0EFF" w:rsidRPr="00750DEB" w14:paraId="1A013707" w14:textId="77777777" w:rsidTr="1EF19704">
        <w:trPr>
          <w:trHeight w:val="624"/>
        </w:trPr>
        <w:tc>
          <w:tcPr>
            <w:tcW w:w="11058" w:type="dxa"/>
            <w:gridSpan w:val="4"/>
            <w:shd w:val="clear" w:color="auto" w:fill="D9D9D9" w:themeFill="background1" w:themeFillShade="D9"/>
            <w:vAlign w:val="center"/>
          </w:tcPr>
          <w:p w14:paraId="1346B101" w14:textId="10BFB822" w:rsidR="003E0EFF" w:rsidRPr="00750DEB" w:rsidRDefault="003E0EFF" w:rsidP="00B92B5E">
            <w:pPr>
              <w:tabs>
                <w:tab w:val="left" w:pos="2394"/>
              </w:tabs>
              <w:rPr>
                <w:rFonts w:cstheme="minorHAnsi"/>
                <w:b/>
                <w:sz w:val="24"/>
                <w:szCs w:val="24"/>
              </w:rPr>
            </w:pPr>
            <w:r w:rsidRPr="00750DEB">
              <w:rPr>
                <w:rFonts w:cstheme="minorHAnsi"/>
                <w:b/>
                <w:sz w:val="24"/>
                <w:szCs w:val="24"/>
              </w:rPr>
              <w:t>Version control</w:t>
            </w:r>
          </w:p>
        </w:tc>
      </w:tr>
      <w:tr w:rsidR="003E0EFF" w:rsidRPr="00750DEB" w14:paraId="27F58FD5" w14:textId="77777777" w:rsidTr="1EF19704">
        <w:tc>
          <w:tcPr>
            <w:tcW w:w="1419" w:type="dxa"/>
          </w:tcPr>
          <w:p w14:paraId="7A23011D" w14:textId="522D0D52" w:rsidR="003E0EFF" w:rsidRPr="00750DEB" w:rsidRDefault="003E0EFF" w:rsidP="003E0EFF">
            <w:pPr>
              <w:tabs>
                <w:tab w:val="left" w:pos="2394"/>
              </w:tabs>
              <w:rPr>
                <w:rFonts w:cstheme="minorHAnsi"/>
                <w:b/>
                <w:sz w:val="24"/>
                <w:szCs w:val="24"/>
              </w:rPr>
            </w:pPr>
            <w:r w:rsidRPr="00750DEB">
              <w:rPr>
                <w:rFonts w:cstheme="minorHAnsi"/>
                <w:b/>
                <w:sz w:val="24"/>
                <w:szCs w:val="24"/>
              </w:rPr>
              <w:t>Version</w:t>
            </w:r>
          </w:p>
        </w:tc>
        <w:tc>
          <w:tcPr>
            <w:tcW w:w="3260" w:type="dxa"/>
          </w:tcPr>
          <w:p w14:paraId="7B4A165C" w14:textId="425C5E3C" w:rsidR="003E0EFF" w:rsidRPr="00750DEB" w:rsidRDefault="003E0EFF" w:rsidP="003E0EFF">
            <w:pPr>
              <w:tabs>
                <w:tab w:val="left" w:pos="2394"/>
              </w:tabs>
              <w:rPr>
                <w:rFonts w:cstheme="minorHAnsi"/>
                <w:b/>
                <w:sz w:val="24"/>
                <w:szCs w:val="24"/>
              </w:rPr>
            </w:pPr>
            <w:r w:rsidRPr="00750DEB">
              <w:rPr>
                <w:rFonts w:cstheme="minorHAnsi"/>
                <w:b/>
                <w:sz w:val="24"/>
                <w:szCs w:val="24"/>
              </w:rPr>
              <w:t>Amendment made</w:t>
            </w:r>
          </w:p>
        </w:tc>
        <w:tc>
          <w:tcPr>
            <w:tcW w:w="2268" w:type="dxa"/>
          </w:tcPr>
          <w:p w14:paraId="2BEEC03B" w14:textId="41692F58" w:rsidR="003E0EFF" w:rsidRPr="00750DEB" w:rsidRDefault="003E0EFF" w:rsidP="003E0EFF">
            <w:pPr>
              <w:tabs>
                <w:tab w:val="left" w:pos="2394"/>
              </w:tabs>
              <w:rPr>
                <w:rFonts w:cstheme="minorHAnsi"/>
                <w:b/>
                <w:sz w:val="24"/>
                <w:szCs w:val="24"/>
              </w:rPr>
            </w:pPr>
            <w:r w:rsidRPr="00750DEB">
              <w:rPr>
                <w:rFonts w:cstheme="minorHAnsi"/>
                <w:b/>
                <w:sz w:val="24"/>
                <w:szCs w:val="24"/>
              </w:rPr>
              <w:t>Approval date</w:t>
            </w:r>
          </w:p>
        </w:tc>
        <w:tc>
          <w:tcPr>
            <w:tcW w:w="4111" w:type="dxa"/>
          </w:tcPr>
          <w:p w14:paraId="7F6423B0" w14:textId="592F3FDC" w:rsidR="003E0EFF" w:rsidRPr="00750DEB" w:rsidRDefault="003E0EFF" w:rsidP="003E0EFF">
            <w:pPr>
              <w:tabs>
                <w:tab w:val="left" w:pos="2394"/>
              </w:tabs>
              <w:rPr>
                <w:rFonts w:cstheme="minorHAnsi"/>
                <w:b/>
                <w:sz w:val="24"/>
                <w:szCs w:val="24"/>
              </w:rPr>
            </w:pPr>
            <w:r w:rsidRPr="00750DEB">
              <w:rPr>
                <w:rFonts w:cstheme="minorHAnsi"/>
                <w:b/>
                <w:sz w:val="24"/>
                <w:szCs w:val="24"/>
              </w:rPr>
              <w:t>Approved by</w:t>
            </w:r>
          </w:p>
        </w:tc>
      </w:tr>
      <w:tr w:rsidR="003E0EFF" w:rsidRPr="00750DEB" w14:paraId="27F52E90" w14:textId="77777777" w:rsidTr="1EF19704">
        <w:tc>
          <w:tcPr>
            <w:tcW w:w="1419" w:type="dxa"/>
          </w:tcPr>
          <w:p w14:paraId="129BB693" w14:textId="1D3C21BC" w:rsidR="003E0EFF" w:rsidRPr="00750DEB" w:rsidRDefault="003E0EFF" w:rsidP="003D0DC8">
            <w:pPr>
              <w:tabs>
                <w:tab w:val="left" w:pos="2394"/>
              </w:tabs>
              <w:rPr>
                <w:rFonts w:cstheme="minorHAnsi"/>
                <w:sz w:val="24"/>
                <w:szCs w:val="24"/>
              </w:rPr>
            </w:pPr>
            <w:r w:rsidRPr="00750DEB">
              <w:rPr>
                <w:rFonts w:cstheme="minorHAnsi"/>
                <w:sz w:val="24"/>
                <w:szCs w:val="24"/>
              </w:rPr>
              <w:t>1.0</w:t>
            </w:r>
          </w:p>
        </w:tc>
        <w:tc>
          <w:tcPr>
            <w:tcW w:w="3260" w:type="dxa"/>
          </w:tcPr>
          <w:p w14:paraId="58136BCE" w14:textId="081872C3" w:rsidR="003E0EFF" w:rsidRPr="00750DEB" w:rsidRDefault="003E0EFF" w:rsidP="003D0DC8">
            <w:pPr>
              <w:tabs>
                <w:tab w:val="left" w:pos="2394"/>
              </w:tabs>
              <w:rPr>
                <w:rFonts w:cstheme="minorHAnsi"/>
                <w:sz w:val="24"/>
                <w:szCs w:val="24"/>
              </w:rPr>
            </w:pPr>
            <w:r w:rsidRPr="00750DEB">
              <w:rPr>
                <w:rFonts w:cstheme="minorHAnsi"/>
                <w:sz w:val="24"/>
                <w:szCs w:val="24"/>
              </w:rPr>
              <w:t>First Version</w:t>
            </w:r>
          </w:p>
        </w:tc>
        <w:tc>
          <w:tcPr>
            <w:tcW w:w="2268" w:type="dxa"/>
          </w:tcPr>
          <w:p w14:paraId="7AB7DC5C" w14:textId="5E5E30E0" w:rsidR="003E0EFF" w:rsidRPr="00750DEB" w:rsidRDefault="1EF19704" w:rsidP="1EF19704">
            <w:pPr>
              <w:tabs>
                <w:tab w:val="left" w:pos="2394"/>
              </w:tabs>
              <w:rPr>
                <w:sz w:val="24"/>
                <w:szCs w:val="24"/>
              </w:rPr>
            </w:pPr>
            <w:r w:rsidRPr="1EF19704">
              <w:rPr>
                <w:sz w:val="24"/>
                <w:szCs w:val="24"/>
              </w:rPr>
              <w:t>18 January 2022</w:t>
            </w:r>
          </w:p>
        </w:tc>
        <w:tc>
          <w:tcPr>
            <w:tcW w:w="4111" w:type="dxa"/>
          </w:tcPr>
          <w:p w14:paraId="5FCEE091" w14:textId="3470CE49" w:rsidR="003E0EFF" w:rsidRPr="00750DEB" w:rsidRDefault="0042376B" w:rsidP="003D0DC8">
            <w:pPr>
              <w:tabs>
                <w:tab w:val="left" w:pos="2394"/>
              </w:tabs>
              <w:rPr>
                <w:rFonts w:cstheme="minorHAnsi"/>
                <w:sz w:val="24"/>
                <w:szCs w:val="24"/>
              </w:rPr>
            </w:pPr>
            <w:r>
              <w:rPr>
                <w:rFonts w:cstheme="minorHAnsi"/>
                <w:sz w:val="24"/>
                <w:szCs w:val="24"/>
              </w:rPr>
              <w:t>University Executive</w:t>
            </w:r>
          </w:p>
        </w:tc>
      </w:tr>
      <w:tr w:rsidR="003E0EFF" w:rsidRPr="00750DEB" w14:paraId="25629646" w14:textId="77777777" w:rsidTr="1EF19704">
        <w:tc>
          <w:tcPr>
            <w:tcW w:w="1419" w:type="dxa"/>
          </w:tcPr>
          <w:p w14:paraId="1A2129BD" w14:textId="7FF10617" w:rsidR="003E0EFF" w:rsidRPr="00750DEB" w:rsidRDefault="003E0EFF" w:rsidP="003D0DC8">
            <w:pPr>
              <w:tabs>
                <w:tab w:val="left" w:pos="2394"/>
              </w:tabs>
              <w:rPr>
                <w:rFonts w:cstheme="minorHAnsi"/>
                <w:sz w:val="24"/>
                <w:szCs w:val="24"/>
              </w:rPr>
            </w:pPr>
            <w:r w:rsidRPr="00750DEB">
              <w:rPr>
                <w:rFonts w:cstheme="minorHAnsi"/>
                <w:sz w:val="24"/>
                <w:szCs w:val="24"/>
              </w:rPr>
              <w:t>1.1</w:t>
            </w:r>
          </w:p>
        </w:tc>
        <w:tc>
          <w:tcPr>
            <w:tcW w:w="3260" w:type="dxa"/>
          </w:tcPr>
          <w:p w14:paraId="054AFB06" w14:textId="1722205C" w:rsidR="003E0EFF" w:rsidRPr="00750DEB" w:rsidRDefault="003E0EFF" w:rsidP="003D0DC8">
            <w:pPr>
              <w:tabs>
                <w:tab w:val="left" w:pos="2394"/>
              </w:tabs>
              <w:rPr>
                <w:rFonts w:cstheme="minorHAnsi"/>
                <w:sz w:val="24"/>
                <w:szCs w:val="24"/>
              </w:rPr>
            </w:pPr>
          </w:p>
        </w:tc>
        <w:tc>
          <w:tcPr>
            <w:tcW w:w="2268" w:type="dxa"/>
          </w:tcPr>
          <w:p w14:paraId="288CD3F9" w14:textId="6DD4C8A4" w:rsidR="003E0EFF" w:rsidRPr="00750DEB" w:rsidRDefault="003E0EFF" w:rsidP="003D0DC8">
            <w:pPr>
              <w:tabs>
                <w:tab w:val="left" w:pos="2394"/>
              </w:tabs>
              <w:rPr>
                <w:rFonts w:cstheme="minorHAnsi"/>
                <w:sz w:val="24"/>
                <w:szCs w:val="24"/>
              </w:rPr>
            </w:pPr>
          </w:p>
        </w:tc>
        <w:tc>
          <w:tcPr>
            <w:tcW w:w="4111" w:type="dxa"/>
          </w:tcPr>
          <w:p w14:paraId="3DACB32D" w14:textId="3272813D" w:rsidR="003E0EFF" w:rsidRPr="00750DEB" w:rsidRDefault="003E0EFF" w:rsidP="003D0DC8">
            <w:pPr>
              <w:tabs>
                <w:tab w:val="left" w:pos="2394"/>
              </w:tabs>
              <w:rPr>
                <w:rFonts w:cstheme="minorHAnsi"/>
                <w:sz w:val="24"/>
                <w:szCs w:val="24"/>
              </w:rPr>
            </w:pPr>
          </w:p>
        </w:tc>
      </w:tr>
      <w:tr w:rsidR="003E0EFF" w:rsidRPr="00750DEB" w14:paraId="3847FCA0" w14:textId="77777777" w:rsidTr="1EF19704">
        <w:tc>
          <w:tcPr>
            <w:tcW w:w="1419" w:type="dxa"/>
          </w:tcPr>
          <w:p w14:paraId="3ECC6B46" w14:textId="21817F9D" w:rsidR="003E0EFF" w:rsidRPr="00750DEB" w:rsidRDefault="003E0EFF" w:rsidP="0C6B08FD">
            <w:pPr>
              <w:tabs>
                <w:tab w:val="left" w:pos="2394"/>
              </w:tabs>
              <w:spacing w:line="259" w:lineRule="auto"/>
              <w:rPr>
                <w:rFonts w:cstheme="minorHAnsi"/>
                <w:sz w:val="24"/>
                <w:szCs w:val="24"/>
              </w:rPr>
            </w:pPr>
          </w:p>
        </w:tc>
        <w:tc>
          <w:tcPr>
            <w:tcW w:w="3260" w:type="dxa"/>
          </w:tcPr>
          <w:p w14:paraId="433C281B" w14:textId="1FCD494B" w:rsidR="003E0EFF" w:rsidRPr="00750DEB" w:rsidRDefault="003E0EFF" w:rsidP="0C6B08FD">
            <w:pPr>
              <w:tabs>
                <w:tab w:val="left" w:pos="2394"/>
              </w:tabs>
              <w:rPr>
                <w:rFonts w:cstheme="minorHAnsi"/>
                <w:sz w:val="24"/>
                <w:szCs w:val="24"/>
              </w:rPr>
            </w:pPr>
          </w:p>
        </w:tc>
        <w:tc>
          <w:tcPr>
            <w:tcW w:w="2268" w:type="dxa"/>
          </w:tcPr>
          <w:p w14:paraId="75DB7F2E" w14:textId="77777777" w:rsidR="003E0EFF" w:rsidRPr="00750DEB" w:rsidRDefault="003E0EFF" w:rsidP="003D0DC8">
            <w:pPr>
              <w:tabs>
                <w:tab w:val="left" w:pos="2394"/>
              </w:tabs>
              <w:rPr>
                <w:rFonts w:cstheme="minorHAnsi"/>
                <w:sz w:val="24"/>
                <w:szCs w:val="24"/>
              </w:rPr>
            </w:pPr>
          </w:p>
        </w:tc>
        <w:tc>
          <w:tcPr>
            <w:tcW w:w="4111" w:type="dxa"/>
          </w:tcPr>
          <w:p w14:paraId="00AAECB8" w14:textId="77777777" w:rsidR="003E0EFF" w:rsidRPr="00750DEB" w:rsidRDefault="003E0EFF" w:rsidP="003D0DC8">
            <w:pPr>
              <w:tabs>
                <w:tab w:val="left" w:pos="2394"/>
              </w:tabs>
              <w:rPr>
                <w:rFonts w:cstheme="minorHAnsi"/>
                <w:sz w:val="24"/>
                <w:szCs w:val="24"/>
              </w:rPr>
            </w:pPr>
          </w:p>
        </w:tc>
      </w:tr>
    </w:tbl>
    <w:p w14:paraId="70F21BC7" w14:textId="77777777" w:rsidR="003D0DC8" w:rsidRPr="00750DEB" w:rsidRDefault="003D0DC8" w:rsidP="003D0DC8">
      <w:pPr>
        <w:tabs>
          <w:tab w:val="left" w:pos="2394"/>
        </w:tabs>
        <w:rPr>
          <w:rFonts w:cstheme="minorHAnsi"/>
          <w:sz w:val="24"/>
          <w:szCs w:val="24"/>
        </w:rPr>
      </w:pPr>
    </w:p>
    <w:sectPr w:rsidR="003D0DC8" w:rsidRPr="00750DEB" w:rsidSect="002017F8">
      <w:footerReference w:type="default" r:id="rId17"/>
      <w:pgSz w:w="11906" w:h="16838"/>
      <w:pgMar w:top="284" w:right="1440" w:bottom="142"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B6AF" w14:textId="77777777" w:rsidR="00022987" w:rsidRDefault="00022987" w:rsidP="00490D8B">
      <w:pPr>
        <w:spacing w:after="0" w:line="240" w:lineRule="auto"/>
      </w:pPr>
      <w:r>
        <w:separator/>
      </w:r>
    </w:p>
  </w:endnote>
  <w:endnote w:type="continuationSeparator" w:id="0">
    <w:p w14:paraId="7B53A15D" w14:textId="77777777" w:rsidR="00022987" w:rsidRDefault="00022987" w:rsidP="00490D8B">
      <w:pPr>
        <w:spacing w:after="0" w:line="240" w:lineRule="auto"/>
      </w:pPr>
      <w:r>
        <w:continuationSeparator/>
      </w:r>
    </w:p>
  </w:endnote>
  <w:endnote w:type="continuationNotice" w:id="1">
    <w:p w14:paraId="227814A1" w14:textId="77777777" w:rsidR="00022987" w:rsidRDefault="00022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72857"/>
      <w:docPartObj>
        <w:docPartGallery w:val="Page Numbers (Bottom of Page)"/>
        <w:docPartUnique/>
      </w:docPartObj>
    </w:sdtPr>
    <w:sdtContent>
      <w:p w14:paraId="30184137" w14:textId="5F2A6385" w:rsidR="00270417" w:rsidRPr="00490D8B" w:rsidRDefault="00270417">
        <w:pPr>
          <w:pStyle w:val="Footer"/>
          <w:jc w:val="right"/>
          <w:rPr>
            <w:color w:val="A6A6A6" w:themeColor="background1" w:themeShade="A6"/>
          </w:rPr>
        </w:pPr>
        <w:r w:rsidRPr="00490D8B">
          <w:rPr>
            <w:color w:val="A6A6A6" w:themeColor="background1" w:themeShade="A6"/>
          </w:rPr>
          <w:t>September 2021</w:t>
        </w:r>
      </w:p>
      <w:p w14:paraId="195DB905" w14:textId="7AC6C8F9" w:rsidR="00270417" w:rsidRDefault="00000000" w:rsidP="00490D8B">
        <w:pPr>
          <w:pStyle w:val="Footer"/>
          <w:jc w:val="center"/>
        </w:pPr>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r w:rsidR="00270417">
              <w:t xml:space="preserve">Page </w:t>
            </w:r>
            <w:r w:rsidR="00270417">
              <w:rPr>
                <w:b/>
                <w:bCs/>
                <w:color w:val="2B579A"/>
                <w:sz w:val="24"/>
                <w:szCs w:val="24"/>
                <w:shd w:val="clear" w:color="auto" w:fill="E6E6E6"/>
              </w:rPr>
              <w:fldChar w:fldCharType="begin"/>
            </w:r>
            <w:r w:rsidR="00270417">
              <w:rPr>
                <w:b/>
                <w:bCs/>
              </w:rPr>
              <w:instrText xml:space="preserve"> PAGE </w:instrText>
            </w:r>
            <w:r w:rsidR="00270417">
              <w:rPr>
                <w:b/>
                <w:bCs/>
                <w:color w:val="2B579A"/>
                <w:sz w:val="24"/>
                <w:szCs w:val="24"/>
                <w:shd w:val="clear" w:color="auto" w:fill="E6E6E6"/>
              </w:rPr>
              <w:fldChar w:fldCharType="separate"/>
            </w:r>
            <w:r w:rsidR="00A00E6A">
              <w:rPr>
                <w:b/>
                <w:bCs/>
                <w:noProof/>
              </w:rPr>
              <w:t>1</w:t>
            </w:r>
            <w:r w:rsidR="00270417">
              <w:rPr>
                <w:b/>
                <w:bCs/>
                <w:color w:val="2B579A"/>
                <w:sz w:val="24"/>
                <w:szCs w:val="24"/>
                <w:shd w:val="clear" w:color="auto" w:fill="E6E6E6"/>
              </w:rPr>
              <w:fldChar w:fldCharType="end"/>
            </w:r>
            <w:r w:rsidR="00270417">
              <w:t xml:space="preserve"> of </w:t>
            </w:r>
            <w:r w:rsidR="00270417">
              <w:rPr>
                <w:b/>
                <w:bCs/>
                <w:color w:val="2B579A"/>
                <w:sz w:val="24"/>
                <w:szCs w:val="24"/>
                <w:shd w:val="clear" w:color="auto" w:fill="E6E6E6"/>
              </w:rPr>
              <w:fldChar w:fldCharType="begin"/>
            </w:r>
            <w:r w:rsidR="00270417">
              <w:rPr>
                <w:b/>
                <w:bCs/>
              </w:rPr>
              <w:instrText xml:space="preserve"> NUMPAGES  </w:instrText>
            </w:r>
            <w:r w:rsidR="00270417">
              <w:rPr>
                <w:b/>
                <w:bCs/>
                <w:color w:val="2B579A"/>
                <w:sz w:val="24"/>
                <w:szCs w:val="24"/>
                <w:shd w:val="clear" w:color="auto" w:fill="E6E6E6"/>
              </w:rPr>
              <w:fldChar w:fldCharType="separate"/>
            </w:r>
            <w:r w:rsidR="00A00E6A">
              <w:rPr>
                <w:b/>
                <w:bCs/>
                <w:noProof/>
              </w:rPr>
              <w:t>6</w:t>
            </w:r>
            <w:r w:rsidR="00270417">
              <w:rPr>
                <w:b/>
                <w:bCs/>
                <w:color w:val="2B579A"/>
                <w:sz w:val="24"/>
                <w:szCs w:val="24"/>
                <w:shd w:val="clear" w:color="auto" w:fill="E6E6E6"/>
              </w:rPr>
              <w:fldChar w:fldCharType="end"/>
            </w:r>
          </w:sdtContent>
        </w:sdt>
      </w:p>
    </w:sdtContent>
  </w:sdt>
  <w:p w14:paraId="1A9D0890" w14:textId="77777777" w:rsidR="00270417" w:rsidRDefault="00270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F0B7" w14:textId="77777777" w:rsidR="00022987" w:rsidRDefault="00022987" w:rsidP="00490D8B">
      <w:pPr>
        <w:spacing w:after="0" w:line="240" w:lineRule="auto"/>
      </w:pPr>
      <w:r>
        <w:separator/>
      </w:r>
    </w:p>
  </w:footnote>
  <w:footnote w:type="continuationSeparator" w:id="0">
    <w:p w14:paraId="282FEE15" w14:textId="77777777" w:rsidR="00022987" w:rsidRDefault="00022987" w:rsidP="00490D8B">
      <w:pPr>
        <w:spacing w:after="0" w:line="240" w:lineRule="auto"/>
      </w:pPr>
      <w:r>
        <w:continuationSeparator/>
      </w:r>
    </w:p>
  </w:footnote>
  <w:footnote w:type="continuationNotice" w:id="1">
    <w:p w14:paraId="4F742D0B" w14:textId="77777777" w:rsidR="00022987" w:rsidRDefault="00022987">
      <w:pPr>
        <w:spacing w:after="0" w:line="240" w:lineRule="auto"/>
      </w:pPr>
    </w:p>
  </w:footnote>
  <w:footnote w:id="2">
    <w:p w14:paraId="1025B468" w14:textId="6E725692" w:rsidR="00694119" w:rsidRDefault="00694119">
      <w:pPr>
        <w:pStyle w:val="FootnoteText"/>
      </w:pPr>
      <w:r>
        <w:rPr>
          <w:rStyle w:val="FootnoteReference"/>
        </w:rPr>
        <w:footnoteRef/>
      </w:r>
      <w:r>
        <w:t xml:space="preserve"> </w:t>
      </w:r>
      <w:r w:rsidRPr="00831FC9">
        <w:rPr>
          <w:rFonts w:eastAsia="Times New Roman" w:cstheme="minorHAnsi"/>
          <w:color w:val="000000"/>
          <w:sz w:val="24"/>
          <w:szCs w:val="24"/>
          <w:lang w:eastAsia="en-GB"/>
        </w:rPr>
        <w:t>FRS 102 defines a pe</w:t>
      </w:r>
      <w:r>
        <w:rPr>
          <w:rFonts w:eastAsia="Times New Roman" w:cstheme="minorHAnsi"/>
          <w:color w:val="000000"/>
          <w:sz w:val="24"/>
          <w:szCs w:val="24"/>
          <w:lang w:eastAsia="en-GB"/>
        </w:rPr>
        <w:t>rformance-related condition as; ‘a</w:t>
      </w:r>
      <w:r w:rsidRPr="00831FC9">
        <w:rPr>
          <w:rFonts w:eastAsia="Times New Roman" w:cstheme="minorHAnsi"/>
          <w:color w:val="000000"/>
          <w:sz w:val="24"/>
          <w:szCs w:val="24"/>
          <w:lang w:eastAsia="en-GB"/>
        </w:rPr>
        <w:t xml:space="preserve"> condition that requires the performance of a particular level of service of u</w:t>
      </w:r>
      <w:r>
        <w:rPr>
          <w:rFonts w:eastAsia="Times New Roman" w:cstheme="minorHAnsi"/>
          <w:color w:val="000000"/>
          <w:sz w:val="24"/>
          <w:szCs w:val="24"/>
          <w:lang w:eastAsia="en-GB"/>
        </w:rPr>
        <w:t xml:space="preserve">nits or output to be delivered, </w:t>
      </w:r>
      <w:r w:rsidRPr="00831FC9">
        <w:rPr>
          <w:rFonts w:eastAsia="Times New Roman" w:cstheme="minorHAnsi"/>
          <w:color w:val="000000"/>
          <w:sz w:val="24"/>
          <w:szCs w:val="24"/>
          <w:lang w:eastAsia="en-GB"/>
        </w:rPr>
        <w:t>with payment of, or entitlement to, the resources conditional on that performance.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6A5"/>
    <w:multiLevelType w:val="hybridMultilevel"/>
    <w:tmpl w:val="24E480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D2163D"/>
    <w:multiLevelType w:val="hybridMultilevel"/>
    <w:tmpl w:val="09BA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D17BC"/>
    <w:multiLevelType w:val="hybridMultilevel"/>
    <w:tmpl w:val="9C6C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D1EFD"/>
    <w:multiLevelType w:val="multilevel"/>
    <w:tmpl w:val="6E68251C"/>
    <w:lvl w:ilvl="0">
      <w:start w:val="3"/>
      <w:numFmt w:val="decimal"/>
      <w:lvlText w:val="%1."/>
      <w:lvlJc w:val="left"/>
      <w:pPr>
        <w:ind w:left="360" w:hanging="360"/>
      </w:pPr>
      <w:rPr>
        <w:rFonts w:hint="default"/>
      </w:rPr>
    </w:lvl>
    <w:lvl w:ilvl="1">
      <w:start w:val="1"/>
      <w:numFmt w:val="decimal"/>
      <w:lvlRestart w:val="0"/>
      <w:lvlText w:val="%1.%2."/>
      <w:lvlJc w:val="left"/>
      <w:pPr>
        <w:ind w:left="1021" w:hanging="661"/>
      </w:pPr>
      <w:rPr>
        <w:rFonts w:ascii="Arial" w:hAnsi="Arial" w:cs="Arial" w:hint="default"/>
        <w:b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5150E9"/>
    <w:multiLevelType w:val="hybridMultilevel"/>
    <w:tmpl w:val="92FC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B717B"/>
    <w:multiLevelType w:val="multilevel"/>
    <w:tmpl w:val="DC623B1C"/>
    <w:lvl w:ilvl="0">
      <w:start w:val="1"/>
      <w:numFmt w:val="decimal"/>
      <w:lvlText w:val="%1."/>
      <w:lvlJc w:val="left"/>
      <w:pPr>
        <w:ind w:left="360" w:hanging="360"/>
      </w:pPr>
      <w:rPr>
        <w:rFonts w:hint="default"/>
      </w:rPr>
    </w:lvl>
    <w:lvl w:ilvl="1">
      <w:start w:val="1"/>
      <w:numFmt w:val="decimal"/>
      <w:lvlRestart w:val="0"/>
      <w:lvlText w:val="%1.%2."/>
      <w:lvlJc w:val="left"/>
      <w:pPr>
        <w:ind w:left="1021" w:hanging="661"/>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85C26"/>
    <w:multiLevelType w:val="multilevel"/>
    <w:tmpl w:val="FD3C7574"/>
    <w:lvl w:ilvl="0">
      <w:start w:val="1"/>
      <w:numFmt w:val="decimal"/>
      <w:lvlText w:val="%1."/>
      <w:lvlJc w:val="left"/>
      <w:pPr>
        <w:ind w:left="360" w:hanging="360"/>
      </w:pPr>
      <w:rPr>
        <w:rFonts w:hint="default"/>
      </w:rPr>
    </w:lvl>
    <w:lvl w:ilvl="1">
      <w:start w:val="1"/>
      <w:numFmt w:val="decimal"/>
      <w:lvlText w:val="6.%2."/>
      <w:lvlJc w:val="left"/>
      <w:pPr>
        <w:ind w:left="1021" w:hanging="661"/>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42526D"/>
    <w:multiLevelType w:val="hybridMultilevel"/>
    <w:tmpl w:val="D286DC96"/>
    <w:lvl w:ilvl="0" w:tplc="DF4848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57C83"/>
    <w:multiLevelType w:val="hybridMultilevel"/>
    <w:tmpl w:val="FBB87D2A"/>
    <w:lvl w:ilvl="0" w:tplc="01FED1C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B7614"/>
    <w:multiLevelType w:val="multilevel"/>
    <w:tmpl w:val="641CE7EA"/>
    <w:lvl w:ilvl="0">
      <w:start w:val="1"/>
      <w:numFmt w:val="decimal"/>
      <w:lvlText w:val="%1."/>
      <w:lvlJc w:val="left"/>
      <w:pPr>
        <w:ind w:left="360" w:hanging="360"/>
      </w:pPr>
      <w:rPr>
        <w:rFonts w:hint="default"/>
      </w:rPr>
    </w:lvl>
    <w:lvl w:ilvl="1">
      <w:start w:val="1"/>
      <w:numFmt w:val="decimal"/>
      <w:lvlText w:val="9.%2."/>
      <w:lvlJc w:val="left"/>
      <w:pPr>
        <w:ind w:left="1021" w:hanging="661"/>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B6785C"/>
    <w:multiLevelType w:val="hybridMultilevel"/>
    <w:tmpl w:val="C96CEC98"/>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A6899"/>
    <w:multiLevelType w:val="hybridMultilevel"/>
    <w:tmpl w:val="20A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F004A"/>
    <w:multiLevelType w:val="hybridMultilevel"/>
    <w:tmpl w:val="9D1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B60A1"/>
    <w:multiLevelType w:val="hybridMultilevel"/>
    <w:tmpl w:val="7A6A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D4934"/>
    <w:multiLevelType w:val="hybridMultilevel"/>
    <w:tmpl w:val="B4128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26151"/>
    <w:multiLevelType w:val="multilevel"/>
    <w:tmpl w:val="700CF976"/>
    <w:lvl w:ilvl="0">
      <w:start w:val="1"/>
      <w:numFmt w:val="decimal"/>
      <w:lvlText w:val="%1."/>
      <w:lvlJc w:val="left"/>
      <w:pPr>
        <w:ind w:left="1021" w:hanging="664"/>
      </w:pPr>
      <w:rPr>
        <w:rFonts w:hint="default"/>
      </w:rPr>
    </w:lvl>
    <w:lvl w:ilvl="1">
      <w:start w:val="1"/>
      <w:numFmt w:val="decimal"/>
      <w:lvlText w:val="4.%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825E46"/>
    <w:multiLevelType w:val="hybridMultilevel"/>
    <w:tmpl w:val="BA107BBE"/>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614BD"/>
    <w:multiLevelType w:val="hybridMultilevel"/>
    <w:tmpl w:val="EB1C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57E4D"/>
    <w:multiLevelType w:val="hybridMultilevel"/>
    <w:tmpl w:val="BE3477B2"/>
    <w:lvl w:ilvl="0" w:tplc="BA0AB922">
      <w:start w:val="10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70947"/>
    <w:multiLevelType w:val="hybridMultilevel"/>
    <w:tmpl w:val="1136C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73604"/>
    <w:multiLevelType w:val="hybridMultilevel"/>
    <w:tmpl w:val="D032CB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E36AF"/>
    <w:multiLevelType w:val="multilevel"/>
    <w:tmpl w:val="641CE7EA"/>
    <w:lvl w:ilvl="0">
      <w:start w:val="1"/>
      <w:numFmt w:val="decimal"/>
      <w:lvlText w:val="%1."/>
      <w:lvlJc w:val="left"/>
      <w:pPr>
        <w:ind w:left="360" w:hanging="360"/>
      </w:pPr>
      <w:rPr>
        <w:rFonts w:hint="default"/>
      </w:rPr>
    </w:lvl>
    <w:lvl w:ilvl="1">
      <w:start w:val="1"/>
      <w:numFmt w:val="decimal"/>
      <w:lvlText w:val="9.%2."/>
      <w:lvlJc w:val="left"/>
      <w:pPr>
        <w:ind w:left="1021" w:hanging="661"/>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F130F2"/>
    <w:multiLevelType w:val="hybridMultilevel"/>
    <w:tmpl w:val="D8A4A670"/>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60461"/>
    <w:multiLevelType w:val="hybridMultilevel"/>
    <w:tmpl w:val="A0A2D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F86EDD"/>
    <w:multiLevelType w:val="hybridMultilevel"/>
    <w:tmpl w:val="C234F8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608E6"/>
    <w:multiLevelType w:val="hybridMultilevel"/>
    <w:tmpl w:val="2A3C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220D6"/>
    <w:multiLevelType w:val="hybridMultilevel"/>
    <w:tmpl w:val="DE7496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C1B0D"/>
    <w:multiLevelType w:val="multilevel"/>
    <w:tmpl w:val="32B0DE1A"/>
    <w:lvl w:ilvl="0">
      <w:start w:val="1"/>
      <w:numFmt w:val="decimal"/>
      <w:lvlText w:val="%1."/>
      <w:lvlJc w:val="left"/>
      <w:pPr>
        <w:ind w:left="360" w:hanging="360"/>
      </w:pPr>
      <w:rPr>
        <w:rFonts w:hint="default"/>
      </w:rPr>
    </w:lvl>
    <w:lvl w:ilvl="1">
      <w:start w:val="1"/>
      <w:numFmt w:val="decimal"/>
      <w:lvlRestart w:val="0"/>
      <w:lvlText w:val="2.%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E72DE"/>
    <w:multiLevelType w:val="hybridMultilevel"/>
    <w:tmpl w:val="E14C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B283E"/>
    <w:multiLevelType w:val="multilevel"/>
    <w:tmpl w:val="A63A9D36"/>
    <w:lvl w:ilvl="0">
      <w:start w:val="1"/>
      <w:numFmt w:val="decimal"/>
      <w:lvlText w:val="%1."/>
      <w:lvlJc w:val="left"/>
      <w:pPr>
        <w:ind w:left="360" w:hanging="360"/>
      </w:pPr>
      <w:rPr>
        <w:rFonts w:hint="default"/>
      </w:rPr>
    </w:lvl>
    <w:lvl w:ilvl="1">
      <w:start w:val="1"/>
      <w:numFmt w:val="decimal"/>
      <w:lvlText w:val="8.%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EF0A48"/>
    <w:multiLevelType w:val="multilevel"/>
    <w:tmpl w:val="702EEE5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DE5857"/>
    <w:multiLevelType w:val="hybridMultilevel"/>
    <w:tmpl w:val="C6C86A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23200F"/>
    <w:multiLevelType w:val="hybridMultilevel"/>
    <w:tmpl w:val="44FCC972"/>
    <w:lvl w:ilvl="0" w:tplc="0809000F">
      <w:start w:val="1"/>
      <w:numFmt w:val="decimal"/>
      <w:lvlText w:val="%1."/>
      <w:lvlJc w:val="left"/>
      <w:pPr>
        <w:ind w:left="805" w:hanging="360"/>
      </w:p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33" w15:restartNumberingAfterBreak="0">
    <w:nsid w:val="6BC0687C"/>
    <w:multiLevelType w:val="multilevel"/>
    <w:tmpl w:val="1188E460"/>
    <w:lvl w:ilvl="0">
      <w:start w:val="5"/>
      <w:numFmt w:val="decimal"/>
      <w:lvlText w:val="%1."/>
      <w:lvlJc w:val="left"/>
      <w:pPr>
        <w:ind w:left="360" w:hanging="360"/>
      </w:pPr>
      <w:rPr>
        <w:rFonts w:hint="default"/>
      </w:rPr>
    </w:lvl>
    <w:lvl w:ilvl="1">
      <w:start w:val="1"/>
      <w:numFmt w:val="decimal"/>
      <w:lvlRestart w:val="0"/>
      <w:lvlText w:val="%1.%2."/>
      <w:lvlJc w:val="left"/>
      <w:pPr>
        <w:ind w:left="1021" w:hanging="661"/>
      </w:pPr>
      <w:rPr>
        <w:rFonts w:ascii="Arial" w:hAnsi="Arial" w:cs="Arial"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E85981"/>
    <w:multiLevelType w:val="multilevel"/>
    <w:tmpl w:val="641CE7EA"/>
    <w:lvl w:ilvl="0">
      <w:start w:val="1"/>
      <w:numFmt w:val="decimal"/>
      <w:lvlText w:val="%1."/>
      <w:lvlJc w:val="left"/>
      <w:pPr>
        <w:ind w:left="360" w:hanging="360"/>
      </w:pPr>
      <w:rPr>
        <w:rFonts w:hint="default"/>
      </w:rPr>
    </w:lvl>
    <w:lvl w:ilvl="1">
      <w:start w:val="1"/>
      <w:numFmt w:val="decimal"/>
      <w:lvlText w:val="9.%2."/>
      <w:lvlJc w:val="left"/>
      <w:pPr>
        <w:ind w:left="1021" w:hanging="661"/>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CF5AF6"/>
    <w:multiLevelType w:val="hybridMultilevel"/>
    <w:tmpl w:val="D14618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AB6D02"/>
    <w:multiLevelType w:val="hybridMultilevel"/>
    <w:tmpl w:val="F1C0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281CCC"/>
    <w:multiLevelType w:val="hybridMultilevel"/>
    <w:tmpl w:val="0BCA882A"/>
    <w:lvl w:ilvl="0" w:tplc="01FED1C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B24A8"/>
    <w:multiLevelType w:val="hybridMultilevel"/>
    <w:tmpl w:val="0EB8EC4E"/>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C3342"/>
    <w:multiLevelType w:val="multilevel"/>
    <w:tmpl w:val="641CE7EA"/>
    <w:lvl w:ilvl="0">
      <w:start w:val="1"/>
      <w:numFmt w:val="decimal"/>
      <w:lvlText w:val="%1."/>
      <w:lvlJc w:val="left"/>
      <w:pPr>
        <w:ind w:left="360" w:hanging="360"/>
      </w:pPr>
      <w:rPr>
        <w:rFonts w:hint="default"/>
      </w:rPr>
    </w:lvl>
    <w:lvl w:ilvl="1">
      <w:start w:val="1"/>
      <w:numFmt w:val="decimal"/>
      <w:lvlText w:val="9.%2."/>
      <w:lvlJc w:val="left"/>
      <w:pPr>
        <w:ind w:left="1021" w:hanging="661"/>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7804890">
    <w:abstractNumId w:val="13"/>
  </w:num>
  <w:num w:numId="2" w16cid:durableId="100417285">
    <w:abstractNumId w:val="23"/>
  </w:num>
  <w:num w:numId="3" w16cid:durableId="81025695">
    <w:abstractNumId w:val="26"/>
  </w:num>
  <w:num w:numId="4" w16cid:durableId="1641838145">
    <w:abstractNumId w:val="1"/>
  </w:num>
  <w:num w:numId="5" w16cid:durableId="58140940">
    <w:abstractNumId w:val="16"/>
  </w:num>
  <w:num w:numId="6" w16cid:durableId="580024592">
    <w:abstractNumId w:val="22"/>
  </w:num>
  <w:num w:numId="7" w16cid:durableId="1516652366">
    <w:abstractNumId w:val="36"/>
  </w:num>
  <w:num w:numId="8" w16cid:durableId="1659655820">
    <w:abstractNumId w:val="17"/>
  </w:num>
  <w:num w:numId="9" w16cid:durableId="152374855">
    <w:abstractNumId w:val="7"/>
  </w:num>
  <w:num w:numId="10" w16cid:durableId="1127623007">
    <w:abstractNumId w:val="5"/>
  </w:num>
  <w:num w:numId="11" w16cid:durableId="1988702359">
    <w:abstractNumId w:val="27"/>
  </w:num>
  <w:num w:numId="12" w16cid:durableId="1760104369">
    <w:abstractNumId w:val="37"/>
  </w:num>
  <w:num w:numId="13" w16cid:durableId="101341738">
    <w:abstractNumId w:val="8"/>
  </w:num>
  <w:num w:numId="14" w16cid:durableId="526404475">
    <w:abstractNumId w:val="10"/>
  </w:num>
  <w:num w:numId="15" w16cid:durableId="539512659">
    <w:abstractNumId w:val="24"/>
  </w:num>
  <w:num w:numId="16" w16cid:durableId="340590758">
    <w:abstractNumId w:val="3"/>
  </w:num>
  <w:num w:numId="17" w16cid:durableId="663827152">
    <w:abstractNumId w:val="6"/>
  </w:num>
  <w:num w:numId="18" w16cid:durableId="1081024155">
    <w:abstractNumId w:val="20"/>
  </w:num>
  <w:num w:numId="19" w16cid:durableId="785929116">
    <w:abstractNumId w:val="30"/>
  </w:num>
  <w:num w:numId="20" w16cid:durableId="176820683">
    <w:abstractNumId w:val="15"/>
    <w:lvlOverride w:ilvl="0">
      <w:lvl w:ilvl="0">
        <w:start w:val="1"/>
        <w:numFmt w:val="decimal"/>
        <w:lvlText w:val="%1."/>
        <w:lvlJc w:val="left"/>
        <w:pPr>
          <w:ind w:left="1021" w:hanging="664"/>
        </w:pPr>
        <w:rPr>
          <w:rFonts w:hint="default"/>
        </w:rPr>
      </w:lvl>
    </w:lvlOverride>
    <w:lvlOverride w:ilvl="1">
      <w:lvl w:ilvl="1">
        <w:start w:val="1"/>
        <w:numFmt w:val="decimal"/>
        <w:lvlText w:val="1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000156116">
    <w:abstractNumId w:val="29"/>
  </w:num>
  <w:num w:numId="22" w16cid:durableId="501773075">
    <w:abstractNumId w:val="21"/>
  </w:num>
  <w:num w:numId="23" w16cid:durableId="2062703715">
    <w:abstractNumId w:val="39"/>
  </w:num>
  <w:num w:numId="24" w16cid:durableId="207035932">
    <w:abstractNumId w:val="9"/>
  </w:num>
  <w:num w:numId="25" w16cid:durableId="398021311">
    <w:abstractNumId w:val="34"/>
  </w:num>
  <w:num w:numId="26" w16cid:durableId="473259403">
    <w:abstractNumId w:val="33"/>
  </w:num>
  <w:num w:numId="27" w16cid:durableId="726419927">
    <w:abstractNumId w:val="38"/>
  </w:num>
  <w:num w:numId="28" w16cid:durableId="1147891262">
    <w:abstractNumId w:val="31"/>
  </w:num>
  <w:num w:numId="29" w16cid:durableId="799686182">
    <w:abstractNumId w:val="0"/>
  </w:num>
  <w:num w:numId="30" w16cid:durableId="1827352376">
    <w:abstractNumId w:val="35"/>
  </w:num>
  <w:num w:numId="31" w16cid:durableId="257562937">
    <w:abstractNumId w:val="32"/>
  </w:num>
  <w:num w:numId="32" w16cid:durableId="248201025">
    <w:abstractNumId w:val="19"/>
  </w:num>
  <w:num w:numId="33" w16cid:durableId="1709602593">
    <w:abstractNumId w:val="2"/>
  </w:num>
  <w:num w:numId="34" w16cid:durableId="1096830905">
    <w:abstractNumId w:val="14"/>
  </w:num>
  <w:num w:numId="35" w16cid:durableId="961838308">
    <w:abstractNumId w:val="4"/>
  </w:num>
  <w:num w:numId="36" w16cid:durableId="360015903">
    <w:abstractNumId w:val="11"/>
  </w:num>
  <w:num w:numId="37" w16cid:durableId="403530186">
    <w:abstractNumId w:val="25"/>
  </w:num>
  <w:num w:numId="38" w16cid:durableId="290210189">
    <w:abstractNumId w:val="28"/>
  </w:num>
  <w:num w:numId="39" w16cid:durableId="593785807">
    <w:abstractNumId w:val="12"/>
  </w:num>
  <w:num w:numId="40" w16cid:durableId="5227156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0NDIzNrG0MDc3tzRT0lEKTi0uzszPAykwqQUAukQvziwAAAA="/>
  </w:docVars>
  <w:rsids>
    <w:rsidRoot w:val="00143F31"/>
    <w:rsid w:val="000008DE"/>
    <w:rsid w:val="00001411"/>
    <w:rsid w:val="000122A2"/>
    <w:rsid w:val="000222C1"/>
    <w:rsid w:val="00022987"/>
    <w:rsid w:val="00022CB6"/>
    <w:rsid w:val="00030E17"/>
    <w:rsid w:val="0003141E"/>
    <w:rsid w:val="000503CD"/>
    <w:rsid w:val="00055C10"/>
    <w:rsid w:val="000645D2"/>
    <w:rsid w:val="00065ADA"/>
    <w:rsid w:val="00066095"/>
    <w:rsid w:val="00072210"/>
    <w:rsid w:val="000867FF"/>
    <w:rsid w:val="00086C4F"/>
    <w:rsid w:val="00087610"/>
    <w:rsid w:val="00090529"/>
    <w:rsid w:val="00094216"/>
    <w:rsid w:val="00094860"/>
    <w:rsid w:val="00095EBC"/>
    <w:rsid w:val="000973B0"/>
    <w:rsid w:val="000978CE"/>
    <w:rsid w:val="000A0523"/>
    <w:rsid w:val="000A150A"/>
    <w:rsid w:val="000A20EB"/>
    <w:rsid w:val="000A266B"/>
    <w:rsid w:val="000A59A2"/>
    <w:rsid w:val="000B32EE"/>
    <w:rsid w:val="000B3C1D"/>
    <w:rsid w:val="000C0B94"/>
    <w:rsid w:val="000D6A8F"/>
    <w:rsid w:val="000E596E"/>
    <w:rsid w:val="000E7AC2"/>
    <w:rsid w:val="000F757F"/>
    <w:rsid w:val="00100B17"/>
    <w:rsid w:val="001026DC"/>
    <w:rsid w:val="00103EBC"/>
    <w:rsid w:val="00105F23"/>
    <w:rsid w:val="00107E11"/>
    <w:rsid w:val="001164AB"/>
    <w:rsid w:val="00121691"/>
    <w:rsid w:val="001226F5"/>
    <w:rsid w:val="00130B67"/>
    <w:rsid w:val="00135EB6"/>
    <w:rsid w:val="00136CCF"/>
    <w:rsid w:val="00137002"/>
    <w:rsid w:val="00141CF1"/>
    <w:rsid w:val="00143F31"/>
    <w:rsid w:val="00144953"/>
    <w:rsid w:val="00150917"/>
    <w:rsid w:val="00151252"/>
    <w:rsid w:val="001640ED"/>
    <w:rsid w:val="00165859"/>
    <w:rsid w:val="001776D1"/>
    <w:rsid w:val="00183C0A"/>
    <w:rsid w:val="001911F2"/>
    <w:rsid w:val="00192D41"/>
    <w:rsid w:val="001A54AB"/>
    <w:rsid w:val="001A59C5"/>
    <w:rsid w:val="001B0A87"/>
    <w:rsid w:val="001B29EA"/>
    <w:rsid w:val="001B4CF3"/>
    <w:rsid w:val="001BB971"/>
    <w:rsid w:val="001C3E51"/>
    <w:rsid w:val="001C5133"/>
    <w:rsid w:val="001D325D"/>
    <w:rsid w:val="001D3632"/>
    <w:rsid w:val="001E0DDD"/>
    <w:rsid w:val="001E428B"/>
    <w:rsid w:val="001E6024"/>
    <w:rsid w:val="001F04B1"/>
    <w:rsid w:val="001F082F"/>
    <w:rsid w:val="001F1603"/>
    <w:rsid w:val="001F4423"/>
    <w:rsid w:val="001F5A99"/>
    <w:rsid w:val="001F6743"/>
    <w:rsid w:val="00200758"/>
    <w:rsid w:val="002017F8"/>
    <w:rsid w:val="00201D8B"/>
    <w:rsid w:val="0020282C"/>
    <w:rsid w:val="00202CA6"/>
    <w:rsid w:val="00205ACE"/>
    <w:rsid w:val="002127B7"/>
    <w:rsid w:val="00233DFE"/>
    <w:rsid w:val="00240B17"/>
    <w:rsid w:val="00241771"/>
    <w:rsid w:val="00241BAB"/>
    <w:rsid w:val="00241DBC"/>
    <w:rsid w:val="00241FBD"/>
    <w:rsid w:val="00244FFE"/>
    <w:rsid w:val="00246158"/>
    <w:rsid w:val="00246BEE"/>
    <w:rsid w:val="002518F4"/>
    <w:rsid w:val="00253284"/>
    <w:rsid w:val="002638A1"/>
    <w:rsid w:val="00270417"/>
    <w:rsid w:val="0027598E"/>
    <w:rsid w:val="002817EF"/>
    <w:rsid w:val="002824CC"/>
    <w:rsid w:val="00295D85"/>
    <w:rsid w:val="002A50AD"/>
    <w:rsid w:val="002B27B1"/>
    <w:rsid w:val="002B2FB6"/>
    <w:rsid w:val="002B5A38"/>
    <w:rsid w:val="002C036F"/>
    <w:rsid w:val="002C24B2"/>
    <w:rsid w:val="002E1DDA"/>
    <w:rsid w:val="002E381E"/>
    <w:rsid w:val="002E3AAA"/>
    <w:rsid w:val="002E6934"/>
    <w:rsid w:val="002E6DAE"/>
    <w:rsid w:val="002F04B5"/>
    <w:rsid w:val="002F2CB7"/>
    <w:rsid w:val="003024A0"/>
    <w:rsid w:val="00302F86"/>
    <w:rsid w:val="00307861"/>
    <w:rsid w:val="00321E04"/>
    <w:rsid w:val="00326315"/>
    <w:rsid w:val="0033172D"/>
    <w:rsid w:val="00342096"/>
    <w:rsid w:val="003439D1"/>
    <w:rsid w:val="003454BC"/>
    <w:rsid w:val="0034769C"/>
    <w:rsid w:val="003552F4"/>
    <w:rsid w:val="00356909"/>
    <w:rsid w:val="00362C31"/>
    <w:rsid w:val="00380BE8"/>
    <w:rsid w:val="003824B5"/>
    <w:rsid w:val="0038647A"/>
    <w:rsid w:val="003A447F"/>
    <w:rsid w:val="003B4113"/>
    <w:rsid w:val="003B425F"/>
    <w:rsid w:val="003B4644"/>
    <w:rsid w:val="003C3AB8"/>
    <w:rsid w:val="003C72FB"/>
    <w:rsid w:val="003D0DC8"/>
    <w:rsid w:val="003D4DF8"/>
    <w:rsid w:val="003D58AF"/>
    <w:rsid w:val="003E0EFF"/>
    <w:rsid w:val="00411C07"/>
    <w:rsid w:val="004226DC"/>
    <w:rsid w:val="00422DE6"/>
    <w:rsid w:val="0042376B"/>
    <w:rsid w:val="00425250"/>
    <w:rsid w:val="00426C63"/>
    <w:rsid w:val="00433096"/>
    <w:rsid w:val="00433D90"/>
    <w:rsid w:val="00435280"/>
    <w:rsid w:val="004357BB"/>
    <w:rsid w:val="00436C48"/>
    <w:rsid w:val="004474C4"/>
    <w:rsid w:val="004522CF"/>
    <w:rsid w:val="0045674B"/>
    <w:rsid w:val="00457C61"/>
    <w:rsid w:val="00465374"/>
    <w:rsid w:val="0048661C"/>
    <w:rsid w:val="0049097E"/>
    <w:rsid w:val="00490D8B"/>
    <w:rsid w:val="00497494"/>
    <w:rsid w:val="004A5FFF"/>
    <w:rsid w:val="004B2CA8"/>
    <w:rsid w:val="004B3AC8"/>
    <w:rsid w:val="004B41C8"/>
    <w:rsid w:val="004C3D96"/>
    <w:rsid w:val="004D3EF6"/>
    <w:rsid w:val="004E244A"/>
    <w:rsid w:val="004E5A80"/>
    <w:rsid w:val="004F5937"/>
    <w:rsid w:val="004F6F1D"/>
    <w:rsid w:val="00501745"/>
    <w:rsid w:val="00514AD9"/>
    <w:rsid w:val="005159F7"/>
    <w:rsid w:val="005263C4"/>
    <w:rsid w:val="005315C2"/>
    <w:rsid w:val="00541F3C"/>
    <w:rsid w:val="00545066"/>
    <w:rsid w:val="00546566"/>
    <w:rsid w:val="00561008"/>
    <w:rsid w:val="00562F0E"/>
    <w:rsid w:val="005634D1"/>
    <w:rsid w:val="00564697"/>
    <w:rsid w:val="00573F18"/>
    <w:rsid w:val="00582D1C"/>
    <w:rsid w:val="0058558C"/>
    <w:rsid w:val="0059591A"/>
    <w:rsid w:val="005A24C0"/>
    <w:rsid w:val="005A2551"/>
    <w:rsid w:val="005A35F2"/>
    <w:rsid w:val="005A6A2E"/>
    <w:rsid w:val="005B3FB2"/>
    <w:rsid w:val="005B5222"/>
    <w:rsid w:val="005B5F8D"/>
    <w:rsid w:val="005B7799"/>
    <w:rsid w:val="005C43A8"/>
    <w:rsid w:val="005C4A83"/>
    <w:rsid w:val="005D1E23"/>
    <w:rsid w:val="005D6F3B"/>
    <w:rsid w:val="005E34A2"/>
    <w:rsid w:val="005E5606"/>
    <w:rsid w:val="005F0868"/>
    <w:rsid w:val="005F10E4"/>
    <w:rsid w:val="005F2459"/>
    <w:rsid w:val="005F2B92"/>
    <w:rsid w:val="00605CD4"/>
    <w:rsid w:val="00610CFA"/>
    <w:rsid w:val="0061276F"/>
    <w:rsid w:val="00624014"/>
    <w:rsid w:val="006276AD"/>
    <w:rsid w:val="006334DB"/>
    <w:rsid w:val="0064113A"/>
    <w:rsid w:val="00642778"/>
    <w:rsid w:val="006555AC"/>
    <w:rsid w:val="006622C2"/>
    <w:rsid w:val="00670CDE"/>
    <w:rsid w:val="0067138B"/>
    <w:rsid w:val="00676BEC"/>
    <w:rsid w:val="00676C89"/>
    <w:rsid w:val="00691F89"/>
    <w:rsid w:val="00694119"/>
    <w:rsid w:val="00696C91"/>
    <w:rsid w:val="00696FED"/>
    <w:rsid w:val="006A11EF"/>
    <w:rsid w:val="006A694D"/>
    <w:rsid w:val="006B0CF5"/>
    <w:rsid w:val="006C04D7"/>
    <w:rsid w:val="006D1A63"/>
    <w:rsid w:val="006D1EB2"/>
    <w:rsid w:val="006E019A"/>
    <w:rsid w:val="006E2922"/>
    <w:rsid w:val="006E3AA6"/>
    <w:rsid w:val="006F3DE4"/>
    <w:rsid w:val="006F455F"/>
    <w:rsid w:val="006F63FA"/>
    <w:rsid w:val="00700D74"/>
    <w:rsid w:val="00704B4A"/>
    <w:rsid w:val="00704FFF"/>
    <w:rsid w:val="00714CCB"/>
    <w:rsid w:val="00717044"/>
    <w:rsid w:val="00721CB5"/>
    <w:rsid w:val="00727A3F"/>
    <w:rsid w:val="007416AF"/>
    <w:rsid w:val="0074428C"/>
    <w:rsid w:val="00744385"/>
    <w:rsid w:val="00750DEB"/>
    <w:rsid w:val="00752681"/>
    <w:rsid w:val="00756419"/>
    <w:rsid w:val="00757D10"/>
    <w:rsid w:val="00761599"/>
    <w:rsid w:val="00761B37"/>
    <w:rsid w:val="00761B68"/>
    <w:rsid w:val="00764149"/>
    <w:rsid w:val="007705EA"/>
    <w:rsid w:val="007714A2"/>
    <w:rsid w:val="00785367"/>
    <w:rsid w:val="00787AC5"/>
    <w:rsid w:val="00793B38"/>
    <w:rsid w:val="007A2C80"/>
    <w:rsid w:val="007B189A"/>
    <w:rsid w:val="007C6359"/>
    <w:rsid w:val="007D11E8"/>
    <w:rsid w:val="007D1548"/>
    <w:rsid w:val="007D25EB"/>
    <w:rsid w:val="007D3C4B"/>
    <w:rsid w:val="007F443C"/>
    <w:rsid w:val="007F4958"/>
    <w:rsid w:val="007F5642"/>
    <w:rsid w:val="008042A5"/>
    <w:rsid w:val="008073F1"/>
    <w:rsid w:val="00813C87"/>
    <w:rsid w:val="00817746"/>
    <w:rsid w:val="00820EA2"/>
    <w:rsid w:val="008215A1"/>
    <w:rsid w:val="008274F5"/>
    <w:rsid w:val="00831228"/>
    <w:rsid w:val="00831FC9"/>
    <w:rsid w:val="0083460E"/>
    <w:rsid w:val="0083478A"/>
    <w:rsid w:val="00840800"/>
    <w:rsid w:val="00846781"/>
    <w:rsid w:val="0085005A"/>
    <w:rsid w:val="00862E59"/>
    <w:rsid w:val="00865F60"/>
    <w:rsid w:val="00870FCC"/>
    <w:rsid w:val="00874718"/>
    <w:rsid w:val="00881783"/>
    <w:rsid w:val="00885CF2"/>
    <w:rsid w:val="00886081"/>
    <w:rsid w:val="00886577"/>
    <w:rsid w:val="00886783"/>
    <w:rsid w:val="00887080"/>
    <w:rsid w:val="008905CF"/>
    <w:rsid w:val="00890CBC"/>
    <w:rsid w:val="008945F5"/>
    <w:rsid w:val="008A3D98"/>
    <w:rsid w:val="008B05AD"/>
    <w:rsid w:val="008B78B3"/>
    <w:rsid w:val="008C5ABB"/>
    <w:rsid w:val="008D2AE4"/>
    <w:rsid w:val="008E37B7"/>
    <w:rsid w:val="008F0537"/>
    <w:rsid w:val="008F6EC3"/>
    <w:rsid w:val="00905424"/>
    <w:rsid w:val="00915BA1"/>
    <w:rsid w:val="009263D3"/>
    <w:rsid w:val="00934D52"/>
    <w:rsid w:val="0094338C"/>
    <w:rsid w:val="009479E5"/>
    <w:rsid w:val="00952102"/>
    <w:rsid w:val="00953B41"/>
    <w:rsid w:val="0098329D"/>
    <w:rsid w:val="009865CA"/>
    <w:rsid w:val="00991639"/>
    <w:rsid w:val="009950EB"/>
    <w:rsid w:val="009A51CB"/>
    <w:rsid w:val="009B6708"/>
    <w:rsid w:val="009C14AD"/>
    <w:rsid w:val="009C5DCF"/>
    <w:rsid w:val="009C5F9C"/>
    <w:rsid w:val="009C6628"/>
    <w:rsid w:val="009D0605"/>
    <w:rsid w:val="00A003E8"/>
    <w:rsid w:val="00A006FA"/>
    <w:rsid w:val="00A00E6A"/>
    <w:rsid w:val="00A06F61"/>
    <w:rsid w:val="00A254A5"/>
    <w:rsid w:val="00A25550"/>
    <w:rsid w:val="00A27286"/>
    <w:rsid w:val="00A3352F"/>
    <w:rsid w:val="00A344EF"/>
    <w:rsid w:val="00A4040A"/>
    <w:rsid w:val="00A42BD8"/>
    <w:rsid w:val="00A44F3A"/>
    <w:rsid w:val="00A46AB4"/>
    <w:rsid w:val="00A50652"/>
    <w:rsid w:val="00A57B6D"/>
    <w:rsid w:val="00A61E10"/>
    <w:rsid w:val="00A64C4C"/>
    <w:rsid w:val="00A651D7"/>
    <w:rsid w:val="00A65DD7"/>
    <w:rsid w:val="00A66BBD"/>
    <w:rsid w:val="00A72D62"/>
    <w:rsid w:val="00A741B2"/>
    <w:rsid w:val="00A7609B"/>
    <w:rsid w:val="00A801CA"/>
    <w:rsid w:val="00A81057"/>
    <w:rsid w:val="00A85120"/>
    <w:rsid w:val="00A87366"/>
    <w:rsid w:val="00A91D66"/>
    <w:rsid w:val="00A94491"/>
    <w:rsid w:val="00A95315"/>
    <w:rsid w:val="00AA0A2D"/>
    <w:rsid w:val="00AA110D"/>
    <w:rsid w:val="00AA1A55"/>
    <w:rsid w:val="00AA7B2A"/>
    <w:rsid w:val="00AA7EBE"/>
    <w:rsid w:val="00AB0BB8"/>
    <w:rsid w:val="00AB256B"/>
    <w:rsid w:val="00AC2D6F"/>
    <w:rsid w:val="00AD0A1B"/>
    <w:rsid w:val="00AD13E9"/>
    <w:rsid w:val="00AD65CE"/>
    <w:rsid w:val="00AD789E"/>
    <w:rsid w:val="00AE1AC6"/>
    <w:rsid w:val="00AE4102"/>
    <w:rsid w:val="00AE5907"/>
    <w:rsid w:val="00AE6748"/>
    <w:rsid w:val="00B064DB"/>
    <w:rsid w:val="00B07B1D"/>
    <w:rsid w:val="00B13BA0"/>
    <w:rsid w:val="00B22DC0"/>
    <w:rsid w:val="00B33B85"/>
    <w:rsid w:val="00B37E5F"/>
    <w:rsid w:val="00B451A8"/>
    <w:rsid w:val="00B51E17"/>
    <w:rsid w:val="00B60CD3"/>
    <w:rsid w:val="00B6225B"/>
    <w:rsid w:val="00B67585"/>
    <w:rsid w:val="00B701F0"/>
    <w:rsid w:val="00B728D8"/>
    <w:rsid w:val="00B75B82"/>
    <w:rsid w:val="00B76C8C"/>
    <w:rsid w:val="00B83F77"/>
    <w:rsid w:val="00B866C8"/>
    <w:rsid w:val="00B86AA4"/>
    <w:rsid w:val="00B878FE"/>
    <w:rsid w:val="00B90E9C"/>
    <w:rsid w:val="00B92B5E"/>
    <w:rsid w:val="00B939EA"/>
    <w:rsid w:val="00BA0BD2"/>
    <w:rsid w:val="00BA245E"/>
    <w:rsid w:val="00BA582F"/>
    <w:rsid w:val="00BB556B"/>
    <w:rsid w:val="00BC0EE1"/>
    <w:rsid w:val="00BC1DD1"/>
    <w:rsid w:val="00BC204B"/>
    <w:rsid w:val="00BC6A94"/>
    <w:rsid w:val="00BD2B8E"/>
    <w:rsid w:val="00BE1A7C"/>
    <w:rsid w:val="00BE2839"/>
    <w:rsid w:val="00BE7C1D"/>
    <w:rsid w:val="00BF0399"/>
    <w:rsid w:val="00BF2E89"/>
    <w:rsid w:val="00BF30D2"/>
    <w:rsid w:val="00C038C8"/>
    <w:rsid w:val="00C03A64"/>
    <w:rsid w:val="00C05C0C"/>
    <w:rsid w:val="00C20710"/>
    <w:rsid w:val="00C208E5"/>
    <w:rsid w:val="00C24FBD"/>
    <w:rsid w:val="00C52B08"/>
    <w:rsid w:val="00C53DC3"/>
    <w:rsid w:val="00C61580"/>
    <w:rsid w:val="00C636D5"/>
    <w:rsid w:val="00C645E9"/>
    <w:rsid w:val="00C67349"/>
    <w:rsid w:val="00C67BEA"/>
    <w:rsid w:val="00C70AC6"/>
    <w:rsid w:val="00C71701"/>
    <w:rsid w:val="00C81165"/>
    <w:rsid w:val="00C94757"/>
    <w:rsid w:val="00C94D1F"/>
    <w:rsid w:val="00CA2B45"/>
    <w:rsid w:val="00CB105F"/>
    <w:rsid w:val="00CB6A68"/>
    <w:rsid w:val="00CC337D"/>
    <w:rsid w:val="00CC55A2"/>
    <w:rsid w:val="00CD164C"/>
    <w:rsid w:val="00CD3B04"/>
    <w:rsid w:val="00CD67B6"/>
    <w:rsid w:val="00CE160B"/>
    <w:rsid w:val="00CE34AC"/>
    <w:rsid w:val="00CE4111"/>
    <w:rsid w:val="00D00A85"/>
    <w:rsid w:val="00D00D6B"/>
    <w:rsid w:val="00D01B25"/>
    <w:rsid w:val="00D04A66"/>
    <w:rsid w:val="00D12958"/>
    <w:rsid w:val="00D1333D"/>
    <w:rsid w:val="00D14FDF"/>
    <w:rsid w:val="00D1615A"/>
    <w:rsid w:val="00D2172C"/>
    <w:rsid w:val="00D26749"/>
    <w:rsid w:val="00D32E5F"/>
    <w:rsid w:val="00D403D6"/>
    <w:rsid w:val="00D446CC"/>
    <w:rsid w:val="00D46BE0"/>
    <w:rsid w:val="00D55C7A"/>
    <w:rsid w:val="00D565DF"/>
    <w:rsid w:val="00D5704A"/>
    <w:rsid w:val="00D63E26"/>
    <w:rsid w:val="00D6490F"/>
    <w:rsid w:val="00D66869"/>
    <w:rsid w:val="00D6793C"/>
    <w:rsid w:val="00D73687"/>
    <w:rsid w:val="00D73836"/>
    <w:rsid w:val="00D757A9"/>
    <w:rsid w:val="00D768C0"/>
    <w:rsid w:val="00D76C72"/>
    <w:rsid w:val="00D77F69"/>
    <w:rsid w:val="00D81A31"/>
    <w:rsid w:val="00D828B2"/>
    <w:rsid w:val="00D90ED2"/>
    <w:rsid w:val="00D91909"/>
    <w:rsid w:val="00D928A9"/>
    <w:rsid w:val="00D942A9"/>
    <w:rsid w:val="00D94E02"/>
    <w:rsid w:val="00D955F6"/>
    <w:rsid w:val="00DA0D0D"/>
    <w:rsid w:val="00DA0D9F"/>
    <w:rsid w:val="00DA3D6E"/>
    <w:rsid w:val="00DB14BD"/>
    <w:rsid w:val="00DC5A4C"/>
    <w:rsid w:val="00DD2FD5"/>
    <w:rsid w:val="00DD5AF4"/>
    <w:rsid w:val="00DD7345"/>
    <w:rsid w:val="00DD7D3E"/>
    <w:rsid w:val="00DE5016"/>
    <w:rsid w:val="00DE5B26"/>
    <w:rsid w:val="00DE5D20"/>
    <w:rsid w:val="00DE62DC"/>
    <w:rsid w:val="00DE7A0D"/>
    <w:rsid w:val="00DF1B24"/>
    <w:rsid w:val="00DF450C"/>
    <w:rsid w:val="00DF67C6"/>
    <w:rsid w:val="00E24A01"/>
    <w:rsid w:val="00E26BE0"/>
    <w:rsid w:val="00E27C38"/>
    <w:rsid w:val="00E3130E"/>
    <w:rsid w:val="00E438EB"/>
    <w:rsid w:val="00E52A89"/>
    <w:rsid w:val="00E540AB"/>
    <w:rsid w:val="00E64E9F"/>
    <w:rsid w:val="00E66888"/>
    <w:rsid w:val="00E67CB4"/>
    <w:rsid w:val="00E74FB1"/>
    <w:rsid w:val="00E753FB"/>
    <w:rsid w:val="00E82534"/>
    <w:rsid w:val="00E94C63"/>
    <w:rsid w:val="00EA3D6F"/>
    <w:rsid w:val="00EB4857"/>
    <w:rsid w:val="00EB5E52"/>
    <w:rsid w:val="00EC1B67"/>
    <w:rsid w:val="00EC1BF2"/>
    <w:rsid w:val="00ED2BBC"/>
    <w:rsid w:val="00ED33F6"/>
    <w:rsid w:val="00EE6C47"/>
    <w:rsid w:val="00EF2540"/>
    <w:rsid w:val="00EF6CA6"/>
    <w:rsid w:val="00F03893"/>
    <w:rsid w:val="00F072E3"/>
    <w:rsid w:val="00F11B9E"/>
    <w:rsid w:val="00F13207"/>
    <w:rsid w:val="00F17026"/>
    <w:rsid w:val="00F266E4"/>
    <w:rsid w:val="00F41FCF"/>
    <w:rsid w:val="00F4212D"/>
    <w:rsid w:val="00F46076"/>
    <w:rsid w:val="00F50E4F"/>
    <w:rsid w:val="00F5131A"/>
    <w:rsid w:val="00F51B47"/>
    <w:rsid w:val="00F55FBB"/>
    <w:rsid w:val="00F57849"/>
    <w:rsid w:val="00F57BF7"/>
    <w:rsid w:val="00F62CF6"/>
    <w:rsid w:val="00F713AA"/>
    <w:rsid w:val="00F758EF"/>
    <w:rsid w:val="00F809D0"/>
    <w:rsid w:val="00F82A61"/>
    <w:rsid w:val="00F87099"/>
    <w:rsid w:val="00F900B5"/>
    <w:rsid w:val="00F93B0E"/>
    <w:rsid w:val="00FB315E"/>
    <w:rsid w:val="00FC02CF"/>
    <w:rsid w:val="00FC2BEC"/>
    <w:rsid w:val="00FC63D6"/>
    <w:rsid w:val="00FC7016"/>
    <w:rsid w:val="00FE2A24"/>
    <w:rsid w:val="00FE2D05"/>
    <w:rsid w:val="00FE6E95"/>
    <w:rsid w:val="00FF0501"/>
    <w:rsid w:val="01277C52"/>
    <w:rsid w:val="012EAAFD"/>
    <w:rsid w:val="013E85F4"/>
    <w:rsid w:val="01BFA861"/>
    <w:rsid w:val="03DCE48B"/>
    <w:rsid w:val="042A5E5C"/>
    <w:rsid w:val="047C5BAC"/>
    <w:rsid w:val="047CB27B"/>
    <w:rsid w:val="04DBAE93"/>
    <w:rsid w:val="060F3AF9"/>
    <w:rsid w:val="06153D7C"/>
    <w:rsid w:val="06183F44"/>
    <w:rsid w:val="0671D3BD"/>
    <w:rsid w:val="0842996E"/>
    <w:rsid w:val="096CF0DE"/>
    <w:rsid w:val="099394CE"/>
    <w:rsid w:val="0A78FD6D"/>
    <w:rsid w:val="0B53CD53"/>
    <w:rsid w:val="0BE730D8"/>
    <w:rsid w:val="0C23143C"/>
    <w:rsid w:val="0C6B08FD"/>
    <w:rsid w:val="0D8A80D9"/>
    <w:rsid w:val="0DC635A9"/>
    <w:rsid w:val="0E382743"/>
    <w:rsid w:val="0E76E700"/>
    <w:rsid w:val="0F629C09"/>
    <w:rsid w:val="0F765942"/>
    <w:rsid w:val="0FA60867"/>
    <w:rsid w:val="135E0DE4"/>
    <w:rsid w:val="139745C8"/>
    <w:rsid w:val="13CDF5C2"/>
    <w:rsid w:val="14248BC1"/>
    <w:rsid w:val="144D0FFA"/>
    <w:rsid w:val="148AC47A"/>
    <w:rsid w:val="14CD0027"/>
    <w:rsid w:val="155568F2"/>
    <w:rsid w:val="156CF241"/>
    <w:rsid w:val="15F6E642"/>
    <w:rsid w:val="170140E1"/>
    <w:rsid w:val="17226348"/>
    <w:rsid w:val="1728C005"/>
    <w:rsid w:val="17343B61"/>
    <w:rsid w:val="176221CC"/>
    <w:rsid w:val="1898596E"/>
    <w:rsid w:val="18FE361F"/>
    <w:rsid w:val="190AB8CD"/>
    <w:rsid w:val="193867EE"/>
    <w:rsid w:val="197ADE80"/>
    <w:rsid w:val="19FA40BD"/>
    <w:rsid w:val="1BB0F832"/>
    <w:rsid w:val="1BF933EF"/>
    <w:rsid w:val="1C2EC33C"/>
    <w:rsid w:val="1C9C878F"/>
    <w:rsid w:val="1D37C6B1"/>
    <w:rsid w:val="1E52B571"/>
    <w:rsid w:val="1E90F34F"/>
    <w:rsid w:val="1EE19A82"/>
    <w:rsid w:val="1EF19704"/>
    <w:rsid w:val="1F2AB8B1"/>
    <w:rsid w:val="1F98AA41"/>
    <w:rsid w:val="20063125"/>
    <w:rsid w:val="20BCD00D"/>
    <w:rsid w:val="2162FC15"/>
    <w:rsid w:val="21B35F5C"/>
    <w:rsid w:val="21BD0881"/>
    <w:rsid w:val="21F895C7"/>
    <w:rsid w:val="228057BD"/>
    <w:rsid w:val="22F3E451"/>
    <w:rsid w:val="22F73D16"/>
    <w:rsid w:val="2386C8F2"/>
    <w:rsid w:val="24A3176F"/>
    <w:rsid w:val="2535FA5D"/>
    <w:rsid w:val="25D662B5"/>
    <w:rsid w:val="2611554D"/>
    <w:rsid w:val="262C2000"/>
    <w:rsid w:val="265A73D5"/>
    <w:rsid w:val="26617DCF"/>
    <w:rsid w:val="2753B5AA"/>
    <w:rsid w:val="27B5E0CE"/>
    <w:rsid w:val="28CA30AA"/>
    <w:rsid w:val="29075D6B"/>
    <w:rsid w:val="29D309AF"/>
    <w:rsid w:val="2A26A432"/>
    <w:rsid w:val="2A27D4E1"/>
    <w:rsid w:val="2A523765"/>
    <w:rsid w:val="2AE68306"/>
    <w:rsid w:val="2B2E60D6"/>
    <w:rsid w:val="2B6DC3A5"/>
    <w:rsid w:val="2BA7219F"/>
    <w:rsid w:val="2C44CEB1"/>
    <w:rsid w:val="2CFF3E79"/>
    <w:rsid w:val="2E483BAA"/>
    <w:rsid w:val="2E82697D"/>
    <w:rsid w:val="2F067503"/>
    <w:rsid w:val="3121B677"/>
    <w:rsid w:val="313518E0"/>
    <w:rsid w:val="31C2B6FE"/>
    <w:rsid w:val="32F9D38E"/>
    <w:rsid w:val="33AE9C9F"/>
    <w:rsid w:val="34392C0A"/>
    <w:rsid w:val="3483F08E"/>
    <w:rsid w:val="3494BAA5"/>
    <w:rsid w:val="3545E024"/>
    <w:rsid w:val="356F5411"/>
    <w:rsid w:val="3601AA1C"/>
    <w:rsid w:val="365E4A7B"/>
    <w:rsid w:val="3660644A"/>
    <w:rsid w:val="3756D49D"/>
    <w:rsid w:val="376008C0"/>
    <w:rsid w:val="380FEF08"/>
    <w:rsid w:val="389D3B2E"/>
    <w:rsid w:val="38FA8FEE"/>
    <w:rsid w:val="3AD1F3CF"/>
    <w:rsid w:val="3D44BEE3"/>
    <w:rsid w:val="3E49D950"/>
    <w:rsid w:val="3E6F40F9"/>
    <w:rsid w:val="3FC092C8"/>
    <w:rsid w:val="4039D97E"/>
    <w:rsid w:val="40922EF4"/>
    <w:rsid w:val="40C100F9"/>
    <w:rsid w:val="4129ACF2"/>
    <w:rsid w:val="41CCC9F5"/>
    <w:rsid w:val="423013CD"/>
    <w:rsid w:val="428677DC"/>
    <w:rsid w:val="4316FB94"/>
    <w:rsid w:val="43AEEF32"/>
    <w:rsid w:val="43FF9881"/>
    <w:rsid w:val="46B68E38"/>
    <w:rsid w:val="4812780F"/>
    <w:rsid w:val="48401DB6"/>
    <w:rsid w:val="495FFDB4"/>
    <w:rsid w:val="4A6CE904"/>
    <w:rsid w:val="4B220D79"/>
    <w:rsid w:val="4C228D11"/>
    <w:rsid w:val="4C86615E"/>
    <w:rsid w:val="4CEF63D3"/>
    <w:rsid w:val="4CEF79A3"/>
    <w:rsid w:val="4D9B376E"/>
    <w:rsid w:val="4DBE4A5F"/>
    <w:rsid w:val="4DF0A16A"/>
    <w:rsid w:val="4DF4DC51"/>
    <w:rsid w:val="4ED03878"/>
    <w:rsid w:val="4FABF184"/>
    <w:rsid w:val="502FAFD0"/>
    <w:rsid w:val="50A08D18"/>
    <w:rsid w:val="50A932D2"/>
    <w:rsid w:val="50FF2CF0"/>
    <w:rsid w:val="51534C29"/>
    <w:rsid w:val="518971A2"/>
    <w:rsid w:val="521C351A"/>
    <w:rsid w:val="52525951"/>
    <w:rsid w:val="53C2155B"/>
    <w:rsid w:val="54131568"/>
    <w:rsid w:val="550A9A3D"/>
    <w:rsid w:val="551EC69E"/>
    <w:rsid w:val="56BBB54C"/>
    <w:rsid w:val="56D28634"/>
    <w:rsid w:val="56E63CCD"/>
    <w:rsid w:val="5723EB86"/>
    <w:rsid w:val="57E8AE9B"/>
    <w:rsid w:val="583F73CA"/>
    <w:rsid w:val="59B16739"/>
    <w:rsid w:val="5A7D96C1"/>
    <w:rsid w:val="5AD78D40"/>
    <w:rsid w:val="5B494186"/>
    <w:rsid w:val="5B63BA2F"/>
    <w:rsid w:val="5C6FB5E4"/>
    <w:rsid w:val="5D01937A"/>
    <w:rsid w:val="5E6DD3B9"/>
    <w:rsid w:val="625E2A8A"/>
    <w:rsid w:val="62933E79"/>
    <w:rsid w:val="63FCAE74"/>
    <w:rsid w:val="649DCABD"/>
    <w:rsid w:val="65C44ED0"/>
    <w:rsid w:val="66700C27"/>
    <w:rsid w:val="66982ACC"/>
    <w:rsid w:val="670A5B1D"/>
    <w:rsid w:val="673C21C5"/>
    <w:rsid w:val="676FDCE2"/>
    <w:rsid w:val="67874ED0"/>
    <w:rsid w:val="689E0C65"/>
    <w:rsid w:val="69544860"/>
    <w:rsid w:val="6B4877A8"/>
    <w:rsid w:val="6B5A0E3D"/>
    <w:rsid w:val="6BF38BFC"/>
    <w:rsid w:val="6E0B5037"/>
    <w:rsid w:val="6E17FBD1"/>
    <w:rsid w:val="6E35C62E"/>
    <w:rsid w:val="6E8661D0"/>
    <w:rsid w:val="6ECE63F0"/>
    <w:rsid w:val="6EFC5C57"/>
    <w:rsid w:val="71C21D0A"/>
    <w:rsid w:val="72EF210A"/>
    <w:rsid w:val="72F1DF84"/>
    <w:rsid w:val="7448F9AF"/>
    <w:rsid w:val="74BE8215"/>
    <w:rsid w:val="75341699"/>
    <w:rsid w:val="767B4E56"/>
    <w:rsid w:val="7724A908"/>
    <w:rsid w:val="77592E6E"/>
    <w:rsid w:val="7760C3A7"/>
    <w:rsid w:val="7847FCF7"/>
    <w:rsid w:val="796595B7"/>
    <w:rsid w:val="79856720"/>
    <w:rsid w:val="7ACF3C19"/>
    <w:rsid w:val="7B0D0B13"/>
    <w:rsid w:val="7B215D4F"/>
    <w:rsid w:val="7BDE93FE"/>
    <w:rsid w:val="7D5A651D"/>
    <w:rsid w:val="7DBEEE81"/>
    <w:rsid w:val="7DD0FA46"/>
    <w:rsid w:val="7DFBD2C4"/>
    <w:rsid w:val="7E0A0DF1"/>
    <w:rsid w:val="7E9BF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347C5"/>
  <w15:chartTrackingRefBased/>
  <w15:docId w15:val="{0C0469D1-9A9C-4483-BEF5-F21FD961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F31"/>
    <w:pPr>
      <w:ind w:left="720"/>
      <w:contextualSpacing/>
    </w:pPr>
  </w:style>
  <w:style w:type="character" w:styleId="Hyperlink">
    <w:name w:val="Hyperlink"/>
    <w:basedOn w:val="DefaultParagraphFont"/>
    <w:uiPriority w:val="99"/>
    <w:unhideWhenUsed/>
    <w:rsid w:val="00B939EA"/>
    <w:rPr>
      <w:color w:val="0563C1" w:themeColor="hyperlink"/>
      <w:u w:val="single"/>
    </w:rPr>
  </w:style>
  <w:style w:type="paragraph" w:styleId="BodyText">
    <w:name w:val="Body Text"/>
    <w:basedOn w:val="Normal"/>
    <w:link w:val="BodyTextChar"/>
    <w:uiPriority w:val="1"/>
    <w:qFormat/>
    <w:rsid w:val="005A6A2E"/>
    <w:pPr>
      <w:spacing w:after="120" w:line="480" w:lineRule="auto"/>
      <w:ind w:left="1020" w:right="159" w:hanging="663"/>
    </w:pPr>
    <w:rPr>
      <w:rFonts w:ascii="Calibri" w:eastAsia="Calibri" w:hAnsi="Calibri" w:cs="Calibri"/>
    </w:rPr>
  </w:style>
  <w:style w:type="character" w:customStyle="1" w:styleId="BodyTextChar">
    <w:name w:val="Body Text Char"/>
    <w:basedOn w:val="DefaultParagraphFont"/>
    <w:link w:val="BodyText"/>
    <w:uiPriority w:val="1"/>
    <w:rsid w:val="005A6A2E"/>
    <w:rPr>
      <w:rFonts w:ascii="Calibri" w:eastAsia="Calibri" w:hAnsi="Calibri" w:cs="Calibri"/>
    </w:rPr>
  </w:style>
  <w:style w:type="character" w:styleId="FollowedHyperlink">
    <w:name w:val="FollowedHyperlink"/>
    <w:basedOn w:val="DefaultParagraphFont"/>
    <w:uiPriority w:val="99"/>
    <w:semiHidden/>
    <w:unhideWhenUsed/>
    <w:rsid w:val="009479E5"/>
    <w:rPr>
      <w:color w:val="954F72" w:themeColor="followedHyperlink"/>
      <w:u w:val="single"/>
    </w:rPr>
  </w:style>
  <w:style w:type="paragraph" w:styleId="BalloonText">
    <w:name w:val="Balloon Text"/>
    <w:basedOn w:val="Normal"/>
    <w:link w:val="BalloonTextChar"/>
    <w:uiPriority w:val="99"/>
    <w:semiHidden/>
    <w:unhideWhenUsed/>
    <w:rsid w:val="00C2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E5"/>
    <w:rPr>
      <w:rFonts w:ascii="Segoe UI" w:hAnsi="Segoe UI" w:cs="Segoe UI"/>
      <w:sz w:val="18"/>
      <w:szCs w:val="18"/>
    </w:rPr>
  </w:style>
  <w:style w:type="character" w:styleId="CommentReference">
    <w:name w:val="annotation reference"/>
    <w:basedOn w:val="DefaultParagraphFont"/>
    <w:uiPriority w:val="99"/>
    <w:semiHidden/>
    <w:unhideWhenUsed/>
    <w:rsid w:val="00E753FB"/>
    <w:rPr>
      <w:sz w:val="16"/>
      <w:szCs w:val="16"/>
    </w:rPr>
  </w:style>
  <w:style w:type="paragraph" w:styleId="CommentText">
    <w:name w:val="annotation text"/>
    <w:basedOn w:val="Normal"/>
    <w:link w:val="CommentTextChar"/>
    <w:uiPriority w:val="99"/>
    <w:unhideWhenUsed/>
    <w:rsid w:val="00E753FB"/>
    <w:pPr>
      <w:spacing w:line="240" w:lineRule="auto"/>
    </w:pPr>
    <w:rPr>
      <w:sz w:val="20"/>
      <w:szCs w:val="20"/>
    </w:rPr>
  </w:style>
  <w:style w:type="character" w:customStyle="1" w:styleId="CommentTextChar">
    <w:name w:val="Comment Text Char"/>
    <w:basedOn w:val="DefaultParagraphFont"/>
    <w:link w:val="CommentText"/>
    <w:uiPriority w:val="99"/>
    <w:rsid w:val="00E753FB"/>
    <w:rPr>
      <w:sz w:val="20"/>
      <w:szCs w:val="20"/>
    </w:rPr>
  </w:style>
  <w:style w:type="paragraph" w:styleId="CommentSubject">
    <w:name w:val="annotation subject"/>
    <w:basedOn w:val="CommentText"/>
    <w:next w:val="CommentText"/>
    <w:link w:val="CommentSubjectChar"/>
    <w:uiPriority w:val="99"/>
    <w:semiHidden/>
    <w:unhideWhenUsed/>
    <w:rsid w:val="00E753FB"/>
    <w:rPr>
      <w:b/>
      <w:bCs/>
    </w:rPr>
  </w:style>
  <w:style w:type="character" w:customStyle="1" w:styleId="CommentSubjectChar">
    <w:name w:val="Comment Subject Char"/>
    <w:basedOn w:val="CommentTextChar"/>
    <w:link w:val="CommentSubject"/>
    <w:uiPriority w:val="99"/>
    <w:semiHidden/>
    <w:rsid w:val="00E753FB"/>
    <w:rPr>
      <w:b/>
      <w:bCs/>
      <w:sz w:val="20"/>
      <w:szCs w:val="20"/>
    </w:rPr>
  </w:style>
  <w:style w:type="paragraph" w:styleId="Revision">
    <w:name w:val="Revision"/>
    <w:hidden/>
    <w:uiPriority w:val="99"/>
    <w:semiHidden/>
    <w:rsid w:val="00E753FB"/>
    <w:pPr>
      <w:spacing w:after="0" w:line="240" w:lineRule="auto"/>
    </w:pPr>
  </w:style>
  <w:style w:type="paragraph" w:styleId="Header">
    <w:name w:val="header"/>
    <w:basedOn w:val="Normal"/>
    <w:link w:val="HeaderChar"/>
    <w:uiPriority w:val="99"/>
    <w:unhideWhenUsed/>
    <w:rsid w:val="0049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8B"/>
  </w:style>
  <w:style w:type="paragraph" w:styleId="Footer">
    <w:name w:val="footer"/>
    <w:basedOn w:val="Normal"/>
    <w:link w:val="FooterChar"/>
    <w:uiPriority w:val="99"/>
    <w:unhideWhenUsed/>
    <w:rsid w:val="0049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8B"/>
  </w:style>
  <w:style w:type="paragraph" w:styleId="NoSpacing">
    <w:name w:val="No Spacing"/>
    <w:uiPriority w:val="1"/>
    <w:qFormat/>
    <w:rsid w:val="00AA110D"/>
    <w:pPr>
      <w:spacing w:after="0" w:line="240" w:lineRule="auto"/>
    </w:pPr>
  </w:style>
  <w:style w:type="character" w:customStyle="1" w:styleId="UnresolvedMention1">
    <w:name w:val="Unresolved Mention1"/>
    <w:basedOn w:val="DefaultParagraphFont"/>
    <w:uiPriority w:val="99"/>
    <w:semiHidden/>
    <w:unhideWhenUsed/>
    <w:rsid w:val="000B3C1D"/>
    <w:rPr>
      <w:color w:val="605E5C"/>
      <w:shd w:val="clear" w:color="auto" w:fill="E1DFDD"/>
    </w:rPr>
  </w:style>
  <w:style w:type="character" w:customStyle="1" w:styleId="normaltextrun">
    <w:name w:val="normaltextrun"/>
    <w:basedOn w:val="DefaultParagraphFont"/>
    <w:rsid w:val="000B3C1D"/>
  </w:style>
  <w:style w:type="character" w:customStyle="1" w:styleId="eop">
    <w:name w:val="eop"/>
    <w:basedOn w:val="DefaultParagraphFont"/>
    <w:rsid w:val="000B3C1D"/>
  </w:style>
  <w:style w:type="paragraph" w:customStyle="1" w:styleId="paragraph">
    <w:name w:val="paragraph"/>
    <w:basedOn w:val="Normal"/>
    <w:rsid w:val="000B3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694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119"/>
    <w:rPr>
      <w:sz w:val="20"/>
      <w:szCs w:val="20"/>
    </w:rPr>
  </w:style>
  <w:style w:type="character" w:styleId="FootnoteReference">
    <w:name w:val="footnote reference"/>
    <w:basedOn w:val="DefaultParagraphFont"/>
    <w:uiPriority w:val="99"/>
    <w:semiHidden/>
    <w:unhideWhenUsed/>
    <w:rsid w:val="00694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10512">
      <w:bodyDiv w:val="1"/>
      <w:marLeft w:val="0"/>
      <w:marRight w:val="0"/>
      <w:marTop w:val="0"/>
      <w:marBottom w:val="0"/>
      <w:divBdr>
        <w:top w:val="none" w:sz="0" w:space="0" w:color="auto"/>
        <w:left w:val="none" w:sz="0" w:space="0" w:color="auto"/>
        <w:bottom w:val="none" w:sz="0" w:space="0" w:color="auto"/>
        <w:right w:val="none" w:sz="0" w:space="0" w:color="auto"/>
      </w:divBdr>
      <w:divsChild>
        <w:div w:id="63994370">
          <w:marLeft w:val="0"/>
          <w:marRight w:val="0"/>
          <w:marTop w:val="0"/>
          <w:marBottom w:val="0"/>
          <w:divBdr>
            <w:top w:val="none" w:sz="0" w:space="0" w:color="auto"/>
            <w:left w:val="none" w:sz="0" w:space="0" w:color="auto"/>
            <w:bottom w:val="none" w:sz="0" w:space="0" w:color="auto"/>
            <w:right w:val="none" w:sz="0" w:space="0" w:color="auto"/>
          </w:divBdr>
        </w:div>
        <w:div w:id="148636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cs.sasg.ed.ac.uk/GaSP/Governance/Governance/DelegatedAuthorisationSchedul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ipment.data.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rc.org.uk/accountants/accounting-and-reporting-policy/uk-accounting-standards/standards-in-issue/frs-102-the-financial-reporting-standard-applicabl"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ac.uk/files/atoms/files/cmp2020-2030.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iesuk.ac.uk/what-we-do/policy-and-research/publications/statement-recommended-practice" TargetMode="External"/></Relationships>
</file>

<file path=word/documenttasks/documenttasks1.xml><?xml version="1.0" encoding="utf-8"?>
<t:Tasks xmlns:t="http://schemas.microsoft.com/office/tasks/2019/documenttasks" xmlns:oel="http://schemas.microsoft.com/office/2019/extlst">
  <t:Task id="{BC753D0B-DB23-415C-B39B-F4E1EC7582B8}">
    <t:Anchor>
      <t:Comment id="168327049"/>
    </t:Anchor>
    <t:History>
      <t:Event id="{3D61D8B7-1A22-498E-8D8D-2F2CD2E027A0}" time="2021-09-27T09:50:10.105Z">
        <t:Attribution userId="S::smulhear@ed.ac.uk::61222411-874b-4e08-b4d0-c507d0bf0ea8" userProvider="AD" userName="MULHEARN Susan"/>
        <t:Anchor>
          <t:Comment id="168327049"/>
        </t:Anchor>
        <t:Create/>
      </t:Event>
      <t:Event id="{B3DFE7D5-6623-4761-81EB-7B1EEE699D88}" time="2021-09-27T09:50:10.105Z">
        <t:Attribution userId="S::smulhear@ed.ac.uk::61222411-874b-4e08-b4d0-c507d0bf0ea8" userProvider="AD" userName="MULHEARN Susan"/>
        <t:Anchor>
          <t:Comment id="168327049"/>
        </t:Anchor>
        <t:Assign userId="S::krichar2@ed.ac.uk::97426e81-8c14-4121-9e13-3cdcdb8e8ff2" userProvider="AD" userName="RICHARDSON Kerry"/>
      </t:Event>
      <t:Event id="{B5C3CF12-CED3-4B2F-B515-D8FA95AFBA76}" time="2021-09-27T09:50:10.105Z">
        <t:Attribution userId="S::smulhear@ed.ac.uk::61222411-874b-4e08-b4d0-c507d0bf0ea8" userProvider="AD" userName="MULHEARN Susan"/>
        <t:Anchor>
          <t:Comment id="168327049"/>
        </t:Anchor>
        <t:SetTitle title="@RICHARDSON Kerry  Head of College expenses - Provost (and Principal if above Provost's limit) will approve  Director of PSG - Principal will approve Provost - Principal will approve TBC if University Secretary will need to approve these also."/>
      </t:Event>
      <t:Event id="{1BF1751B-B1E3-4EEA-9433-7EF574C26A44}" time="2021-09-27T10:01:12.673Z">
        <t:Attribution userId="S::krichar2@ed.ac.uk::97426e81-8c14-4121-9e13-3cdcdb8e8ff2" userProvider="AD" userName="RICHARDSON Kerry"/>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b47e03-2210-4480-82b3-221878e0e272">
      <UserInfo>
        <DisplayName>SMITH Gina</DisplayName>
        <AccountId>1991</AccountId>
        <AccountType/>
      </UserInfo>
      <UserInfo>
        <DisplayName>MCLOUGHLIN Lorna M</DisplayName>
        <AccountId>227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7C1B751CAB8A40875C2850EDEA07A7" ma:contentTypeVersion="6" ma:contentTypeDescription="Create a new document." ma:contentTypeScope="" ma:versionID="cd5de93857c2cb4dc10e21dcbddb7d18">
  <xsd:schema xmlns:xsd="http://www.w3.org/2001/XMLSchema" xmlns:xs="http://www.w3.org/2001/XMLSchema" xmlns:p="http://schemas.microsoft.com/office/2006/metadata/properties" xmlns:ns2="03e56f73-6339-42e4-a05d-7b8226729ae9" xmlns:ns3="adb47e03-2210-4480-82b3-221878e0e272" targetNamespace="http://schemas.microsoft.com/office/2006/metadata/properties" ma:root="true" ma:fieldsID="566dbd5d1b821b12ca982d9e3220b287" ns2:_="" ns3:_="">
    <xsd:import namespace="03e56f73-6339-42e4-a05d-7b8226729ae9"/>
    <xsd:import namespace="adb47e03-2210-4480-82b3-221878e0e2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56f73-6339-42e4-a05d-7b8226729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47e03-2210-4480-82b3-221878e0e2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980A-1D77-48EC-B4F4-581EAF5EFC08}">
  <ds:schemaRefs>
    <ds:schemaRef ds:uri="http://schemas.microsoft.com/sharepoint/v3/contenttype/forms"/>
  </ds:schemaRefs>
</ds:datastoreItem>
</file>

<file path=customXml/itemProps2.xml><?xml version="1.0" encoding="utf-8"?>
<ds:datastoreItem xmlns:ds="http://schemas.openxmlformats.org/officeDocument/2006/customXml" ds:itemID="{F6188F42-0D6A-427E-B2F7-BE3437883A36}">
  <ds:schemaRefs>
    <ds:schemaRef ds:uri="http://schemas.microsoft.com/office/2006/metadata/properties"/>
    <ds:schemaRef ds:uri="http://schemas.microsoft.com/office/infopath/2007/PartnerControls"/>
    <ds:schemaRef ds:uri="adb47e03-2210-4480-82b3-221878e0e272"/>
  </ds:schemaRefs>
</ds:datastoreItem>
</file>

<file path=customXml/itemProps3.xml><?xml version="1.0" encoding="utf-8"?>
<ds:datastoreItem xmlns:ds="http://schemas.openxmlformats.org/officeDocument/2006/customXml" ds:itemID="{30CC83F3-C077-4007-ABBE-E934503D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56f73-6339-42e4-a05d-7b8226729ae9"/>
    <ds:schemaRef ds:uri="adb47e03-2210-4480-82b3-221878e0e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EFECF-10EE-45BD-BC51-6021F852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Blair Fleming</cp:lastModifiedBy>
  <cp:revision>22</cp:revision>
  <cp:lastPrinted>2022-08-09T11:50:00Z</cp:lastPrinted>
  <dcterms:created xsi:type="dcterms:W3CDTF">2021-12-15T17:02:00Z</dcterms:created>
  <dcterms:modified xsi:type="dcterms:W3CDTF">2022-08-21T22:16:00Z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0x0101004C7C1B751CAB8A40875C2850EDEA07A7</vt:lpwstr>
  </property>
  <property fmtid="{D5CDD505-2E9C-101B-9397-08002B2CF9AE}" pid="3" name="Order">
    <vt:r8>8600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