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0699F" w14:textId="77777777" w:rsidR="00823F2D" w:rsidRPr="0017357E" w:rsidRDefault="00823F2D" w:rsidP="00AC3617">
      <w:pPr>
        <w:tabs>
          <w:tab w:val="num" w:pos="720"/>
        </w:tabs>
        <w:spacing w:line="259" w:lineRule="auto"/>
        <w:rPr>
          <w:rFonts w:ascii="Calibri" w:hAnsi="Calibri" w:cs="Calibri"/>
          <w:b/>
          <w:bCs/>
          <w:smallCaps/>
          <w:color w:val="000000" w:themeColor="text1"/>
          <w:sz w:val="56"/>
          <w:szCs w:val="56"/>
        </w:rPr>
      </w:pPr>
    </w:p>
    <w:p w14:paraId="08166581" w14:textId="7ABC3803" w:rsidR="00EC7FAF" w:rsidRPr="0017357E" w:rsidRDefault="00EC7FAF" w:rsidP="00016E93">
      <w:pPr>
        <w:tabs>
          <w:tab w:val="num" w:pos="720"/>
        </w:tabs>
        <w:spacing w:line="259" w:lineRule="auto"/>
        <w:ind w:left="720" w:hanging="360"/>
        <w:jc w:val="center"/>
        <w:rPr>
          <w:rFonts w:ascii="Calibri" w:hAnsi="Calibri" w:cs="Calibri"/>
          <w:b/>
          <w:bCs/>
          <w:smallCaps/>
          <w:color w:val="000000" w:themeColor="text1"/>
          <w:sz w:val="72"/>
          <w:szCs w:val="72"/>
        </w:rPr>
      </w:pPr>
      <w:r w:rsidRPr="0017357E">
        <w:rPr>
          <w:rFonts w:ascii="Calibri" w:hAnsi="Calibri" w:cs="Calibri"/>
          <w:b/>
          <w:bCs/>
          <w:smallCaps/>
          <w:color w:val="000000" w:themeColor="text1"/>
          <w:sz w:val="72"/>
          <w:szCs w:val="72"/>
        </w:rPr>
        <w:t>Decolonised Transformations</w:t>
      </w:r>
    </w:p>
    <w:p w14:paraId="00E045FB" w14:textId="77777777" w:rsidR="00EC7FAF" w:rsidRPr="0017357E" w:rsidRDefault="00EC7FAF" w:rsidP="00016E93">
      <w:pPr>
        <w:tabs>
          <w:tab w:val="num" w:pos="720"/>
        </w:tabs>
        <w:spacing w:line="259" w:lineRule="auto"/>
        <w:ind w:left="720" w:hanging="360"/>
        <w:jc w:val="center"/>
        <w:rPr>
          <w:rFonts w:ascii="Calibri" w:hAnsi="Calibri" w:cs="Calibri"/>
          <w:b/>
          <w:bCs/>
          <w:smallCaps/>
          <w:color w:val="000000" w:themeColor="text1"/>
          <w:sz w:val="56"/>
          <w:szCs w:val="56"/>
        </w:rPr>
      </w:pPr>
    </w:p>
    <w:p w14:paraId="12316805" w14:textId="437F2CA3" w:rsidR="00EC7FAF" w:rsidRPr="0017357E" w:rsidRDefault="00EC7FAF" w:rsidP="00016E93">
      <w:pPr>
        <w:tabs>
          <w:tab w:val="num" w:pos="720"/>
        </w:tabs>
        <w:spacing w:line="259" w:lineRule="auto"/>
        <w:ind w:left="720" w:hanging="360"/>
        <w:jc w:val="center"/>
        <w:rPr>
          <w:rFonts w:ascii="Calibri" w:hAnsi="Calibri" w:cs="Calibri"/>
          <w:b/>
          <w:bCs/>
          <w:smallCaps/>
          <w:color w:val="000000" w:themeColor="text1"/>
          <w:sz w:val="56"/>
          <w:szCs w:val="56"/>
        </w:rPr>
      </w:pPr>
      <w:r w:rsidRPr="0017357E">
        <w:rPr>
          <w:rFonts w:ascii="Calibri" w:hAnsi="Calibri" w:cs="Calibri"/>
          <w:b/>
          <w:bCs/>
          <w:smallCaps/>
          <w:color w:val="000000" w:themeColor="text1"/>
          <w:sz w:val="56"/>
          <w:szCs w:val="56"/>
        </w:rPr>
        <w:t xml:space="preserve">Confronting the University of Edinburgh’s History and Legacies of Enslavement and Colonialism </w:t>
      </w:r>
    </w:p>
    <w:p w14:paraId="34AF317E" w14:textId="41DD919D" w:rsidR="00AD49F4" w:rsidRPr="0017357E" w:rsidRDefault="00AD49F4" w:rsidP="00016E93">
      <w:pPr>
        <w:tabs>
          <w:tab w:val="num" w:pos="720"/>
        </w:tabs>
        <w:spacing w:line="259" w:lineRule="auto"/>
        <w:ind w:left="720" w:hanging="360"/>
        <w:jc w:val="center"/>
        <w:rPr>
          <w:rFonts w:ascii="Calibri" w:hAnsi="Calibri" w:cs="Calibri"/>
          <w:b/>
          <w:bCs/>
          <w:smallCaps/>
          <w:color w:val="000000" w:themeColor="text1"/>
          <w:sz w:val="40"/>
          <w:szCs w:val="40"/>
        </w:rPr>
      </w:pPr>
    </w:p>
    <w:p w14:paraId="15F1AF82" w14:textId="77777777" w:rsidR="00634856" w:rsidRPr="0017357E" w:rsidRDefault="00634856" w:rsidP="00016E93">
      <w:pPr>
        <w:tabs>
          <w:tab w:val="num" w:pos="720"/>
        </w:tabs>
        <w:spacing w:line="259" w:lineRule="auto"/>
        <w:ind w:left="720" w:hanging="360"/>
        <w:jc w:val="center"/>
        <w:rPr>
          <w:rFonts w:ascii="Calibri" w:hAnsi="Calibri" w:cs="Calibri"/>
          <w:b/>
          <w:bCs/>
          <w:color w:val="000000" w:themeColor="text1"/>
          <w:sz w:val="28"/>
          <w:szCs w:val="28"/>
          <w:u w:val="single"/>
        </w:rPr>
      </w:pPr>
    </w:p>
    <w:p w14:paraId="56978268" w14:textId="4A0BFACB" w:rsidR="00823F2D" w:rsidRPr="0017357E" w:rsidRDefault="00E60968" w:rsidP="00016E93">
      <w:pPr>
        <w:tabs>
          <w:tab w:val="num" w:pos="720"/>
        </w:tabs>
        <w:spacing w:line="259" w:lineRule="auto"/>
        <w:ind w:left="720" w:hanging="360"/>
        <w:jc w:val="center"/>
        <w:rPr>
          <w:rFonts w:ascii="Calibri" w:hAnsi="Calibri" w:cs="Calibri"/>
          <w:b/>
          <w:bCs/>
          <w:color w:val="000000" w:themeColor="text1"/>
          <w:sz w:val="36"/>
          <w:szCs w:val="36"/>
          <w:u w:val="single"/>
        </w:rPr>
      </w:pPr>
      <w:r>
        <w:rPr>
          <w:rFonts w:ascii="Calibri" w:hAnsi="Calibri" w:cs="Calibri"/>
          <w:b/>
          <w:bCs/>
          <w:color w:val="000000" w:themeColor="text1"/>
          <w:sz w:val="36"/>
          <w:szCs w:val="36"/>
          <w:u w:val="single"/>
        </w:rPr>
        <w:t xml:space="preserve">June </w:t>
      </w:r>
      <w:r w:rsidR="00A510E3">
        <w:rPr>
          <w:rFonts w:ascii="Calibri" w:hAnsi="Calibri" w:cs="Calibri"/>
          <w:b/>
          <w:bCs/>
          <w:color w:val="000000" w:themeColor="text1"/>
          <w:sz w:val="36"/>
          <w:szCs w:val="36"/>
          <w:u w:val="single"/>
        </w:rPr>
        <w:t>2025</w:t>
      </w:r>
    </w:p>
    <w:p w14:paraId="76E431E0" w14:textId="77777777" w:rsidR="00823F2D" w:rsidRPr="0017357E" w:rsidRDefault="00823F2D" w:rsidP="00016E93">
      <w:pPr>
        <w:tabs>
          <w:tab w:val="num" w:pos="720"/>
        </w:tabs>
        <w:spacing w:line="259" w:lineRule="auto"/>
        <w:ind w:left="720" w:hanging="360"/>
        <w:jc w:val="center"/>
        <w:rPr>
          <w:rFonts w:ascii="Calibri" w:hAnsi="Calibri" w:cs="Calibri"/>
          <w:b/>
          <w:bCs/>
          <w:color w:val="000000" w:themeColor="text1"/>
          <w:sz w:val="36"/>
          <w:szCs w:val="36"/>
          <w:u w:val="single"/>
        </w:rPr>
      </w:pPr>
    </w:p>
    <w:p w14:paraId="17793F45" w14:textId="77777777" w:rsidR="00B30E0F" w:rsidRDefault="00EC7FAF" w:rsidP="00EC7FAF">
      <w:pPr>
        <w:tabs>
          <w:tab w:val="num" w:pos="720"/>
        </w:tabs>
        <w:spacing w:line="259" w:lineRule="auto"/>
        <w:jc w:val="center"/>
        <w:rPr>
          <w:rFonts w:cstheme="minorHAnsi"/>
          <w:color w:val="000000" w:themeColor="text1"/>
          <w:sz w:val="26"/>
          <w:szCs w:val="26"/>
        </w:rPr>
      </w:pPr>
      <w:r w:rsidRPr="0017357E">
        <w:rPr>
          <w:rFonts w:cstheme="minorHAnsi"/>
          <w:color w:val="000000" w:themeColor="text1"/>
          <w:sz w:val="26"/>
          <w:szCs w:val="26"/>
        </w:rPr>
        <w:t xml:space="preserve">Written by the Research and Engagement Working Group (REWG) </w:t>
      </w:r>
    </w:p>
    <w:p w14:paraId="61BDE086" w14:textId="0C3990EB" w:rsidR="00EC7FAF" w:rsidRPr="0017357E" w:rsidRDefault="00EC7FAF" w:rsidP="00EC7FAF">
      <w:pPr>
        <w:tabs>
          <w:tab w:val="num" w:pos="720"/>
        </w:tabs>
        <w:spacing w:line="259" w:lineRule="auto"/>
        <w:jc w:val="center"/>
        <w:rPr>
          <w:rFonts w:cstheme="minorHAnsi"/>
          <w:color w:val="000000" w:themeColor="text1"/>
          <w:sz w:val="26"/>
          <w:szCs w:val="26"/>
        </w:rPr>
      </w:pPr>
      <w:r w:rsidRPr="0017357E">
        <w:rPr>
          <w:rFonts w:cstheme="minorHAnsi"/>
          <w:color w:val="000000" w:themeColor="text1"/>
          <w:sz w:val="26"/>
          <w:szCs w:val="26"/>
        </w:rPr>
        <w:t>as part of the Race Review</w:t>
      </w:r>
    </w:p>
    <w:p w14:paraId="659B1917" w14:textId="77777777" w:rsidR="00EC7FAF" w:rsidRPr="0017357E" w:rsidRDefault="00EC7FAF" w:rsidP="00EC7FAF">
      <w:pPr>
        <w:tabs>
          <w:tab w:val="num" w:pos="720"/>
        </w:tabs>
        <w:spacing w:line="259" w:lineRule="auto"/>
        <w:jc w:val="center"/>
        <w:rPr>
          <w:rFonts w:cstheme="minorHAnsi"/>
          <w:color w:val="000000" w:themeColor="text1"/>
          <w:sz w:val="26"/>
          <w:szCs w:val="26"/>
        </w:rPr>
      </w:pPr>
    </w:p>
    <w:p w14:paraId="0BC13ABB" w14:textId="77777777" w:rsidR="00B30E0F" w:rsidRDefault="00EC7FAF" w:rsidP="00B639B2">
      <w:pPr>
        <w:tabs>
          <w:tab w:val="num" w:pos="720"/>
        </w:tabs>
        <w:spacing w:line="259" w:lineRule="auto"/>
        <w:jc w:val="center"/>
        <w:rPr>
          <w:rFonts w:cstheme="minorHAnsi"/>
          <w:color w:val="000000" w:themeColor="text1"/>
          <w:sz w:val="26"/>
          <w:szCs w:val="26"/>
        </w:rPr>
      </w:pPr>
      <w:r w:rsidRPr="0017357E">
        <w:rPr>
          <w:rFonts w:cstheme="minorHAnsi"/>
          <w:color w:val="000000" w:themeColor="text1"/>
          <w:sz w:val="26"/>
          <w:szCs w:val="26"/>
        </w:rPr>
        <w:t>Co-Chairs</w:t>
      </w:r>
      <w:r w:rsidR="00B30E0F">
        <w:rPr>
          <w:rFonts w:cstheme="minorHAnsi"/>
          <w:color w:val="000000" w:themeColor="text1"/>
          <w:sz w:val="26"/>
          <w:szCs w:val="26"/>
        </w:rPr>
        <w:t>:</w:t>
      </w:r>
      <w:r w:rsidRPr="0017357E">
        <w:rPr>
          <w:rFonts w:cstheme="minorHAnsi"/>
          <w:color w:val="000000" w:themeColor="text1"/>
          <w:sz w:val="26"/>
          <w:szCs w:val="26"/>
        </w:rPr>
        <w:t xml:space="preserve"> </w:t>
      </w:r>
      <w:r w:rsidR="00AD49F4" w:rsidRPr="0017357E">
        <w:rPr>
          <w:rFonts w:cstheme="minorHAnsi"/>
          <w:color w:val="000000" w:themeColor="text1"/>
          <w:sz w:val="26"/>
          <w:szCs w:val="26"/>
        </w:rPr>
        <w:t>Tommy Curry and Nicola Frith</w:t>
      </w:r>
      <w:r w:rsidRPr="0017357E">
        <w:rPr>
          <w:rFonts w:cstheme="minorHAnsi"/>
          <w:color w:val="000000" w:themeColor="text1"/>
          <w:sz w:val="26"/>
          <w:szCs w:val="26"/>
        </w:rPr>
        <w:t xml:space="preserve"> </w:t>
      </w:r>
    </w:p>
    <w:p w14:paraId="2B63004A" w14:textId="6AC3C2FF" w:rsidR="00EC7FAF" w:rsidRDefault="00E64771" w:rsidP="00EC7FAF">
      <w:pPr>
        <w:tabs>
          <w:tab w:val="num" w:pos="720"/>
        </w:tabs>
        <w:spacing w:line="259" w:lineRule="auto"/>
        <w:jc w:val="center"/>
        <w:rPr>
          <w:color w:val="000000" w:themeColor="text1"/>
          <w:sz w:val="26"/>
          <w:szCs w:val="26"/>
        </w:rPr>
      </w:pPr>
      <w:r w:rsidRPr="0017357E">
        <w:rPr>
          <w:rFonts w:cstheme="minorHAnsi"/>
          <w:color w:val="000000" w:themeColor="text1"/>
          <w:sz w:val="26"/>
          <w:szCs w:val="26"/>
        </w:rPr>
        <w:t>REWG members</w:t>
      </w:r>
      <w:r w:rsidR="00EC7FAF" w:rsidRPr="0017357E">
        <w:rPr>
          <w:rFonts w:cstheme="minorHAnsi"/>
          <w:color w:val="000000" w:themeColor="text1"/>
          <w:sz w:val="26"/>
          <w:szCs w:val="26"/>
        </w:rPr>
        <w:t xml:space="preserve">: </w:t>
      </w:r>
      <w:r w:rsidR="00955D3B" w:rsidRPr="35C04BBD">
        <w:rPr>
          <w:color w:val="000000" w:themeColor="text1"/>
          <w:sz w:val="26"/>
          <w:szCs w:val="26"/>
        </w:rPr>
        <w:t>Kobina Amokwando</w:t>
      </w:r>
      <w:r w:rsidR="00AA55A9" w:rsidRPr="35C04BBD">
        <w:rPr>
          <w:color w:val="000000" w:themeColor="text1"/>
          <w:sz w:val="26"/>
          <w:szCs w:val="26"/>
        </w:rPr>
        <w:t>h</w:t>
      </w:r>
      <w:r w:rsidR="00955D3B" w:rsidRPr="35C04BBD">
        <w:rPr>
          <w:color w:val="000000" w:themeColor="text1"/>
          <w:sz w:val="26"/>
          <w:szCs w:val="26"/>
        </w:rPr>
        <w:t xml:space="preserve">, Ebo Anyebe, </w:t>
      </w:r>
      <w:r w:rsidRPr="35C04BBD">
        <w:rPr>
          <w:color w:val="000000" w:themeColor="text1"/>
          <w:sz w:val="26"/>
          <w:szCs w:val="26"/>
        </w:rPr>
        <w:t xml:space="preserve">Obasanjo </w:t>
      </w:r>
      <w:r w:rsidR="3912AC35" w:rsidRPr="35C04BBD">
        <w:rPr>
          <w:color w:val="000000" w:themeColor="text1"/>
          <w:sz w:val="26"/>
          <w:szCs w:val="26"/>
        </w:rPr>
        <w:t>Bolarinwa</w:t>
      </w:r>
      <w:r w:rsidRPr="35C04BBD">
        <w:rPr>
          <w:color w:val="000000" w:themeColor="text1"/>
          <w:sz w:val="26"/>
          <w:szCs w:val="26"/>
        </w:rPr>
        <w:t>, Simon Buck,</w:t>
      </w:r>
      <w:r w:rsidR="00955D3B" w:rsidRPr="35C04BBD">
        <w:rPr>
          <w:color w:val="000000" w:themeColor="text1"/>
          <w:sz w:val="26"/>
          <w:szCs w:val="26"/>
        </w:rPr>
        <w:t xml:space="preserve"> Silence Chihuri, Kevin Donovan, Zaki El-Salahi, Omolabake Fakunle,</w:t>
      </w:r>
      <w:r w:rsidRPr="35C04BBD">
        <w:rPr>
          <w:color w:val="000000" w:themeColor="text1"/>
          <w:sz w:val="26"/>
          <w:szCs w:val="26"/>
        </w:rPr>
        <w:t xml:space="preserve"> </w:t>
      </w:r>
      <w:r w:rsidR="00955D3B" w:rsidRPr="35C04BBD">
        <w:rPr>
          <w:color w:val="000000" w:themeColor="text1"/>
          <w:sz w:val="26"/>
          <w:szCs w:val="26"/>
        </w:rPr>
        <w:t xml:space="preserve">Daryl Green, Roger Jeffery, Nini Kerr, </w:t>
      </w:r>
      <w:r w:rsidRPr="35C04BBD">
        <w:rPr>
          <w:color w:val="000000" w:themeColor="text1"/>
          <w:sz w:val="26"/>
          <w:szCs w:val="26"/>
        </w:rPr>
        <w:t xml:space="preserve">Samantha Likonde, </w:t>
      </w:r>
      <w:r w:rsidR="00AA55A9" w:rsidRPr="35C04BBD">
        <w:rPr>
          <w:color w:val="000000" w:themeColor="text1"/>
          <w:sz w:val="26"/>
          <w:szCs w:val="26"/>
        </w:rPr>
        <w:t xml:space="preserve">Nasar Meer, </w:t>
      </w:r>
      <w:r w:rsidR="00955D3B" w:rsidRPr="35C04BBD">
        <w:rPr>
          <w:color w:val="000000" w:themeColor="text1"/>
          <w:sz w:val="26"/>
          <w:szCs w:val="26"/>
        </w:rPr>
        <w:t xml:space="preserve">Thabani Mutambasere, Abigail Ocansey, Diana Paton, </w:t>
      </w:r>
      <w:r w:rsidR="00F42799" w:rsidRPr="35C04BBD">
        <w:rPr>
          <w:color w:val="000000" w:themeColor="text1"/>
          <w:sz w:val="26"/>
          <w:szCs w:val="26"/>
        </w:rPr>
        <w:t xml:space="preserve">Nicola Perugini, </w:t>
      </w:r>
      <w:r w:rsidR="00955D3B" w:rsidRPr="35C04BBD">
        <w:rPr>
          <w:color w:val="000000" w:themeColor="text1"/>
          <w:sz w:val="26"/>
          <w:szCs w:val="26"/>
        </w:rPr>
        <w:t xml:space="preserve">Esther Stanford-Xosei, </w:t>
      </w:r>
      <w:r w:rsidRPr="35C04BBD">
        <w:rPr>
          <w:color w:val="000000" w:themeColor="text1"/>
          <w:sz w:val="26"/>
          <w:szCs w:val="26"/>
        </w:rPr>
        <w:t>Ian Stewart</w:t>
      </w:r>
      <w:r w:rsidR="00F42799" w:rsidRPr="35C04BBD">
        <w:rPr>
          <w:color w:val="000000" w:themeColor="text1"/>
          <w:sz w:val="26"/>
          <w:szCs w:val="26"/>
        </w:rPr>
        <w:t xml:space="preserve">, </w:t>
      </w:r>
      <w:r w:rsidR="00B30E0F">
        <w:rPr>
          <w:color w:val="000000" w:themeColor="text1"/>
          <w:sz w:val="26"/>
          <w:szCs w:val="26"/>
        </w:rPr>
        <w:t>Shaira Vadasaria and Yarong Xie.</w:t>
      </w:r>
    </w:p>
    <w:p w14:paraId="731C9B42" w14:textId="77777777" w:rsidR="00B30E0F" w:rsidRPr="0017357E" w:rsidRDefault="00B30E0F" w:rsidP="00EC7FAF">
      <w:pPr>
        <w:tabs>
          <w:tab w:val="num" w:pos="720"/>
        </w:tabs>
        <w:spacing w:line="259" w:lineRule="auto"/>
        <w:jc w:val="center"/>
        <w:rPr>
          <w:rFonts w:cstheme="minorHAnsi"/>
          <w:color w:val="000000" w:themeColor="text1"/>
          <w:sz w:val="26"/>
          <w:szCs w:val="26"/>
        </w:rPr>
      </w:pPr>
    </w:p>
    <w:p w14:paraId="3A8E7CCE" w14:textId="1EC70260" w:rsidR="00E64771" w:rsidRPr="00C15986" w:rsidRDefault="00E64771" w:rsidP="00EC7FAF">
      <w:pPr>
        <w:tabs>
          <w:tab w:val="num" w:pos="720"/>
        </w:tabs>
        <w:spacing w:line="259" w:lineRule="auto"/>
        <w:jc w:val="center"/>
        <w:rPr>
          <w:rFonts w:ascii="Calibri" w:hAnsi="Calibri" w:cs="Calibri"/>
          <w:color w:val="000000" w:themeColor="text1"/>
          <w:sz w:val="26"/>
          <w:szCs w:val="26"/>
        </w:rPr>
      </w:pPr>
      <w:r w:rsidRPr="0017357E">
        <w:rPr>
          <w:rFonts w:ascii="Calibri" w:hAnsi="Calibri" w:cs="Calibri"/>
          <w:color w:val="000000" w:themeColor="text1"/>
          <w:sz w:val="26"/>
          <w:szCs w:val="26"/>
        </w:rPr>
        <w:t>Read and approved by</w:t>
      </w:r>
      <w:r w:rsidR="00EC7FAF" w:rsidRPr="0017357E">
        <w:rPr>
          <w:rFonts w:ascii="Calibri" w:hAnsi="Calibri" w:cs="Calibri"/>
          <w:color w:val="000000" w:themeColor="text1"/>
          <w:sz w:val="26"/>
          <w:szCs w:val="26"/>
        </w:rPr>
        <w:t xml:space="preserve">: </w:t>
      </w:r>
      <w:r w:rsidR="002753C0">
        <w:rPr>
          <w:rFonts w:ascii="Calibri" w:hAnsi="Calibri" w:cs="Calibri"/>
          <w:color w:val="000000" w:themeColor="text1"/>
          <w:sz w:val="26"/>
          <w:szCs w:val="26"/>
        </w:rPr>
        <w:t xml:space="preserve">the </w:t>
      </w:r>
      <w:r w:rsidR="00391D76" w:rsidRPr="002753C0">
        <w:rPr>
          <w:rFonts w:ascii="Calibri" w:hAnsi="Calibri" w:cs="Calibri"/>
          <w:color w:val="000000" w:themeColor="text1"/>
          <w:sz w:val="26"/>
          <w:szCs w:val="26"/>
        </w:rPr>
        <w:t>REWG</w:t>
      </w:r>
      <w:r w:rsidR="0086182F" w:rsidRPr="002753C0">
        <w:rPr>
          <w:rFonts w:ascii="Calibri" w:hAnsi="Calibri" w:cs="Calibri"/>
          <w:color w:val="000000" w:themeColor="text1"/>
          <w:sz w:val="26"/>
          <w:szCs w:val="26"/>
        </w:rPr>
        <w:t xml:space="preserve">, the </w:t>
      </w:r>
      <w:r w:rsidR="00391D76" w:rsidRPr="002753C0">
        <w:rPr>
          <w:rFonts w:ascii="Calibri" w:hAnsi="Calibri" w:cs="Calibri"/>
          <w:color w:val="000000" w:themeColor="text1"/>
          <w:sz w:val="26"/>
          <w:szCs w:val="26"/>
        </w:rPr>
        <w:t xml:space="preserve">Equality, Diversity and Inclusion Committee (EDIC) </w:t>
      </w:r>
      <w:r w:rsidR="0086182F" w:rsidRPr="002753C0">
        <w:rPr>
          <w:rFonts w:ascii="Calibri" w:hAnsi="Calibri" w:cs="Calibri"/>
          <w:color w:val="000000" w:themeColor="text1"/>
          <w:sz w:val="26"/>
          <w:szCs w:val="26"/>
        </w:rPr>
        <w:t xml:space="preserve">and the </w:t>
      </w:r>
      <w:r w:rsidR="00391D76" w:rsidRPr="002753C0">
        <w:rPr>
          <w:rFonts w:ascii="Calibri" w:hAnsi="Calibri" w:cs="Calibri"/>
          <w:color w:val="000000" w:themeColor="text1"/>
          <w:sz w:val="26"/>
          <w:szCs w:val="26"/>
        </w:rPr>
        <w:t xml:space="preserve">Race Equality and Anti-Racist </w:t>
      </w:r>
      <w:r w:rsidR="00C705F6" w:rsidRPr="002753C0">
        <w:rPr>
          <w:rFonts w:ascii="Calibri" w:hAnsi="Calibri" w:cs="Calibri"/>
          <w:color w:val="000000" w:themeColor="text1"/>
          <w:sz w:val="26"/>
          <w:szCs w:val="26"/>
        </w:rPr>
        <w:t>Sub-Committee</w:t>
      </w:r>
      <w:r w:rsidR="00391D76" w:rsidRPr="002753C0">
        <w:rPr>
          <w:rFonts w:ascii="Calibri" w:hAnsi="Calibri" w:cs="Calibri"/>
          <w:color w:val="000000" w:themeColor="text1"/>
          <w:sz w:val="26"/>
          <w:szCs w:val="26"/>
        </w:rPr>
        <w:t xml:space="preserve"> (REAR)</w:t>
      </w:r>
      <w:r w:rsidR="0086182F" w:rsidRPr="002753C0">
        <w:rPr>
          <w:rFonts w:ascii="Calibri" w:hAnsi="Calibri" w:cs="Calibri"/>
          <w:color w:val="000000" w:themeColor="text1"/>
          <w:sz w:val="26"/>
          <w:szCs w:val="26"/>
        </w:rPr>
        <w:t xml:space="preserve"> </w:t>
      </w:r>
      <w:r w:rsidR="005C248B" w:rsidRPr="002753C0">
        <w:rPr>
          <w:rFonts w:ascii="Calibri" w:hAnsi="Calibri" w:cs="Calibri"/>
          <w:color w:val="000000" w:themeColor="text1"/>
          <w:sz w:val="26"/>
          <w:szCs w:val="26"/>
        </w:rPr>
        <w:t>in</w:t>
      </w:r>
      <w:r w:rsidR="008A02B6" w:rsidRPr="002753C0">
        <w:rPr>
          <w:rFonts w:ascii="Calibri" w:hAnsi="Calibri" w:cs="Calibri"/>
          <w:color w:val="000000" w:themeColor="text1"/>
          <w:sz w:val="26"/>
          <w:szCs w:val="26"/>
        </w:rPr>
        <w:t xml:space="preserve"> </w:t>
      </w:r>
      <w:r w:rsidR="0086182F" w:rsidRPr="002753C0">
        <w:rPr>
          <w:rFonts w:ascii="Calibri" w:hAnsi="Calibri" w:cs="Calibri"/>
          <w:color w:val="000000" w:themeColor="text1"/>
          <w:sz w:val="26"/>
          <w:szCs w:val="26"/>
        </w:rPr>
        <w:t>consultation with the Steering Group.</w:t>
      </w:r>
    </w:p>
    <w:p w14:paraId="423958CE" w14:textId="3E47E0B2" w:rsidR="00AC3617" w:rsidRDefault="00AC3617" w:rsidP="00016E93">
      <w:pPr>
        <w:spacing w:line="259" w:lineRule="auto"/>
        <w:rPr>
          <w:rFonts w:ascii="Calibri" w:hAnsi="Calibri" w:cs="Calibri"/>
          <w:color w:val="000000" w:themeColor="text1"/>
        </w:rPr>
      </w:pPr>
    </w:p>
    <w:p w14:paraId="6683D857" w14:textId="6B0F6CFA" w:rsidR="00EE201F" w:rsidRDefault="00EE201F" w:rsidP="00016E93">
      <w:pPr>
        <w:spacing w:line="259" w:lineRule="auto"/>
        <w:rPr>
          <w:rFonts w:ascii="Calibri" w:hAnsi="Calibri" w:cs="Calibri"/>
          <w:color w:val="000000" w:themeColor="text1"/>
        </w:rPr>
      </w:pPr>
    </w:p>
    <w:p w14:paraId="49D497D3" w14:textId="6F4F6835" w:rsidR="00EE201F" w:rsidRDefault="00EE201F" w:rsidP="00016E93">
      <w:pPr>
        <w:spacing w:line="259" w:lineRule="auto"/>
        <w:rPr>
          <w:rFonts w:ascii="Calibri" w:hAnsi="Calibri" w:cs="Calibri"/>
          <w:color w:val="000000" w:themeColor="text1"/>
        </w:rPr>
      </w:pPr>
    </w:p>
    <w:p w14:paraId="545DA9CC" w14:textId="2847CA5B" w:rsidR="00DA1C50" w:rsidRDefault="00DA1C50" w:rsidP="00016E93">
      <w:pPr>
        <w:spacing w:line="259" w:lineRule="auto"/>
        <w:rPr>
          <w:rFonts w:ascii="Calibri" w:hAnsi="Calibri" w:cs="Calibri"/>
          <w:color w:val="000000" w:themeColor="text1"/>
        </w:rPr>
      </w:pPr>
    </w:p>
    <w:p w14:paraId="652AD754" w14:textId="37939C4A" w:rsidR="00DA1C50" w:rsidRDefault="00DA1C50" w:rsidP="00016E93">
      <w:pPr>
        <w:spacing w:line="259" w:lineRule="auto"/>
        <w:rPr>
          <w:rFonts w:ascii="Calibri" w:hAnsi="Calibri" w:cs="Calibri"/>
          <w:color w:val="000000" w:themeColor="text1"/>
        </w:rPr>
      </w:pPr>
    </w:p>
    <w:p w14:paraId="34DF9681" w14:textId="009DA19E" w:rsidR="00DA1C50" w:rsidRDefault="00DA1C50" w:rsidP="00016E93">
      <w:pPr>
        <w:spacing w:line="259" w:lineRule="auto"/>
        <w:rPr>
          <w:rFonts w:ascii="Calibri" w:hAnsi="Calibri" w:cs="Calibri"/>
          <w:color w:val="000000" w:themeColor="text1"/>
        </w:rPr>
      </w:pPr>
    </w:p>
    <w:p w14:paraId="3A4DDA34" w14:textId="57B8D262" w:rsidR="00DA1C50" w:rsidRDefault="00DA1C50" w:rsidP="00016E93">
      <w:pPr>
        <w:spacing w:line="259" w:lineRule="auto"/>
        <w:rPr>
          <w:rFonts w:ascii="Calibri" w:hAnsi="Calibri" w:cs="Calibri"/>
          <w:color w:val="000000" w:themeColor="text1"/>
        </w:rPr>
      </w:pPr>
    </w:p>
    <w:p w14:paraId="686BE891" w14:textId="0EC60342" w:rsidR="00DA1C50" w:rsidRDefault="00DA1C50" w:rsidP="00016E93">
      <w:pPr>
        <w:spacing w:line="259" w:lineRule="auto"/>
        <w:rPr>
          <w:rFonts w:ascii="Calibri" w:hAnsi="Calibri" w:cs="Calibri"/>
          <w:color w:val="000000" w:themeColor="text1"/>
        </w:rPr>
      </w:pPr>
    </w:p>
    <w:p w14:paraId="5D77A2C3" w14:textId="77777777" w:rsidR="00DA1C50" w:rsidRDefault="00DA1C50" w:rsidP="00016E93">
      <w:pPr>
        <w:spacing w:line="259" w:lineRule="auto"/>
        <w:rPr>
          <w:rFonts w:ascii="Calibri" w:hAnsi="Calibri" w:cs="Calibri"/>
          <w:color w:val="000000" w:themeColor="text1"/>
        </w:rPr>
      </w:pPr>
    </w:p>
    <w:p w14:paraId="67D6C061" w14:textId="77777777" w:rsidR="00DA1C50" w:rsidRDefault="00DA1C50" w:rsidP="00DA1C50">
      <w:pPr>
        <w:autoSpaceDE w:val="0"/>
        <w:autoSpaceDN w:val="0"/>
        <w:adjustRightInd w:val="0"/>
        <w:jc w:val="center"/>
        <w:rPr>
          <w:rFonts w:ascii="SourceSansPro-Italic" w:hAnsi="SourceSansPro-Italic" w:cs="SourceSansPro-Italic"/>
          <w:i/>
          <w:iCs/>
          <w:kern w:val="0"/>
          <w:sz w:val="40"/>
          <w:szCs w:val="40"/>
        </w:rPr>
      </w:pPr>
      <w:r>
        <w:rPr>
          <w:rFonts w:ascii="SourceSansPro-Italic" w:hAnsi="SourceSansPro-Italic" w:cs="SourceSansPro-Italic"/>
          <w:i/>
          <w:iCs/>
          <w:kern w:val="0"/>
          <w:sz w:val="40"/>
          <w:szCs w:val="40"/>
        </w:rPr>
        <w:lastRenderedPageBreak/>
        <w:t>In memory of</w:t>
      </w:r>
    </w:p>
    <w:p w14:paraId="349F2D45" w14:textId="77777777" w:rsidR="00DA1C50" w:rsidRDefault="00DA1C50" w:rsidP="00DA1C50">
      <w:pPr>
        <w:autoSpaceDE w:val="0"/>
        <w:autoSpaceDN w:val="0"/>
        <w:adjustRightInd w:val="0"/>
        <w:jc w:val="center"/>
        <w:rPr>
          <w:rFonts w:ascii="SourceSansPro-SemiBold" w:hAnsi="SourceSansPro-SemiBold" w:cs="SourceSansPro-SemiBold"/>
          <w:b/>
          <w:bCs/>
          <w:kern w:val="0"/>
          <w:sz w:val="44"/>
          <w:szCs w:val="44"/>
        </w:rPr>
      </w:pPr>
      <w:r>
        <w:rPr>
          <w:rFonts w:ascii="SourceSansPro-SemiBold" w:hAnsi="SourceSansPro-SemiBold" w:cs="SourceSansPro-SemiBold"/>
          <w:b/>
          <w:bCs/>
          <w:kern w:val="0"/>
          <w:sz w:val="44"/>
          <w:szCs w:val="44"/>
        </w:rPr>
        <w:t>Professor Sir Geoff Palmer</w:t>
      </w:r>
    </w:p>
    <w:p w14:paraId="3DA1916E" w14:textId="51ABFDFD" w:rsidR="00DA1C50" w:rsidRDefault="00DA1C50" w:rsidP="00DA1C50">
      <w:pPr>
        <w:spacing w:line="259" w:lineRule="auto"/>
        <w:jc w:val="center"/>
        <w:rPr>
          <w:rFonts w:ascii="SourceSansPro-Regular" w:hAnsi="SourceSansPro-Regular" w:cs="SourceSansPro-Regular"/>
          <w:kern w:val="0"/>
          <w:sz w:val="36"/>
          <w:szCs w:val="36"/>
        </w:rPr>
      </w:pPr>
      <w:r>
        <w:rPr>
          <w:rFonts w:ascii="SourceSansPro-Regular" w:hAnsi="SourceSansPro-Regular" w:cs="SourceSansPro-Regular"/>
          <w:kern w:val="0"/>
          <w:sz w:val="36"/>
          <w:szCs w:val="36"/>
        </w:rPr>
        <w:t>9 April 1940 – 12 June 2025</w:t>
      </w:r>
    </w:p>
    <w:p w14:paraId="4E3BA302" w14:textId="60E9643C" w:rsidR="00DA1C50" w:rsidRDefault="00DA1C50" w:rsidP="00DA1C50">
      <w:pPr>
        <w:spacing w:line="259" w:lineRule="auto"/>
        <w:jc w:val="center"/>
        <w:rPr>
          <w:rFonts w:ascii="SourceSansPro-Regular" w:hAnsi="SourceSansPro-Regular" w:cs="SourceSansPro-Regular"/>
          <w:kern w:val="0"/>
          <w:sz w:val="36"/>
          <w:szCs w:val="36"/>
        </w:rPr>
      </w:pPr>
    </w:p>
    <w:p w14:paraId="74B729D6" w14:textId="31CCE0FE" w:rsidR="00DA1C50" w:rsidRDefault="00DA1C50" w:rsidP="00DA1C50">
      <w:pPr>
        <w:spacing w:line="259" w:lineRule="auto"/>
        <w:jc w:val="center"/>
        <w:rPr>
          <w:rFonts w:ascii="SourceSansPro-Regular" w:hAnsi="SourceSansPro-Regular" w:cs="SourceSansPro-Regular"/>
          <w:kern w:val="0"/>
          <w:sz w:val="36"/>
          <w:szCs w:val="36"/>
        </w:rPr>
      </w:pPr>
    </w:p>
    <w:p w14:paraId="1BE039A1" w14:textId="040FA8AA" w:rsidR="00DA1C50" w:rsidRDefault="00DA1C50" w:rsidP="00DA1C50">
      <w:pPr>
        <w:spacing w:line="259" w:lineRule="auto"/>
        <w:jc w:val="center"/>
        <w:rPr>
          <w:rFonts w:ascii="SourceSansPro-Regular" w:hAnsi="SourceSansPro-Regular" w:cs="SourceSansPro-Regular"/>
          <w:kern w:val="0"/>
          <w:sz w:val="36"/>
          <w:szCs w:val="36"/>
        </w:rPr>
      </w:pPr>
    </w:p>
    <w:p w14:paraId="67C626B2" w14:textId="37C7698F" w:rsidR="00DA1C50" w:rsidRDefault="00DA1C50" w:rsidP="00DA1C50">
      <w:pPr>
        <w:spacing w:line="259" w:lineRule="auto"/>
        <w:jc w:val="center"/>
        <w:rPr>
          <w:rFonts w:ascii="SourceSansPro-Regular" w:hAnsi="SourceSansPro-Regular" w:cs="SourceSansPro-Regular"/>
          <w:kern w:val="0"/>
          <w:sz w:val="36"/>
          <w:szCs w:val="36"/>
        </w:rPr>
      </w:pPr>
    </w:p>
    <w:p w14:paraId="78296631" w14:textId="67425E6F" w:rsidR="00DA1C50" w:rsidRDefault="00DA1C50" w:rsidP="00DA1C50">
      <w:pPr>
        <w:spacing w:line="259" w:lineRule="auto"/>
        <w:jc w:val="center"/>
        <w:rPr>
          <w:rFonts w:ascii="SourceSansPro-Regular" w:hAnsi="SourceSansPro-Regular" w:cs="SourceSansPro-Regular"/>
          <w:kern w:val="0"/>
          <w:sz w:val="36"/>
          <w:szCs w:val="36"/>
        </w:rPr>
      </w:pPr>
    </w:p>
    <w:p w14:paraId="782DB33E" w14:textId="0C425972" w:rsidR="00DA1C50" w:rsidRDefault="00DA1C50" w:rsidP="00DA1C50">
      <w:pPr>
        <w:spacing w:line="259" w:lineRule="auto"/>
        <w:jc w:val="center"/>
        <w:rPr>
          <w:rFonts w:ascii="SourceSansPro-Regular" w:hAnsi="SourceSansPro-Regular" w:cs="SourceSansPro-Regular"/>
          <w:kern w:val="0"/>
          <w:sz w:val="36"/>
          <w:szCs w:val="36"/>
        </w:rPr>
      </w:pPr>
    </w:p>
    <w:p w14:paraId="686E3112" w14:textId="665D6464" w:rsidR="00DA1C50" w:rsidRDefault="00DA1C50" w:rsidP="00DA1C50">
      <w:pPr>
        <w:spacing w:line="259" w:lineRule="auto"/>
        <w:jc w:val="center"/>
        <w:rPr>
          <w:rFonts w:ascii="SourceSansPro-Regular" w:hAnsi="SourceSansPro-Regular" w:cs="SourceSansPro-Regular"/>
          <w:kern w:val="0"/>
          <w:sz w:val="36"/>
          <w:szCs w:val="36"/>
        </w:rPr>
      </w:pPr>
    </w:p>
    <w:p w14:paraId="27E13CE7" w14:textId="06EA24F7" w:rsidR="00DA1C50" w:rsidRDefault="00DA1C50" w:rsidP="00DA1C50">
      <w:pPr>
        <w:spacing w:line="259" w:lineRule="auto"/>
        <w:jc w:val="center"/>
        <w:rPr>
          <w:rFonts w:ascii="SourceSansPro-Regular" w:hAnsi="SourceSansPro-Regular" w:cs="SourceSansPro-Regular"/>
          <w:kern w:val="0"/>
          <w:sz w:val="36"/>
          <w:szCs w:val="36"/>
        </w:rPr>
      </w:pPr>
    </w:p>
    <w:p w14:paraId="5F98D04D" w14:textId="047BF923" w:rsidR="00DA1C50" w:rsidRDefault="00DA1C50" w:rsidP="00DA1C50">
      <w:pPr>
        <w:spacing w:line="259" w:lineRule="auto"/>
        <w:jc w:val="center"/>
        <w:rPr>
          <w:rFonts w:ascii="SourceSansPro-Regular" w:hAnsi="SourceSansPro-Regular" w:cs="SourceSansPro-Regular"/>
          <w:kern w:val="0"/>
          <w:sz w:val="36"/>
          <w:szCs w:val="36"/>
        </w:rPr>
      </w:pPr>
    </w:p>
    <w:p w14:paraId="23115B0E" w14:textId="6BDEE96C" w:rsidR="00DA1C50" w:rsidRDefault="00DA1C50" w:rsidP="00DA1C50">
      <w:pPr>
        <w:spacing w:line="259" w:lineRule="auto"/>
        <w:jc w:val="center"/>
        <w:rPr>
          <w:rFonts w:ascii="SourceSansPro-Regular" w:hAnsi="SourceSansPro-Regular" w:cs="SourceSansPro-Regular"/>
          <w:kern w:val="0"/>
          <w:sz w:val="36"/>
          <w:szCs w:val="36"/>
        </w:rPr>
      </w:pPr>
    </w:p>
    <w:p w14:paraId="61ADBD0F" w14:textId="613AC6C8" w:rsidR="00DA1C50" w:rsidRDefault="00DA1C50" w:rsidP="00DA1C50">
      <w:pPr>
        <w:spacing w:line="259" w:lineRule="auto"/>
        <w:jc w:val="center"/>
        <w:rPr>
          <w:rFonts w:ascii="SourceSansPro-Regular" w:hAnsi="SourceSansPro-Regular" w:cs="SourceSansPro-Regular"/>
          <w:kern w:val="0"/>
          <w:sz w:val="36"/>
          <w:szCs w:val="36"/>
        </w:rPr>
      </w:pPr>
    </w:p>
    <w:p w14:paraId="26E8DACC" w14:textId="4E1E8C6A" w:rsidR="00DA1C50" w:rsidRDefault="00DA1C50" w:rsidP="00DA1C50">
      <w:pPr>
        <w:spacing w:line="259" w:lineRule="auto"/>
        <w:jc w:val="center"/>
        <w:rPr>
          <w:rFonts w:ascii="SourceSansPro-Regular" w:hAnsi="SourceSansPro-Regular" w:cs="SourceSansPro-Regular"/>
          <w:kern w:val="0"/>
          <w:sz w:val="36"/>
          <w:szCs w:val="36"/>
        </w:rPr>
      </w:pPr>
    </w:p>
    <w:p w14:paraId="04FDA337" w14:textId="116B2D41" w:rsidR="00DA1C50" w:rsidRDefault="00DA1C50" w:rsidP="00DA1C50">
      <w:pPr>
        <w:spacing w:line="259" w:lineRule="auto"/>
        <w:jc w:val="center"/>
        <w:rPr>
          <w:rFonts w:ascii="SourceSansPro-Regular" w:hAnsi="SourceSansPro-Regular" w:cs="SourceSansPro-Regular"/>
          <w:kern w:val="0"/>
          <w:sz w:val="36"/>
          <w:szCs w:val="36"/>
        </w:rPr>
      </w:pPr>
    </w:p>
    <w:p w14:paraId="57B3D9E6" w14:textId="29BB2ABE" w:rsidR="00DA1C50" w:rsidRDefault="00DA1C50" w:rsidP="00DA1C50">
      <w:pPr>
        <w:spacing w:line="259" w:lineRule="auto"/>
        <w:jc w:val="center"/>
        <w:rPr>
          <w:rFonts w:ascii="SourceSansPro-Regular" w:hAnsi="SourceSansPro-Regular" w:cs="SourceSansPro-Regular"/>
          <w:kern w:val="0"/>
          <w:sz w:val="36"/>
          <w:szCs w:val="36"/>
        </w:rPr>
      </w:pPr>
    </w:p>
    <w:p w14:paraId="0C637ADE" w14:textId="5F6D40D5" w:rsidR="00DA1C50" w:rsidRDefault="00DA1C50" w:rsidP="00DA1C50">
      <w:pPr>
        <w:spacing w:line="259" w:lineRule="auto"/>
        <w:jc w:val="center"/>
        <w:rPr>
          <w:rFonts w:ascii="SourceSansPro-Regular" w:hAnsi="SourceSansPro-Regular" w:cs="SourceSansPro-Regular"/>
          <w:kern w:val="0"/>
          <w:sz w:val="36"/>
          <w:szCs w:val="36"/>
        </w:rPr>
      </w:pPr>
    </w:p>
    <w:p w14:paraId="7D5D0F54" w14:textId="7622158E" w:rsidR="00DA1C50" w:rsidRDefault="00DA1C50" w:rsidP="00DA1C50">
      <w:pPr>
        <w:spacing w:line="259" w:lineRule="auto"/>
        <w:jc w:val="center"/>
        <w:rPr>
          <w:rFonts w:ascii="SourceSansPro-Regular" w:hAnsi="SourceSansPro-Regular" w:cs="SourceSansPro-Regular"/>
          <w:kern w:val="0"/>
          <w:sz w:val="36"/>
          <w:szCs w:val="36"/>
        </w:rPr>
      </w:pPr>
    </w:p>
    <w:p w14:paraId="14A1D529" w14:textId="1F7B4104" w:rsidR="00DA1C50" w:rsidRDefault="00DA1C50" w:rsidP="00DA1C50">
      <w:pPr>
        <w:spacing w:line="259" w:lineRule="auto"/>
        <w:jc w:val="center"/>
        <w:rPr>
          <w:rFonts w:ascii="SourceSansPro-Regular" w:hAnsi="SourceSansPro-Regular" w:cs="SourceSansPro-Regular"/>
          <w:kern w:val="0"/>
          <w:sz w:val="36"/>
          <w:szCs w:val="36"/>
        </w:rPr>
      </w:pPr>
    </w:p>
    <w:p w14:paraId="5679F5FE" w14:textId="1FDEEC50" w:rsidR="00DA1C50" w:rsidRDefault="00DA1C50" w:rsidP="00DA1C50">
      <w:pPr>
        <w:spacing w:line="259" w:lineRule="auto"/>
        <w:jc w:val="center"/>
        <w:rPr>
          <w:rFonts w:ascii="SourceSansPro-Regular" w:hAnsi="SourceSansPro-Regular" w:cs="SourceSansPro-Regular"/>
          <w:kern w:val="0"/>
          <w:sz w:val="36"/>
          <w:szCs w:val="36"/>
        </w:rPr>
      </w:pPr>
    </w:p>
    <w:p w14:paraId="461C8723" w14:textId="4F792DE5" w:rsidR="00DA1C50" w:rsidRDefault="00DA1C50" w:rsidP="00DA1C50">
      <w:pPr>
        <w:spacing w:line="259" w:lineRule="auto"/>
        <w:jc w:val="center"/>
        <w:rPr>
          <w:rFonts w:ascii="SourceSansPro-Regular" w:hAnsi="SourceSansPro-Regular" w:cs="SourceSansPro-Regular"/>
          <w:kern w:val="0"/>
          <w:sz w:val="36"/>
          <w:szCs w:val="36"/>
        </w:rPr>
      </w:pPr>
    </w:p>
    <w:p w14:paraId="76E27E68" w14:textId="6A186246" w:rsidR="00DA1C50" w:rsidRDefault="00DA1C50" w:rsidP="00DA1C50">
      <w:pPr>
        <w:spacing w:line="259" w:lineRule="auto"/>
        <w:jc w:val="center"/>
        <w:rPr>
          <w:rFonts w:ascii="SourceSansPro-Regular" w:hAnsi="SourceSansPro-Regular" w:cs="SourceSansPro-Regular"/>
          <w:kern w:val="0"/>
          <w:sz w:val="36"/>
          <w:szCs w:val="36"/>
        </w:rPr>
      </w:pPr>
    </w:p>
    <w:p w14:paraId="447F196E" w14:textId="5AFF706B" w:rsidR="00DA1C50" w:rsidRDefault="00DA1C50" w:rsidP="00DA1C50">
      <w:pPr>
        <w:spacing w:line="259" w:lineRule="auto"/>
        <w:jc w:val="center"/>
        <w:rPr>
          <w:rFonts w:ascii="SourceSansPro-Regular" w:hAnsi="SourceSansPro-Regular" w:cs="SourceSansPro-Regular"/>
          <w:kern w:val="0"/>
          <w:sz w:val="36"/>
          <w:szCs w:val="36"/>
        </w:rPr>
      </w:pPr>
    </w:p>
    <w:p w14:paraId="1488A273" w14:textId="58CCC6A1" w:rsidR="00DA1C50" w:rsidRDefault="00DA1C50" w:rsidP="00DA1C50">
      <w:pPr>
        <w:spacing w:line="259" w:lineRule="auto"/>
        <w:jc w:val="center"/>
        <w:rPr>
          <w:rFonts w:ascii="SourceSansPro-Regular" w:hAnsi="SourceSansPro-Regular" w:cs="SourceSansPro-Regular"/>
          <w:kern w:val="0"/>
          <w:sz w:val="36"/>
          <w:szCs w:val="36"/>
        </w:rPr>
      </w:pPr>
    </w:p>
    <w:p w14:paraId="42ECF8D0" w14:textId="77777777" w:rsidR="00DA1C50" w:rsidRDefault="00DA1C50" w:rsidP="00DA1C50">
      <w:pPr>
        <w:spacing w:line="259" w:lineRule="auto"/>
        <w:jc w:val="center"/>
        <w:rPr>
          <w:rFonts w:ascii="Calibri" w:hAnsi="Calibri" w:cs="Calibri"/>
          <w:color w:val="000000" w:themeColor="text1"/>
        </w:rPr>
      </w:pPr>
    </w:p>
    <w:p w14:paraId="27A26447" w14:textId="77777777" w:rsidR="00EE201F" w:rsidRDefault="00EE201F" w:rsidP="00016E93">
      <w:pPr>
        <w:spacing w:line="259" w:lineRule="auto"/>
        <w:rPr>
          <w:rFonts w:ascii="Calibri" w:hAnsi="Calibri" w:cs="Calibri"/>
          <w:color w:val="000000" w:themeColor="text1"/>
        </w:rPr>
      </w:pPr>
    </w:p>
    <w:sdt>
      <w:sdtPr>
        <w:rPr>
          <w:rFonts w:ascii="Calibri" w:eastAsiaTheme="minorEastAsia" w:hAnsi="Calibri" w:cs="Calibri"/>
          <w:b w:val="0"/>
          <w:bCs w:val="0"/>
          <w:color w:val="000000" w:themeColor="text1"/>
          <w:kern w:val="2"/>
          <w:sz w:val="24"/>
          <w:szCs w:val="24"/>
          <w:shd w:val="clear" w:color="auto" w:fill="E6E6E6"/>
          <w:lang w:val="en-GB"/>
          <w14:ligatures w14:val="standardContextual"/>
        </w:rPr>
        <w:id w:val="-377547240"/>
        <w:docPartObj>
          <w:docPartGallery w:val="Table of Contents"/>
          <w:docPartUnique/>
        </w:docPartObj>
      </w:sdtPr>
      <w:sdtEndPr/>
      <w:sdtContent>
        <w:p w14:paraId="3D5C987B" w14:textId="1A2E13F4" w:rsidR="008E288D" w:rsidRPr="0017357E" w:rsidRDefault="2586636A" w:rsidP="00016E93">
          <w:pPr>
            <w:pStyle w:val="TOCHeading"/>
            <w:spacing w:line="259" w:lineRule="auto"/>
            <w:rPr>
              <w:rFonts w:ascii="Calibri" w:hAnsi="Calibri" w:cs="Calibri"/>
              <w:color w:val="000000" w:themeColor="text1"/>
              <w:lang w:val="en-GB"/>
            </w:rPr>
          </w:pPr>
          <w:r w:rsidRPr="0017357E">
            <w:rPr>
              <w:rFonts w:ascii="Calibri" w:hAnsi="Calibri" w:cs="Calibri"/>
              <w:color w:val="000000" w:themeColor="text1"/>
              <w:lang w:val="en-GB"/>
            </w:rPr>
            <w:t>Table of Contents</w:t>
          </w:r>
        </w:p>
        <w:p w14:paraId="692E2F67" w14:textId="1C2795B9" w:rsidR="00D72A0F" w:rsidRDefault="008E288D">
          <w:pPr>
            <w:pStyle w:val="TOC1"/>
            <w:rPr>
              <w:rFonts w:eastAsiaTheme="minorEastAsia"/>
              <w:b w:val="0"/>
              <w:bCs w:val="0"/>
              <w:caps w:val="0"/>
              <w:noProof/>
              <w:sz w:val="24"/>
              <w:szCs w:val="24"/>
              <w:u w:val="none"/>
              <w:lang w:eastAsia="en-GB"/>
            </w:rPr>
          </w:pPr>
          <w:r w:rsidRPr="0017357E">
            <w:rPr>
              <w:rFonts w:ascii="Calibri" w:hAnsi="Calibri" w:cs="Calibri"/>
              <w:color w:val="000000" w:themeColor="text1"/>
              <w:shd w:val="clear" w:color="auto" w:fill="E6E6E6"/>
            </w:rPr>
            <w:fldChar w:fldCharType="begin"/>
          </w:r>
          <w:r w:rsidRPr="0017357E">
            <w:rPr>
              <w:rFonts w:ascii="Calibri" w:hAnsi="Calibri" w:cs="Calibri"/>
              <w:color w:val="000000" w:themeColor="text1"/>
            </w:rPr>
            <w:instrText xml:space="preserve"> TOC \o "1-3" \h \z \u </w:instrText>
          </w:r>
          <w:r w:rsidRPr="0017357E">
            <w:rPr>
              <w:rFonts w:ascii="Calibri" w:hAnsi="Calibri" w:cs="Calibri"/>
              <w:color w:val="000000" w:themeColor="text1"/>
              <w:shd w:val="clear" w:color="auto" w:fill="E6E6E6"/>
            </w:rPr>
            <w:fldChar w:fldCharType="separate"/>
          </w:r>
          <w:hyperlink w:anchor="_Toc202627078" w:history="1">
            <w:r w:rsidR="00D72A0F" w:rsidRPr="00C57311">
              <w:rPr>
                <w:rStyle w:val="Hyperlink"/>
                <w:noProof/>
              </w:rPr>
              <w:t>Executive Summary</w:t>
            </w:r>
            <w:r w:rsidR="00D72A0F">
              <w:rPr>
                <w:noProof/>
                <w:webHidden/>
              </w:rPr>
              <w:tab/>
            </w:r>
            <w:r w:rsidR="00D72A0F">
              <w:rPr>
                <w:noProof/>
                <w:webHidden/>
              </w:rPr>
              <w:fldChar w:fldCharType="begin"/>
            </w:r>
            <w:r w:rsidR="00D72A0F">
              <w:rPr>
                <w:noProof/>
                <w:webHidden/>
              </w:rPr>
              <w:instrText xml:space="preserve"> PAGEREF _Toc202627078 \h </w:instrText>
            </w:r>
            <w:r w:rsidR="00D72A0F">
              <w:rPr>
                <w:noProof/>
                <w:webHidden/>
              </w:rPr>
            </w:r>
            <w:r w:rsidR="00D72A0F">
              <w:rPr>
                <w:noProof/>
                <w:webHidden/>
              </w:rPr>
              <w:fldChar w:fldCharType="separate"/>
            </w:r>
            <w:r w:rsidR="00D72A0F">
              <w:rPr>
                <w:noProof/>
                <w:webHidden/>
              </w:rPr>
              <w:t>4</w:t>
            </w:r>
            <w:r w:rsidR="00D72A0F">
              <w:rPr>
                <w:noProof/>
                <w:webHidden/>
              </w:rPr>
              <w:fldChar w:fldCharType="end"/>
            </w:r>
          </w:hyperlink>
        </w:p>
        <w:p w14:paraId="2BDD73A3" w14:textId="77A8879B" w:rsidR="00D72A0F" w:rsidRDefault="00451B35">
          <w:pPr>
            <w:pStyle w:val="TOC1"/>
            <w:rPr>
              <w:rFonts w:eastAsiaTheme="minorEastAsia"/>
              <w:b w:val="0"/>
              <w:bCs w:val="0"/>
              <w:caps w:val="0"/>
              <w:noProof/>
              <w:sz w:val="24"/>
              <w:szCs w:val="24"/>
              <w:u w:val="none"/>
              <w:lang w:eastAsia="en-GB"/>
            </w:rPr>
          </w:pPr>
          <w:hyperlink w:anchor="_Toc202627079" w:history="1">
            <w:r w:rsidR="00D72A0F" w:rsidRPr="00C57311">
              <w:rPr>
                <w:rStyle w:val="Hyperlink"/>
                <w:noProof/>
              </w:rPr>
              <w:t>Introduction and Aims</w:t>
            </w:r>
            <w:r w:rsidR="00D72A0F">
              <w:rPr>
                <w:noProof/>
                <w:webHidden/>
              </w:rPr>
              <w:tab/>
            </w:r>
            <w:r w:rsidR="00D72A0F">
              <w:rPr>
                <w:noProof/>
                <w:webHidden/>
              </w:rPr>
              <w:fldChar w:fldCharType="begin"/>
            </w:r>
            <w:r w:rsidR="00D72A0F">
              <w:rPr>
                <w:noProof/>
                <w:webHidden/>
              </w:rPr>
              <w:instrText xml:space="preserve"> PAGEREF _Toc202627079 \h </w:instrText>
            </w:r>
            <w:r w:rsidR="00D72A0F">
              <w:rPr>
                <w:noProof/>
                <w:webHidden/>
              </w:rPr>
            </w:r>
            <w:r w:rsidR="00D72A0F">
              <w:rPr>
                <w:noProof/>
                <w:webHidden/>
              </w:rPr>
              <w:fldChar w:fldCharType="separate"/>
            </w:r>
            <w:r w:rsidR="00D72A0F">
              <w:rPr>
                <w:noProof/>
                <w:webHidden/>
              </w:rPr>
              <w:t>10</w:t>
            </w:r>
            <w:r w:rsidR="00D72A0F">
              <w:rPr>
                <w:noProof/>
                <w:webHidden/>
              </w:rPr>
              <w:fldChar w:fldCharType="end"/>
            </w:r>
          </w:hyperlink>
        </w:p>
        <w:p w14:paraId="69A9F94C" w14:textId="6EA092D2" w:rsidR="00D72A0F" w:rsidRDefault="00451B35">
          <w:pPr>
            <w:pStyle w:val="TOC2"/>
            <w:tabs>
              <w:tab w:val="right" w:leader="dot" w:pos="9010"/>
            </w:tabs>
            <w:rPr>
              <w:rFonts w:eastAsiaTheme="minorEastAsia"/>
              <w:b w:val="0"/>
              <w:bCs w:val="0"/>
              <w:smallCaps w:val="0"/>
              <w:noProof/>
              <w:sz w:val="24"/>
              <w:szCs w:val="24"/>
              <w:lang w:eastAsia="en-GB"/>
            </w:rPr>
          </w:pPr>
          <w:hyperlink w:anchor="_Toc202627080" w:history="1">
            <w:r w:rsidR="00D72A0F" w:rsidRPr="00C57311">
              <w:rPr>
                <w:rStyle w:val="Hyperlink"/>
                <w:noProof/>
              </w:rPr>
              <w:t>The REWG</w:t>
            </w:r>
            <w:r w:rsidR="00D72A0F">
              <w:rPr>
                <w:noProof/>
                <w:webHidden/>
              </w:rPr>
              <w:tab/>
            </w:r>
            <w:r w:rsidR="00D72A0F">
              <w:rPr>
                <w:noProof/>
                <w:webHidden/>
              </w:rPr>
              <w:fldChar w:fldCharType="begin"/>
            </w:r>
            <w:r w:rsidR="00D72A0F">
              <w:rPr>
                <w:noProof/>
                <w:webHidden/>
              </w:rPr>
              <w:instrText xml:space="preserve"> PAGEREF _Toc202627080 \h </w:instrText>
            </w:r>
            <w:r w:rsidR="00D72A0F">
              <w:rPr>
                <w:noProof/>
                <w:webHidden/>
              </w:rPr>
            </w:r>
            <w:r w:rsidR="00D72A0F">
              <w:rPr>
                <w:noProof/>
                <w:webHidden/>
              </w:rPr>
              <w:fldChar w:fldCharType="separate"/>
            </w:r>
            <w:r w:rsidR="00D72A0F">
              <w:rPr>
                <w:noProof/>
                <w:webHidden/>
              </w:rPr>
              <w:t>11</w:t>
            </w:r>
            <w:r w:rsidR="00D72A0F">
              <w:rPr>
                <w:noProof/>
                <w:webHidden/>
              </w:rPr>
              <w:fldChar w:fldCharType="end"/>
            </w:r>
          </w:hyperlink>
        </w:p>
        <w:p w14:paraId="38CDC495" w14:textId="655C4256" w:rsidR="00D72A0F" w:rsidRDefault="00451B35">
          <w:pPr>
            <w:pStyle w:val="TOC2"/>
            <w:tabs>
              <w:tab w:val="right" w:leader="dot" w:pos="9010"/>
            </w:tabs>
            <w:rPr>
              <w:rFonts w:eastAsiaTheme="minorEastAsia"/>
              <w:b w:val="0"/>
              <w:bCs w:val="0"/>
              <w:smallCaps w:val="0"/>
              <w:noProof/>
              <w:sz w:val="24"/>
              <w:szCs w:val="24"/>
              <w:lang w:eastAsia="en-GB"/>
            </w:rPr>
          </w:pPr>
          <w:hyperlink w:anchor="_Toc202627081" w:history="1">
            <w:r w:rsidR="00D72A0F" w:rsidRPr="00C57311">
              <w:rPr>
                <w:rStyle w:val="Hyperlink"/>
                <w:noProof/>
              </w:rPr>
              <w:t>Summary of the Report</w:t>
            </w:r>
            <w:r w:rsidR="00D72A0F">
              <w:rPr>
                <w:noProof/>
                <w:webHidden/>
              </w:rPr>
              <w:tab/>
            </w:r>
            <w:r w:rsidR="00D72A0F">
              <w:rPr>
                <w:noProof/>
                <w:webHidden/>
              </w:rPr>
              <w:fldChar w:fldCharType="begin"/>
            </w:r>
            <w:r w:rsidR="00D72A0F">
              <w:rPr>
                <w:noProof/>
                <w:webHidden/>
              </w:rPr>
              <w:instrText xml:space="preserve"> PAGEREF _Toc202627081 \h </w:instrText>
            </w:r>
            <w:r w:rsidR="00D72A0F">
              <w:rPr>
                <w:noProof/>
                <w:webHidden/>
              </w:rPr>
            </w:r>
            <w:r w:rsidR="00D72A0F">
              <w:rPr>
                <w:noProof/>
                <w:webHidden/>
              </w:rPr>
              <w:fldChar w:fldCharType="separate"/>
            </w:r>
            <w:r w:rsidR="00D72A0F">
              <w:rPr>
                <w:noProof/>
                <w:webHidden/>
              </w:rPr>
              <w:t>13</w:t>
            </w:r>
            <w:r w:rsidR="00D72A0F">
              <w:rPr>
                <w:noProof/>
                <w:webHidden/>
              </w:rPr>
              <w:fldChar w:fldCharType="end"/>
            </w:r>
          </w:hyperlink>
        </w:p>
        <w:p w14:paraId="48FB5827" w14:textId="3AF11521" w:rsidR="00D72A0F" w:rsidRDefault="00451B35">
          <w:pPr>
            <w:pStyle w:val="TOC2"/>
            <w:tabs>
              <w:tab w:val="right" w:leader="dot" w:pos="9010"/>
            </w:tabs>
            <w:rPr>
              <w:rFonts w:eastAsiaTheme="minorEastAsia"/>
              <w:b w:val="0"/>
              <w:bCs w:val="0"/>
              <w:smallCaps w:val="0"/>
              <w:noProof/>
              <w:sz w:val="24"/>
              <w:szCs w:val="24"/>
              <w:lang w:eastAsia="en-GB"/>
            </w:rPr>
          </w:pPr>
          <w:hyperlink w:anchor="_Toc202627082" w:history="1">
            <w:r w:rsidR="00D72A0F" w:rsidRPr="00C57311">
              <w:rPr>
                <w:rStyle w:val="Hyperlink"/>
                <w:rFonts w:cstheme="minorHAnsi"/>
                <w:noProof/>
              </w:rPr>
              <w:t>A Word on Language</w:t>
            </w:r>
            <w:r w:rsidR="00D72A0F">
              <w:rPr>
                <w:noProof/>
                <w:webHidden/>
              </w:rPr>
              <w:tab/>
            </w:r>
            <w:r w:rsidR="00D72A0F">
              <w:rPr>
                <w:noProof/>
                <w:webHidden/>
              </w:rPr>
              <w:fldChar w:fldCharType="begin"/>
            </w:r>
            <w:r w:rsidR="00D72A0F">
              <w:rPr>
                <w:noProof/>
                <w:webHidden/>
              </w:rPr>
              <w:instrText xml:space="preserve"> PAGEREF _Toc202627082 \h </w:instrText>
            </w:r>
            <w:r w:rsidR="00D72A0F">
              <w:rPr>
                <w:noProof/>
                <w:webHidden/>
              </w:rPr>
            </w:r>
            <w:r w:rsidR="00D72A0F">
              <w:rPr>
                <w:noProof/>
                <w:webHidden/>
              </w:rPr>
              <w:fldChar w:fldCharType="separate"/>
            </w:r>
            <w:r w:rsidR="00D72A0F">
              <w:rPr>
                <w:noProof/>
                <w:webHidden/>
              </w:rPr>
              <w:t>14</w:t>
            </w:r>
            <w:r w:rsidR="00D72A0F">
              <w:rPr>
                <w:noProof/>
                <w:webHidden/>
              </w:rPr>
              <w:fldChar w:fldCharType="end"/>
            </w:r>
          </w:hyperlink>
        </w:p>
        <w:p w14:paraId="6D71A9B4" w14:textId="049566EC" w:rsidR="00D72A0F" w:rsidRDefault="00451B35">
          <w:pPr>
            <w:pStyle w:val="TOC1"/>
            <w:rPr>
              <w:rFonts w:eastAsiaTheme="minorEastAsia"/>
              <w:b w:val="0"/>
              <w:bCs w:val="0"/>
              <w:caps w:val="0"/>
              <w:noProof/>
              <w:sz w:val="24"/>
              <w:szCs w:val="24"/>
              <w:u w:val="none"/>
              <w:lang w:eastAsia="en-GB"/>
            </w:rPr>
          </w:pPr>
          <w:hyperlink w:anchor="_Toc202627083" w:history="1">
            <w:r w:rsidR="00D72A0F" w:rsidRPr="00C57311">
              <w:rPr>
                <w:rStyle w:val="Hyperlink"/>
                <w:noProof/>
              </w:rPr>
              <w:t>Part 1: Review of Work in Equivalent Institutions</w:t>
            </w:r>
            <w:r w:rsidR="00D72A0F">
              <w:rPr>
                <w:noProof/>
                <w:webHidden/>
              </w:rPr>
              <w:tab/>
            </w:r>
            <w:r w:rsidR="00D72A0F">
              <w:rPr>
                <w:noProof/>
                <w:webHidden/>
              </w:rPr>
              <w:fldChar w:fldCharType="begin"/>
            </w:r>
            <w:r w:rsidR="00D72A0F">
              <w:rPr>
                <w:noProof/>
                <w:webHidden/>
              </w:rPr>
              <w:instrText xml:space="preserve"> PAGEREF _Toc202627083 \h </w:instrText>
            </w:r>
            <w:r w:rsidR="00D72A0F">
              <w:rPr>
                <w:noProof/>
                <w:webHidden/>
              </w:rPr>
            </w:r>
            <w:r w:rsidR="00D72A0F">
              <w:rPr>
                <w:noProof/>
                <w:webHidden/>
              </w:rPr>
              <w:fldChar w:fldCharType="separate"/>
            </w:r>
            <w:r w:rsidR="00D72A0F">
              <w:rPr>
                <w:noProof/>
                <w:webHidden/>
              </w:rPr>
              <w:t>16</w:t>
            </w:r>
            <w:r w:rsidR="00D72A0F">
              <w:rPr>
                <w:noProof/>
                <w:webHidden/>
              </w:rPr>
              <w:fldChar w:fldCharType="end"/>
            </w:r>
          </w:hyperlink>
        </w:p>
        <w:p w14:paraId="3C8860EB" w14:textId="1EE57E32" w:rsidR="00D72A0F" w:rsidRDefault="00451B35">
          <w:pPr>
            <w:pStyle w:val="TOC2"/>
            <w:tabs>
              <w:tab w:val="right" w:leader="dot" w:pos="9010"/>
            </w:tabs>
            <w:rPr>
              <w:rFonts w:eastAsiaTheme="minorEastAsia"/>
              <w:b w:val="0"/>
              <w:bCs w:val="0"/>
              <w:smallCaps w:val="0"/>
              <w:noProof/>
              <w:sz w:val="24"/>
              <w:szCs w:val="24"/>
              <w:lang w:eastAsia="en-GB"/>
            </w:rPr>
          </w:pPr>
          <w:hyperlink w:anchor="_Toc202627084" w:history="1">
            <w:r w:rsidR="00D72A0F" w:rsidRPr="00C57311">
              <w:rPr>
                <w:rStyle w:val="Hyperlink"/>
                <w:noProof/>
              </w:rPr>
              <w:t>Work at Comparable Institutions</w:t>
            </w:r>
            <w:r w:rsidR="00D72A0F">
              <w:rPr>
                <w:noProof/>
                <w:webHidden/>
              </w:rPr>
              <w:tab/>
            </w:r>
            <w:r w:rsidR="00D72A0F">
              <w:rPr>
                <w:noProof/>
                <w:webHidden/>
              </w:rPr>
              <w:fldChar w:fldCharType="begin"/>
            </w:r>
            <w:r w:rsidR="00D72A0F">
              <w:rPr>
                <w:noProof/>
                <w:webHidden/>
              </w:rPr>
              <w:instrText xml:space="preserve"> PAGEREF _Toc202627084 \h </w:instrText>
            </w:r>
            <w:r w:rsidR="00D72A0F">
              <w:rPr>
                <w:noProof/>
                <w:webHidden/>
              </w:rPr>
            </w:r>
            <w:r w:rsidR="00D72A0F">
              <w:rPr>
                <w:noProof/>
                <w:webHidden/>
              </w:rPr>
              <w:fldChar w:fldCharType="separate"/>
            </w:r>
            <w:r w:rsidR="00D72A0F">
              <w:rPr>
                <w:noProof/>
                <w:webHidden/>
              </w:rPr>
              <w:t>16</w:t>
            </w:r>
            <w:r w:rsidR="00D72A0F">
              <w:rPr>
                <w:noProof/>
                <w:webHidden/>
              </w:rPr>
              <w:fldChar w:fldCharType="end"/>
            </w:r>
          </w:hyperlink>
        </w:p>
        <w:p w14:paraId="56FADAE1" w14:textId="24950DA1" w:rsidR="00D72A0F" w:rsidRDefault="00451B35">
          <w:pPr>
            <w:pStyle w:val="TOC2"/>
            <w:tabs>
              <w:tab w:val="right" w:leader="dot" w:pos="9010"/>
            </w:tabs>
            <w:rPr>
              <w:rFonts w:eastAsiaTheme="minorEastAsia"/>
              <w:b w:val="0"/>
              <w:bCs w:val="0"/>
              <w:smallCaps w:val="0"/>
              <w:noProof/>
              <w:sz w:val="24"/>
              <w:szCs w:val="24"/>
              <w:lang w:eastAsia="en-GB"/>
            </w:rPr>
          </w:pPr>
          <w:hyperlink w:anchor="_Toc202627085" w:history="1">
            <w:r w:rsidR="00D72A0F" w:rsidRPr="00C57311">
              <w:rPr>
                <w:rStyle w:val="Hyperlink"/>
                <w:noProof/>
              </w:rPr>
              <w:t>University of Edinburgh’s Approach and Focus</w:t>
            </w:r>
            <w:r w:rsidR="00D72A0F">
              <w:rPr>
                <w:noProof/>
                <w:webHidden/>
              </w:rPr>
              <w:tab/>
            </w:r>
            <w:r w:rsidR="00D72A0F">
              <w:rPr>
                <w:noProof/>
                <w:webHidden/>
              </w:rPr>
              <w:fldChar w:fldCharType="begin"/>
            </w:r>
            <w:r w:rsidR="00D72A0F">
              <w:rPr>
                <w:noProof/>
                <w:webHidden/>
              </w:rPr>
              <w:instrText xml:space="preserve"> PAGEREF _Toc202627085 \h </w:instrText>
            </w:r>
            <w:r w:rsidR="00D72A0F">
              <w:rPr>
                <w:noProof/>
                <w:webHidden/>
              </w:rPr>
            </w:r>
            <w:r w:rsidR="00D72A0F">
              <w:rPr>
                <w:noProof/>
                <w:webHidden/>
              </w:rPr>
              <w:fldChar w:fldCharType="separate"/>
            </w:r>
            <w:r w:rsidR="00D72A0F">
              <w:rPr>
                <w:noProof/>
                <w:webHidden/>
              </w:rPr>
              <w:t>19</w:t>
            </w:r>
            <w:r w:rsidR="00D72A0F">
              <w:rPr>
                <w:noProof/>
                <w:webHidden/>
              </w:rPr>
              <w:fldChar w:fldCharType="end"/>
            </w:r>
          </w:hyperlink>
        </w:p>
        <w:p w14:paraId="70ABDCD3" w14:textId="68814F00" w:rsidR="00D72A0F" w:rsidRDefault="00451B35">
          <w:pPr>
            <w:pStyle w:val="TOC1"/>
            <w:rPr>
              <w:rFonts w:eastAsiaTheme="minorEastAsia"/>
              <w:b w:val="0"/>
              <w:bCs w:val="0"/>
              <w:caps w:val="0"/>
              <w:noProof/>
              <w:sz w:val="24"/>
              <w:szCs w:val="24"/>
              <w:u w:val="none"/>
              <w:lang w:eastAsia="en-GB"/>
            </w:rPr>
          </w:pPr>
          <w:hyperlink w:anchor="_Toc202627086" w:history="1">
            <w:r w:rsidR="00D72A0F" w:rsidRPr="00C57311">
              <w:rPr>
                <w:rStyle w:val="Hyperlink"/>
                <w:noProof/>
              </w:rPr>
              <w:t>Part 2: Historical Links to Enslavement, Colonialism and the Development of Racial Thought</w:t>
            </w:r>
            <w:r w:rsidR="00D72A0F">
              <w:rPr>
                <w:noProof/>
                <w:webHidden/>
              </w:rPr>
              <w:tab/>
            </w:r>
            <w:r w:rsidR="00D72A0F">
              <w:rPr>
                <w:noProof/>
                <w:webHidden/>
              </w:rPr>
              <w:fldChar w:fldCharType="begin"/>
            </w:r>
            <w:r w:rsidR="00D72A0F">
              <w:rPr>
                <w:noProof/>
                <w:webHidden/>
              </w:rPr>
              <w:instrText xml:space="preserve"> PAGEREF _Toc202627086 \h </w:instrText>
            </w:r>
            <w:r w:rsidR="00D72A0F">
              <w:rPr>
                <w:noProof/>
                <w:webHidden/>
              </w:rPr>
            </w:r>
            <w:r w:rsidR="00D72A0F">
              <w:rPr>
                <w:noProof/>
                <w:webHidden/>
              </w:rPr>
              <w:fldChar w:fldCharType="separate"/>
            </w:r>
            <w:r w:rsidR="00D72A0F">
              <w:rPr>
                <w:noProof/>
                <w:webHidden/>
              </w:rPr>
              <w:t>22</w:t>
            </w:r>
            <w:r w:rsidR="00D72A0F">
              <w:rPr>
                <w:noProof/>
                <w:webHidden/>
              </w:rPr>
              <w:fldChar w:fldCharType="end"/>
            </w:r>
          </w:hyperlink>
        </w:p>
        <w:p w14:paraId="0C438ADC" w14:textId="4F494A5C" w:rsidR="00D72A0F" w:rsidRDefault="00451B35">
          <w:pPr>
            <w:pStyle w:val="TOC2"/>
            <w:tabs>
              <w:tab w:val="right" w:leader="dot" w:pos="9010"/>
            </w:tabs>
            <w:rPr>
              <w:rFonts w:eastAsiaTheme="minorEastAsia"/>
              <w:b w:val="0"/>
              <w:bCs w:val="0"/>
              <w:smallCaps w:val="0"/>
              <w:noProof/>
              <w:sz w:val="24"/>
              <w:szCs w:val="24"/>
              <w:lang w:eastAsia="en-GB"/>
            </w:rPr>
          </w:pPr>
          <w:hyperlink w:anchor="_Toc202627087" w:history="1">
            <w:r w:rsidR="00D72A0F" w:rsidRPr="00C57311">
              <w:rPr>
                <w:rStyle w:val="Hyperlink"/>
                <w:noProof/>
              </w:rPr>
              <w:t>Research Strand 1: University of Edinburgh’s Ties to Enslavement and Colonialism</w:t>
            </w:r>
            <w:r w:rsidR="00D72A0F">
              <w:rPr>
                <w:noProof/>
                <w:webHidden/>
              </w:rPr>
              <w:tab/>
            </w:r>
            <w:r w:rsidR="00D72A0F">
              <w:rPr>
                <w:noProof/>
                <w:webHidden/>
              </w:rPr>
              <w:fldChar w:fldCharType="begin"/>
            </w:r>
            <w:r w:rsidR="00D72A0F">
              <w:rPr>
                <w:noProof/>
                <w:webHidden/>
              </w:rPr>
              <w:instrText xml:space="preserve"> PAGEREF _Toc202627087 \h </w:instrText>
            </w:r>
            <w:r w:rsidR="00D72A0F">
              <w:rPr>
                <w:noProof/>
                <w:webHidden/>
              </w:rPr>
            </w:r>
            <w:r w:rsidR="00D72A0F">
              <w:rPr>
                <w:noProof/>
                <w:webHidden/>
              </w:rPr>
              <w:fldChar w:fldCharType="separate"/>
            </w:r>
            <w:r w:rsidR="00D72A0F">
              <w:rPr>
                <w:noProof/>
                <w:webHidden/>
              </w:rPr>
              <w:t>22</w:t>
            </w:r>
            <w:r w:rsidR="00D72A0F">
              <w:rPr>
                <w:noProof/>
                <w:webHidden/>
              </w:rPr>
              <w:fldChar w:fldCharType="end"/>
            </w:r>
          </w:hyperlink>
        </w:p>
        <w:p w14:paraId="1632C54F" w14:textId="7B5F5EC8" w:rsidR="00D72A0F" w:rsidRDefault="00451B35">
          <w:pPr>
            <w:pStyle w:val="TOC3"/>
            <w:rPr>
              <w:rFonts w:eastAsiaTheme="minorEastAsia"/>
              <w:smallCaps w:val="0"/>
              <w:noProof/>
              <w:sz w:val="24"/>
              <w:szCs w:val="24"/>
              <w:lang w:eastAsia="en-GB"/>
            </w:rPr>
          </w:pPr>
          <w:hyperlink w:anchor="_Toc202627088" w:history="1">
            <w:r w:rsidR="00D72A0F" w:rsidRPr="00C57311">
              <w:rPr>
                <w:rStyle w:val="Hyperlink"/>
                <w:noProof/>
              </w:rPr>
              <w:t>Introduction</w:t>
            </w:r>
            <w:r w:rsidR="00D72A0F">
              <w:rPr>
                <w:noProof/>
                <w:webHidden/>
              </w:rPr>
              <w:tab/>
            </w:r>
            <w:r w:rsidR="00D72A0F">
              <w:rPr>
                <w:noProof/>
                <w:webHidden/>
              </w:rPr>
              <w:fldChar w:fldCharType="begin"/>
            </w:r>
            <w:r w:rsidR="00D72A0F">
              <w:rPr>
                <w:noProof/>
                <w:webHidden/>
              </w:rPr>
              <w:instrText xml:space="preserve"> PAGEREF _Toc202627088 \h </w:instrText>
            </w:r>
            <w:r w:rsidR="00D72A0F">
              <w:rPr>
                <w:noProof/>
                <w:webHidden/>
              </w:rPr>
            </w:r>
            <w:r w:rsidR="00D72A0F">
              <w:rPr>
                <w:noProof/>
                <w:webHidden/>
              </w:rPr>
              <w:fldChar w:fldCharType="separate"/>
            </w:r>
            <w:r w:rsidR="00D72A0F">
              <w:rPr>
                <w:noProof/>
                <w:webHidden/>
              </w:rPr>
              <w:t>22</w:t>
            </w:r>
            <w:r w:rsidR="00D72A0F">
              <w:rPr>
                <w:noProof/>
                <w:webHidden/>
              </w:rPr>
              <w:fldChar w:fldCharType="end"/>
            </w:r>
          </w:hyperlink>
        </w:p>
        <w:p w14:paraId="34C821B2" w14:textId="43DDA44A" w:rsidR="00D72A0F" w:rsidRDefault="00451B35">
          <w:pPr>
            <w:pStyle w:val="TOC3"/>
            <w:rPr>
              <w:rFonts w:eastAsiaTheme="minorEastAsia"/>
              <w:smallCaps w:val="0"/>
              <w:noProof/>
              <w:sz w:val="24"/>
              <w:szCs w:val="24"/>
              <w:lang w:eastAsia="en-GB"/>
            </w:rPr>
          </w:pPr>
          <w:hyperlink w:anchor="_Toc202627089" w:history="1">
            <w:r w:rsidR="00D72A0F" w:rsidRPr="00C57311">
              <w:rPr>
                <w:rStyle w:val="Hyperlink"/>
                <w:noProof/>
              </w:rPr>
              <w:t>Key Research Findings</w:t>
            </w:r>
            <w:r w:rsidR="00D72A0F">
              <w:rPr>
                <w:noProof/>
                <w:webHidden/>
              </w:rPr>
              <w:tab/>
            </w:r>
            <w:r w:rsidR="00D72A0F">
              <w:rPr>
                <w:noProof/>
                <w:webHidden/>
              </w:rPr>
              <w:fldChar w:fldCharType="begin"/>
            </w:r>
            <w:r w:rsidR="00D72A0F">
              <w:rPr>
                <w:noProof/>
                <w:webHidden/>
              </w:rPr>
              <w:instrText xml:space="preserve"> PAGEREF _Toc202627089 \h </w:instrText>
            </w:r>
            <w:r w:rsidR="00D72A0F">
              <w:rPr>
                <w:noProof/>
                <w:webHidden/>
              </w:rPr>
            </w:r>
            <w:r w:rsidR="00D72A0F">
              <w:rPr>
                <w:noProof/>
                <w:webHidden/>
              </w:rPr>
              <w:fldChar w:fldCharType="separate"/>
            </w:r>
            <w:r w:rsidR="00D72A0F">
              <w:rPr>
                <w:noProof/>
                <w:webHidden/>
              </w:rPr>
              <w:t>23</w:t>
            </w:r>
            <w:r w:rsidR="00D72A0F">
              <w:rPr>
                <w:noProof/>
                <w:webHidden/>
              </w:rPr>
              <w:fldChar w:fldCharType="end"/>
            </w:r>
          </w:hyperlink>
        </w:p>
        <w:p w14:paraId="7CC173C4" w14:textId="45F3B1A2" w:rsidR="00D72A0F" w:rsidRDefault="00451B35">
          <w:pPr>
            <w:pStyle w:val="TOC3"/>
            <w:rPr>
              <w:rFonts w:eastAsiaTheme="minorEastAsia"/>
              <w:smallCaps w:val="0"/>
              <w:noProof/>
              <w:sz w:val="24"/>
              <w:szCs w:val="24"/>
              <w:lang w:eastAsia="en-GB"/>
            </w:rPr>
          </w:pPr>
          <w:hyperlink w:anchor="_Toc202627090" w:history="1">
            <w:r w:rsidR="00D72A0F" w:rsidRPr="00C57311">
              <w:rPr>
                <w:rStyle w:val="Hyperlink"/>
                <w:noProof/>
              </w:rPr>
              <w:t>Conclusions from Research Strand 1</w:t>
            </w:r>
            <w:r w:rsidR="00D72A0F">
              <w:rPr>
                <w:noProof/>
                <w:webHidden/>
              </w:rPr>
              <w:tab/>
            </w:r>
            <w:r w:rsidR="00D72A0F">
              <w:rPr>
                <w:noProof/>
                <w:webHidden/>
              </w:rPr>
              <w:fldChar w:fldCharType="begin"/>
            </w:r>
            <w:r w:rsidR="00D72A0F">
              <w:rPr>
                <w:noProof/>
                <w:webHidden/>
              </w:rPr>
              <w:instrText xml:space="preserve"> PAGEREF _Toc202627090 \h </w:instrText>
            </w:r>
            <w:r w:rsidR="00D72A0F">
              <w:rPr>
                <w:noProof/>
                <w:webHidden/>
              </w:rPr>
            </w:r>
            <w:r w:rsidR="00D72A0F">
              <w:rPr>
                <w:noProof/>
                <w:webHidden/>
              </w:rPr>
              <w:fldChar w:fldCharType="separate"/>
            </w:r>
            <w:r w:rsidR="00D72A0F">
              <w:rPr>
                <w:noProof/>
                <w:webHidden/>
              </w:rPr>
              <w:t>35</w:t>
            </w:r>
            <w:r w:rsidR="00D72A0F">
              <w:rPr>
                <w:noProof/>
                <w:webHidden/>
              </w:rPr>
              <w:fldChar w:fldCharType="end"/>
            </w:r>
          </w:hyperlink>
        </w:p>
        <w:p w14:paraId="248318B2" w14:textId="5CE5EDD0" w:rsidR="00D72A0F" w:rsidRDefault="00451B35">
          <w:pPr>
            <w:pStyle w:val="TOC2"/>
            <w:tabs>
              <w:tab w:val="right" w:leader="dot" w:pos="9010"/>
            </w:tabs>
            <w:rPr>
              <w:rFonts w:eastAsiaTheme="minorEastAsia"/>
              <w:b w:val="0"/>
              <w:bCs w:val="0"/>
              <w:smallCaps w:val="0"/>
              <w:noProof/>
              <w:sz w:val="24"/>
              <w:szCs w:val="24"/>
              <w:lang w:eastAsia="en-GB"/>
            </w:rPr>
          </w:pPr>
          <w:hyperlink w:anchor="_Toc202627091" w:history="1">
            <w:r w:rsidR="00D72A0F" w:rsidRPr="00C57311">
              <w:rPr>
                <w:rStyle w:val="Hyperlink"/>
                <w:noProof/>
              </w:rPr>
              <w:t>Research Strand 2: Theories of Race and Civilisation at the University of Edinburgh, c.1750–c.1850</w:t>
            </w:r>
            <w:r w:rsidR="00D72A0F">
              <w:rPr>
                <w:noProof/>
                <w:webHidden/>
              </w:rPr>
              <w:tab/>
            </w:r>
            <w:r w:rsidR="00D72A0F">
              <w:rPr>
                <w:noProof/>
                <w:webHidden/>
              </w:rPr>
              <w:fldChar w:fldCharType="begin"/>
            </w:r>
            <w:r w:rsidR="00D72A0F">
              <w:rPr>
                <w:noProof/>
                <w:webHidden/>
              </w:rPr>
              <w:instrText xml:space="preserve"> PAGEREF _Toc202627091 \h </w:instrText>
            </w:r>
            <w:r w:rsidR="00D72A0F">
              <w:rPr>
                <w:noProof/>
                <w:webHidden/>
              </w:rPr>
            </w:r>
            <w:r w:rsidR="00D72A0F">
              <w:rPr>
                <w:noProof/>
                <w:webHidden/>
              </w:rPr>
              <w:fldChar w:fldCharType="separate"/>
            </w:r>
            <w:r w:rsidR="00D72A0F">
              <w:rPr>
                <w:noProof/>
                <w:webHidden/>
              </w:rPr>
              <w:t>36</w:t>
            </w:r>
            <w:r w:rsidR="00D72A0F">
              <w:rPr>
                <w:noProof/>
                <w:webHidden/>
              </w:rPr>
              <w:fldChar w:fldCharType="end"/>
            </w:r>
          </w:hyperlink>
        </w:p>
        <w:p w14:paraId="54572D1E" w14:textId="0604CAD8" w:rsidR="00D72A0F" w:rsidRDefault="00451B35">
          <w:pPr>
            <w:pStyle w:val="TOC3"/>
            <w:rPr>
              <w:rFonts w:eastAsiaTheme="minorEastAsia"/>
              <w:smallCaps w:val="0"/>
              <w:noProof/>
              <w:sz w:val="24"/>
              <w:szCs w:val="24"/>
              <w:lang w:eastAsia="en-GB"/>
            </w:rPr>
          </w:pPr>
          <w:hyperlink w:anchor="_Toc202627092" w:history="1">
            <w:r w:rsidR="00D72A0F" w:rsidRPr="00C57311">
              <w:rPr>
                <w:rStyle w:val="Hyperlink"/>
                <w:noProof/>
              </w:rPr>
              <w:t>Introduction</w:t>
            </w:r>
            <w:r w:rsidR="00D72A0F">
              <w:rPr>
                <w:noProof/>
                <w:webHidden/>
              </w:rPr>
              <w:tab/>
            </w:r>
            <w:r w:rsidR="00D72A0F">
              <w:rPr>
                <w:noProof/>
                <w:webHidden/>
              </w:rPr>
              <w:fldChar w:fldCharType="begin"/>
            </w:r>
            <w:r w:rsidR="00D72A0F">
              <w:rPr>
                <w:noProof/>
                <w:webHidden/>
              </w:rPr>
              <w:instrText xml:space="preserve"> PAGEREF _Toc202627092 \h </w:instrText>
            </w:r>
            <w:r w:rsidR="00D72A0F">
              <w:rPr>
                <w:noProof/>
                <w:webHidden/>
              </w:rPr>
            </w:r>
            <w:r w:rsidR="00D72A0F">
              <w:rPr>
                <w:noProof/>
                <w:webHidden/>
              </w:rPr>
              <w:fldChar w:fldCharType="separate"/>
            </w:r>
            <w:r w:rsidR="00D72A0F">
              <w:rPr>
                <w:noProof/>
                <w:webHidden/>
              </w:rPr>
              <w:t>36</w:t>
            </w:r>
            <w:r w:rsidR="00D72A0F">
              <w:rPr>
                <w:noProof/>
                <w:webHidden/>
              </w:rPr>
              <w:fldChar w:fldCharType="end"/>
            </w:r>
          </w:hyperlink>
        </w:p>
        <w:p w14:paraId="2F6ACA8A" w14:textId="2496159B" w:rsidR="00D72A0F" w:rsidRDefault="00451B35">
          <w:pPr>
            <w:pStyle w:val="TOC3"/>
            <w:rPr>
              <w:rFonts w:eastAsiaTheme="minorEastAsia"/>
              <w:smallCaps w:val="0"/>
              <w:noProof/>
              <w:sz w:val="24"/>
              <w:szCs w:val="24"/>
              <w:lang w:eastAsia="en-GB"/>
            </w:rPr>
          </w:pPr>
          <w:hyperlink w:anchor="_Toc202627093" w:history="1">
            <w:r w:rsidR="00D72A0F" w:rsidRPr="00C57311">
              <w:rPr>
                <w:rStyle w:val="Hyperlink"/>
                <w:noProof/>
              </w:rPr>
              <w:t>Key Research Findings</w:t>
            </w:r>
            <w:r w:rsidR="00D72A0F">
              <w:rPr>
                <w:noProof/>
                <w:webHidden/>
              </w:rPr>
              <w:tab/>
            </w:r>
            <w:r w:rsidR="00D72A0F">
              <w:rPr>
                <w:noProof/>
                <w:webHidden/>
              </w:rPr>
              <w:fldChar w:fldCharType="begin"/>
            </w:r>
            <w:r w:rsidR="00D72A0F">
              <w:rPr>
                <w:noProof/>
                <w:webHidden/>
              </w:rPr>
              <w:instrText xml:space="preserve"> PAGEREF _Toc202627093 \h </w:instrText>
            </w:r>
            <w:r w:rsidR="00D72A0F">
              <w:rPr>
                <w:noProof/>
                <w:webHidden/>
              </w:rPr>
            </w:r>
            <w:r w:rsidR="00D72A0F">
              <w:rPr>
                <w:noProof/>
                <w:webHidden/>
              </w:rPr>
              <w:fldChar w:fldCharType="separate"/>
            </w:r>
            <w:r w:rsidR="00D72A0F">
              <w:rPr>
                <w:noProof/>
                <w:webHidden/>
              </w:rPr>
              <w:t>37</w:t>
            </w:r>
            <w:r w:rsidR="00D72A0F">
              <w:rPr>
                <w:noProof/>
                <w:webHidden/>
              </w:rPr>
              <w:fldChar w:fldCharType="end"/>
            </w:r>
          </w:hyperlink>
        </w:p>
        <w:p w14:paraId="2EE8E687" w14:textId="7FD185C6" w:rsidR="00D72A0F" w:rsidRDefault="00451B35">
          <w:pPr>
            <w:pStyle w:val="TOC3"/>
            <w:rPr>
              <w:rFonts w:eastAsiaTheme="minorEastAsia"/>
              <w:smallCaps w:val="0"/>
              <w:noProof/>
              <w:sz w:val="24"/>
              <w:szCs w:val="24"/>
              <w:lang w:eastAsia="en-GB"/>
            </w:rPr>
          </w:pPr>
          <w:hyperlink w:anchor="_Toc202627094" w:history="1">
            <w:r w:rsidR="00D72A0F" w:rsidRPr="00C57311">
              <w:rPr>
                <w:rStyle w:val="Hyperlink"/>
                <w:noProof/>
              </w:rPr>
              <w:t>Conclusions from Research Strand 2</w:t>
            </w:r>
            <w:r w:rsidR="00D72A0F">
              <w:rPr>
                <w:noProof/>
                <w:webHidden/>
              </w:rPr>
              <w:tab/>
            </w:r>
            <w:r w:rsidR="00D72A0F">
              <w:rPr>
                <w:noProof/>
                <w:webHidden/>
              </w:rPr>
              <w:fldChar w:fldCharType="begin"/>
            </w:r>
            <w:r w:rsidR="00D72A0F">
              <w:rPr>
                <w:noProof/>
                <w:webHidden/>
              </w:rPr>
              <w:instrText xml:space="preserve"> PAGEREF _Toc202627094 \h </w:instrText>
            </w:r>
            <w:r w:rsidR="00D72A0F">
              <w:rPr>
                <w:noProof/>
                <w:webHidden/>
              </w:rPr>
            </w:r>
            <w:r w:rsidR="00D72A0F">
              <w:rPr>
                <w:noProof/>
                <w:webHidden/>
              </w:rPr>
              <w:fldChar w:fldCharType="separate"/>
            </w:r>
            <w:r w:rsidR="00D72A0F">
              <w:rPr>
                <w:noProof/>
                <w:webHidden/>
              </w:rPr>
              <w:t>42</w:t>
            </w:r>
            <w:r w:rsidR="00D72A0F">
              <w:rPr>
                <w:noProof/>
                <w:webHidden/>
              </w:rPr>
              <w:fldChar w:fldCharType="end"/>
            </w:r>
          </w:hyperlink>
        </w:p>
        <w:p w14:paraId="37E08D14" w14:textId="15219F2C" w:rsidR="00D72A0F" w:rsidRDefault="00451B35">
          <w:pPr>
            <w:pStyle w:val="TOC2"/>
            <w:tabs>
              <w:tab w:val="right" w:leader="dot" w:pos="9010"/>
            </w:tabs>
            <w:rPr>
              <w:rFonts w:eastAsiaTheme="minorEastAsia"/>
              <w:b w:val="0"/>
              <w:bCs w:val="0"/>
              <w:smallCaps w:val="0"/>
              <w:noProof/>
              <w:sz w:val="24"/>
              <w:szCs w:val="24"/>
              <w:lang w:eastAsia="en-GB"/>
            </w:rPr>
          </w:pPr>
          <w:hyperlink w:anchor="_Toc202627095" w:history="1">
            <w:r w:rsidR="00D72A0F" w:rsidRPr="00C57311">
              <w:rPr>
                <w:rStyle w:val="Hyperlink"/>
                <w:noProof/>
              </w:rPr>
              <w:t>Research Strand 3: University of Edinburgh and the Question of Palestine: Balfour’s Imperial Legacy and its Afterlife</w:t>
            </w:r>
            <w:r w:rsidR="00D72A0F">
              <w:rPr>
                <w:noProof/>
                <w:webHidden/>
              </w:rPr>
              <w:tab/>
            </w:r>
            <w:r w:rsidR="00D72A0F">
              <w:rPr>
                <w:noProof/>
                <w:webHidden/>
              </w:rPr>
              <w:fldChar w:fldCharType="begin"/>
            </w:r>
            <w:r w:rsidR="00D72A0F">
              <w:rPr>
                <w:noProof/>
                <w:webHidden/>
              </w:rPr>
              <w:instrText xml:space="preserve"> PAGEREF _Toc202627095 \h </w:instrText>
            </w:r>
            <w:r w:rsidR="00D72A0F">
              <w:rPr>
                <w:noProof/>
                <w:webHidden/>
              </w:rPr>
            </w:r>
            <w:r w:rsidR="00D72A0F">
              <w:rPr>
                <w:noProof/>
                <w:webHidden/>
              </w:rPr>
              <w:fldChar w:fldCharType="separate"/>
            </w:r>
            <w:r w:rsidR="00D72A0F">
              <w:rPr>
                <w:noProof/>
                <w:webHidden/>
              </w:rPr>
              <w:t>43</w:t>
            </w:r>
            <w:r w:rsidR="00D72A0F">
              <w:rPr>
                <w:noProof/>
                <w:webHidden/>
              </w:rPr>
              <w:fldChar w:fldCharType="end"/>
            </w:r>
          </w:hyperlink>
        </w:p>
        <w:p w14:paraId="3C910F68" w14:textId="5D3BC64D" w:rsidR="00D72A0F" w:rsidRDefault="00451B35">
          <w:pPr>
            <w:pStyle w:val="TOC3"/>
            <w:rPr>
              <w:rFonts w:eastAsiaTheme="minorEastAsia"/>
              <w:smallCaps w:val="0"/>
              <w:noProof/>
              <w:sz w:val="24"/>
              <w:szCs w:val="24"/>
              <w:lang w:eastAsia="en-GB"/>
            </w:rPr>
          </w:pPr>
          <w:hyperlink w:anchor="_Toc202627096" w:history="1">
            <w:r w:rsidR="00D72A0F" w:rsidRPr="00C57311">
              <w:rPr>
                <w:rStyle w:val="Hyperlink"/>
                <w:noProof/>
              </w:rPr>
              <w:t>Introduction</w:t>
            </w:r>
            <w:r w:rsidR="00D72A0F">
              <w:rPr>
                <w:noProof/>
                <w:webHidden/>
              </w:rPr>
              <w:tab/>
            </w:r>
            <w:r w:rsidR="00D72A0F">
              <w:rPr>
                <w:noProof/>
                <w:webHidden/>
              </w:rPr>
              <w:fldChar w:fldCharType="begin"/>
            </w:r>
            <w:r w:rsidR="00D72A0F">
              <w:rPr>
                <w:noProof/>
                <w:webHidden/>
              </w:rPr>
              <w:instrText xml:space="preserve"> PAGEREF _Toc202627096 \h </w:instrText>
            </w:r>
            <w:r w:rsidR="00D72A0F">
              <w:rPr>
                <w:noProof/>
                <w:webHidden/>
              </w:rPr>
            </w:r>
            <w:r w:rsidR="00D72A0F">
              <w:rPr>
                <w:noProof/>
                <w:webHidden/>
              </w:rPr>
              <w:fldChar w:fldCharType="separate"/>
            </w:r>
            <w:r w:rsidR="00D72A0F">
              <w:rPr>
                <w:noProof/>
                <w:webHidden/>
              </w:rPr>
              <w:t>43</w:t>
            </w:r>
            <w:r w:rsidR="00D72A0F">
              <w:rPr>
                <w:noProof/>
                <w:webHidden/>
              </w:rPr>
              <w:fldChar w:fldCharType="end"/>
            </w:r>
          </w:hyperlink>
        </w:p>
        <w:p w14:paraId="2408EC23" w14:textId="20608F8A" w:rsidR="00D72A0F" w:rsidRDefault="00451B35">
          <w:pPr>
            <w:pStyle w:val="TOC3"/>
            <w:rPr>
              <w:rFonts w:eastAsiaTheme="minorEastAsia"/>
              <w:smallCaps w:val="0"/>
              <w:noProof/>
              <w:sz w:val="24"/>
              <w:szCs w:val="24"/>
              <w:lang w:eastAsia="en-GB"/>
            </w:rPr>
          </w:pPr>
          <w:hyperlink w:anchor="_Toc202627097" w:history="1">
            <w:r w:rsidR="00D72A0F" w:rsidRPr="00C57311">
              <w:rPr>
                <w:rStyle w:val="Hyperlink"/>
                <w:noProof/>
              </w:rPr>
              <w:t>Key Research Findings</w:t>
            </w:r>
            <w:r w:rsidR="00D72A0F">
              <w:rPr>
                <w:noProof/>
                <w:webHidden/>
              </w:rPr>
              <w:tab/>
            </w:r>
            <w:r w:rsidR="00D72A0F">
              <w:rPr>
                <w:noProof/>
                <w:webHidden/>
              </w:rPr>
              <w:fldChar w:fldCharType="begin"/>
            </w:r>
            <w:r w:rsidR="00D72A0F">
              <w:rPr>
                <w:noProof/>
                <w:webHidden/>
              </w:rPr>
              <w:instrText xml:space="preserve"> PAGEREF _Toc202627097 \h </w:instrText>
            </w:r>
            <w:r w:rsidR="00D72A0F">
              <w:rPr>
                <w:noProof/>
                <w:webHidden/>
              </w:rPr>
            </w:r>
            <w:r w:rsidR="00D72A0F">
              <w:rPr>
                <w:noProof/>
                <w:webHidden/>
              </w:rPr>
              <w:fldChar w:fldCharType="separate"/>
            </w:r>
            <w:r w:rsidR="00D72A0F">
              <w:rPr>
                <w:noProof/>
                <w:webHidden/>
              </w:rPr>
              <w:t>45</w:t>
            </w:r>
            <w:r w:rsidR="00D72A0F">
              <w:rPr>
                <w:noProof/>
                <w:webHidden/>
              </w:rPr>
              <w:fldChar w:fldCharType="end"/>
            </w:r>
          </w:hyperlink>
        </w:p>
        <w:p w14:paraId="0557CF03" w14:textId="534F7C59" w:rsidR="00D72A0F" w:rsidRDefault="00451B35">
          <w:pPr>
            <w:pStyle w:val="TOC3"/>
            <w:rPr>
              <w:rFonts w:eastAsiaTheme="minorEastAsia"/>
              <w:smallCaps w:val="0"/>
              <w:noProof/>
              <w:sz w:val="24"/>
              <w:szCs w:val="24"/>
              <w:lang w:eastAsia="en-GB"/>
            </w:rPr>
          </w:pPr>
          <w:hyperlink w:anchor="_Toc202627098" w:history="1">
            <w:r w:rsidR="00D72A0F" w:rsidRPr="00C57311">
              <w:rPr>
                <w:rStyle w:val="Hyperlink"/>
                <w:noProof/>
              </w:rPr>
              <w:t>Conclusions from Research Strand 3</w:t>
            </w:r>
            <w:r w:rsidR="00D72A0F">
              <w:rPr>
                <w:noProof/>
                <w:webHidden/>
              </w:rPr>
              <w:tab/>
            </w:r>
            <w:r w:rsidR="00D72A0F">
              <w:rPr>
                <w:noProof/>
                <w:webHidden/>
              </w:rPr>
              <w:fldChar w:fldCharType="begin"/>
            </w:r>
            <w:r w:rsidR="00D72A0F">
              <w:rPr>
                <w:noProof/>
                <w:webHidden/>
              </w:rPr>
              <w:instrText xml:space="preserve"> PAGEREF _Toc202627098 \h </w:instrText>
            </w:r>
            <w:r w:rsidR="00D72A0F">
              <w:rPr>
                <w:noProof/>
                <w:webHidden/>
              </w:rPr>
            </w:r>
            <w:r w:rsidR="00D72A0F">
              <w:rPr>
                <w:noProof/>
                <w:webHidden/>
              </w:rPr>
              <w:fldChar w:fldCharType="separate"/>
            </w:r>
            <w:r w:rsidR="00D72A0F">
              <w:rPr>
                <w:noProof/>
                <w:webHidden/>
              </w:rPr>
              <w:t>52</w:t>
            </w:r>
            <w:r w:rsidR="00D72A0F">
              <w:rPr>
                <w:noProof/>
                <w:webHidden/>
              </w:rPr>
              <w:fldChar w:fldCharType="end"/>
            </w:r>
          </w:hyperlink>
        </w:p>
        <w:p w14:paraId="14AD66D5" w14:textId="74F2BB66" w:rsidR="00D72A0F" w:rsidRDefault="00451B35">
          <w:pPr>
            <w:pStyle w:val="TOC1"/>
            <w:rPr>
              <w:rFonts w:eastAsiaTheme="minorEastAsia"/>
              <w:b w:val="0"/>
              <w:bCs w:val="0"/>
              <w:caps w:val="0"/>
              <w:noProof/>
              <w:sz w:val="24"/>
              <w:szCs w:val="24"/>
              <w:u w:val="none"/>
              <w:lang w:eastAsia="en-GB"/>
            </w:rPr>
          </w:pPr>
          <w:hyperlink w:anchor="_Toc202627099" w:history="1">
            <w:r w:rsidR="00D72A0F" w:rsidRPr="00C57311">
              <w:rPr>
                <w:rStyle w:val="Hyperlink"/>
                <w:noProof/>
              </w:rPr>
              <w:t>Part 3: Current Institutional Picture from Statistical Perspectives</w:t>
            </w:r>
            <w:r w:rsidR="00D72A0F">
              <w:rPr>
                <w:noProof/>
                <w:webHidden/>
              </w:rPr>
              <w:tab/>
            </w:r>
            <w:r w:rsidR="00D72A0F">
              <w:rPr>
                <w:noProof/>
                <w:webHidden/>
              </w:rPr>
              <w:fldChar w:fldCharType="begin"/>
            </w:r>
            <w:r w:rsidR="00D72A0F">
              <w:rPr>
                <w:noProof/>
                <w:webHidden/>
              </w:rPr>
              <w:instrText xml:space="preserve"> PAGEREF _Toc202627099 \h </w:instrText>
            </w:r>
            <w:r w:rsidR="00D72A0F">
              <w:rPr>
                <w:noProof/>
                <w:webHidden/>
              </w:rPr>
            </w:r>
            <w:r w:rsidR="00D72A0F">
              <w:rPr>
                <w:noProof/>
                <w:webHidden/>
              </w:rPr>
              <w:fldChar w:fldCharType="separate"/>
            </w:r>
            <w:r w:rsidR="00D72A0F">
              <w:rPr>
                <w:noProof/>
                <w:webHidden/>
              </w:rPr>
              <w:t>55</w:t>
            </w:r>
            <w:r w:rsidR="00D72A0F">
              <w:rPr>
                <w:noProof/>
                <w:webHidden/>
              </w:rPr>
              <w:fldChar w:fldCharType="end"/>
            </w:r>
          </w:hyperlink>
        </w:p>
        <w:p w14:paraId="5B4EAA75" w14:textId="33E2619F" w:rsidR="00D72A0F" w:rsidRDefault="00451B35">
          <w:pPr>
            <w:pStyle w:val="TOC2"/>
            <w:tabs>
              <w:tab w:val="right" w:leader="dot" w:pos="9010"/>
            </w:tabs>
            <w:rPr>
              <w:rFonts w:eastAsiaTheme="minorEastAsia"/>
              <w:b w:val="0"/>
              <w:bCs w:val="0"/>
              <w:smallCaps w:val="0"/>
              <w:noProof/>
              <w:sz w:val="24"/>
              <w:szCs w:val="24"/>
              <w:lang w:eastAsia="en-GB"/>
            </w:rPr>
          </w:pPr>
          <w:hyperlink w:anchor="_Toc202627100" w:history="1">
            <w:r w:rsidR="00D72A0F" w:rsidRPr="00C57311">
              <w:rPr>
                <w:rStyle w:val="Hyperlink"/>
                <w:noProof/>
              </w:rPr>
              <w:t>Justifying a Disaggregation of Racial and Ethnic Minority Groups in Data Analysis</w:t>
            </w:r>
            <w:r w:rsidR="00D72A0F">
              <w:rPr>
                <w:noProof/>
                <w:webHidden/>
              </w:rPr>
              <w:tab/>
            </w:r>
            <w:r w:rsidR="00D72A0F">
              <w:rPr>
                <w:noProof/>
                <w:webHidden/>
              </w:rPr>
              <w:fldChar w:fldCharType="begin"/>
            </w:r>
            <w:r w:rsidR="00D72A0F">
              <w:rPr>
                <w:noProof/>
                <w:webHidden/>
              </w:rPr>
              <w:instrText xml:space="preserve"> PAGEREF _Toc202627100 \h </w:instrText>
            </w:r>
            <w:r w:rsidR="00D72A0F">
              <w:rPr>
                <w:noProof/>
                <w:webHidden/>
              </w:rPr>
            </w:r>
            <w:r w:rsidR="00D72A0F">
              <w:rPr>
                <w:noProof/>
                <w:webHidden/>
              </w:rPr>
              <w:fldChar w:fldCharType="separate"/>
            </w:r>
            <w:r w:rsidR="00D72A0F">
              <w:rPr>
                <w:noProof/>
                <w:webHidden/>
              </w:rPr>
              <w:t>56</w:t>
            </w:r>
            <w:r w:rsidR="00D72A0F">
              <w:rPr>
                <w:noProof/>
                <w:webHidden/>
              </w:rPr>
              <w:fldChar w:fldCharType="end"/>
            </w:r>
          </w:hyperlink>
        </w:p>
        <w:p w14:paraId="73EE235E" w14:textId="267D07C0" w:rsidR="00D72A0F" w:rsidRDefault="00451B35">
          <w:pPr>
            <w:pStyle w:val="TOC2"/>
            <w:tabs>
              <w:tab w:val="right" w:leader="dot" w:pos="9010"/>
            </w:tabs>
            <w:rPr>
              <w:rFonts w:eastAsiaTheme="minorEastAsia"/>
              <w:b w:val="0"/>
              <w:bCs w:val="0"/>
              <w:smallCaps w:val="0"/>
              <w:noProof/>
              <w:sz w:val="24"/>
              <w:szCs w:val="24"/>
              <w:lang w:eastAsia="en-GB"/>
            </w:rPr>
          </w:pPr>
          <w:hyperlink w:anchor="_Toc202627101" w:history="1">
            <w:r w:rsidR="00D72A0F" w:rsidRPr="00C57311">
              <w:rPr>
                <w:rStyle w:val="Hyperlink"/>
                <w:noProof/>
              </w:rPr>
              <w:t>Baseline of Comparisons</w:t>
            </w:r>
            <w:r w:rsidR="00D72A0F">
              <w:rPr>
                <w:noProof/>
                <w:webHidden/>
              </w:rPr>
              <w:tab/>
            </w:r>
            <w:r w:rsidR="00D72A0F">
              <w:rPr>
                <w:noProof/>
                <w:webHidden/>
              </w:rPr>
              <w:fldChar w:fldCharType="begin"/>
            </w:r>
            <w:r w:rsidR="00D72A0F">
              <w:rPr>
                <w:noProof/>
                <w:webHidden/>
              </w:rPr>
              <w:instrText xml:space="preserve"> PAGEREF _Toc202627101 \h </w:instrText>
            </w:r>
            <w:r w:rsidR="00D72A0F">
              <w:rPr>
                <w:noProof/>
                <w:webHidden/>
              </w:rPr>
            </w:r>
            <w:r w:rsidR="00D72A0F">
              <w:rPr>
                <w:noProof/>
                <w:webHidden/>
              </w:rPr>
              <w:fldChar w:fldCharType="separate"/>
            </w:r>
            <w:r w:rsidR="00D72A0F">
              <w:rPr>
                <w:noProof/>
                <w:webHidden/>
              </w:rPr>
              <w:t>58</w:t>
            </w:r>
            <w:r w:rsidR="00D72A0F">
              <w:rPr>
                <w:noProof/>
                <w:webHidden/>
              </w:rPr>
              <w:fldChar w:fldCharType="end"/>
            </w:r>
          </w:hyperlink>
        </w:p>
        <w:p w14:paraId="11CFB753" w14:textId="60FED067" w:rsidR="00D72A0F" w:rsidRDefault="00451B35">
          <w:pPr>
            <w:pStyle w:val="TOC2"/>
            <w:tabs>
              <w:tab w:val="right" w:leader="dot" w:pos="9010"/>
            </w:tabs>
            <w:rPr>
              <w:rFonts w:eastAsiaTheme="minorEastAsia"/>
              <w:b w:val="0"/>
              <w:bCs w:val="0"/>
              <w:smallCaps w:val="0"/>
              <w:noProof/>
              <w:sz w:val="24"/>
              <w:szCs w:val="24"/>
              <w:lang w:eastAsia="en-GB"/>
            </w:rPr>
          </w:pPr>
          <w:hyperlink w:anchor="_Toc202627102" w:history="1">
            <w:r w:rsidR="00D72A0F" w:rsidRPr="00C57311">
              <w:rPr>
                <w:rStyle w:val="Hyperlink"/>
                <w:noProof/>
              </w:rPr>
              <w:t>Staff Frequency Distribution and Cross-Tabulation</w:t>
            </w:r>
            <w:r w:rsidR="00D72A0F">
              <w:rPr>
                <w:noProof/>
                <w:webHidden/>
              </w:rPr>
              <w:tab/>
            </w:r>
            <w:r w:rsidR="00D72A0F">
              <w:rPr>
                <w:noProof/>
                <w:webHidden/>
              </w:rPr>
              <w:fldChar w:fldCharType="begin"/>
            </w:r>
            <w:r w:rsidR="00D72A0F">
              <w:rPr>
                <w:noProof/>
                <w:webHidden/>
              </w:rPr>
              <w:instrText xml:space="preserve"> PAGEREF _Toc202627102 \h </w:instrText>
            </w:r>
            <w:r w:rsidR="00D72A0F">
              <w:rPr>
                <w:noProof/>
                <w:webHidden/>
              </w:rPr>
            </w:r>
            <w:r w:rsidR="00D72A0F">
              <w:rPr>
                <w:noProof/>
                <w:webHidden/>
              </w:rPr>
              <w:fldChar w:fldCharType="separate"/>
            </w:r>
            <w:r w:rsidR="00D72A0F">
              <w:rPr>
                <w:noProof/>
                <w:webHidden/>
              </w:rPr>
              <w:t>58</w:t>
            </w:r>
            <w:r w:rsidR="00D72A0F">
              <w:rPr>
                <w:noProof/>
                <w:webHidden/>
              </w:rPr>
              <w:fldChar w:fldCharType="end"/>
            </w:r>
          </w:hyperlink>
        </w:p>
        <w:p w14:paraId="68B8AD76" w14:textId="22FEFAAC" w:rsidR="00D72A0F" w:rsidRDefault="00451B35">
          <w:pPr>
            <w:pStyle w:val="TOC2"/>
            <w:tabs>
              <w:tab w:val="right" w:leader="dot" w:pos="9010"/>
            </w:tabs>
            <w:rPr>
              <w:rFonts w:eastAsiaTheme="minorEastAsia"/>
              <w:b w:val="0"/>
              <w:bCs w:val="0"/>
              <w:smallCaps w:val="0"/>
              <w:noProof/>
              <w:sz w:val="24"/>
              <w:szCs w:val="24"/>
              <w:lang w:eastAsia="en-GB"/>
            </w:rPr>
          </w:pPr>
          <w:hyperlink w:anchor="_Toc202627103" w:history="1">
            <w:r w:rsidR="00D72A0F" w:rsidRPr="00C57311">
              <w:rPr>
                <w:rStyle w:val="Hyperlink"/>
                <w:noProof/>
              </w:rPr>
              <w:t>Staff Regression Analysis Results</w:t>
            </w:r>
            <w:r w:rsidR="00D72A0F">
              <w:rPr>
                <w:noProof/>
                <w:webHidden/>
              </w:rPr>
              <w:tab/>
            </w:r>
            <w:r w:rsidR="00D72A0F">
              <w:rPr>
                <w:noProof/>
                <w:webHidden/>
              </w:rPr>
              <w:fldChar w:fldCharType="begin"/>
            </w:r>
            <w:r w:rsidR="00D72A0F">
              <w:rPr>
                <w:noProof/>
                <w:webHidden/>
              </w:rPr>
              <w:instrText xml:space="preserve"> PAGEREF _Toc202627103 \h </w:instrText>
            </w:r>
            <w:r w:rsidR="00D72A0F">
              <w:rPr>
                <w:noProof/>
                <w:webHidden/>
              </w:rPr>
            </w:r>
            <w:r w:rsidR="00D72A0F">
              <w:rPr>
                <w:noProof/>
                <w:webHidden/>
              </w:rPr>
              <w:fldChar w:fldCharType="separate"/>
            </w:r>
            <w:r w:rsidR="00D72A0F">
              <w:rPr>
                <w:noProof/>
                <w:webHidden/>
              </w:rPr>
              <w:t>62</w:t>
            </w:r>
            <w:r w:rsidR="00D72A0F">
              <w:rPr>
                <w:noProof/>
                <w:webHidden/>
              </w:rPr>
              <w:fldChar w:fldCharType="end"/>
            </w:r>
          </w:hyperlink>
        </w:p>
        <w:p w14:paraId="0FE37E8F" w14:textId="6DAC451D" w:rsidR="00D72A0F" w:rsidRDefault="00451B35">
          <w:pPr>
            <w:pStyle w:val="TOC2"/>
            <w:tabs>
              <w:tab w:val="right" w:leader="dot" w:pos="9010"/>
            </w:tabs>
            <w:rPr>
              <w:rFonts w:eastAsiaTheme="minorEastAsia"/>
              <w:b w:val="0"/>
              <w:bCs w:val="0"/>
              <w:smallCaps w:val="0"/>
              <w:noProof/>
              <w:sz w:val="24"/>
              <w:szCs w:val="24"/>
              <w:lang w:eastAsia="en-GB"/>
            </w:rPr>
          </w:pPr>
          <w:hyperlink w:anchor="_Toc202627104" w:history="1">
            <w:r w:rsidR="00D72A0F" w:rsidRPr="00C57311">
              <w:rPr>
                <w:rStyle w:val="Hyperlink"/>
                <w:noProof/>
              </w:rPr>
              <w:t>Frequency Distribution and Cross-Tabulation for Current and Entrance Students</w:t>
            </w:r>
            <w:r w:rsidR="00D72A0F">
              <w:rPr>
                <w:noProof/>
                <w:webHidden/>
              </w:rPr>
              <w:tab/>
            </w:r>
            <w:r w:rsidR="00D72A0F">
              <w:rPr>
                <w:noProof/>
                <w:webHidden/>
              </w:rPr>
              <w:fldChar w:fldCharType="begin"/>
            </w:r>
            <w:r w:rsidR="00D72A0F">
              <w:rPr>
                <w:noProof/>
                <w:webHidden/>
              </w:rPr>
              <w:instrText xml:space="preserve"> PAGEREF _Toc202627104 \h </w:instrText>
            </w:r>
            <w:r w:rsidR="00D72A0F">
              <w:rPr>
                <w:noProof/>
                <w:webHidden/>
              </w:rPr>
            </w:r>
            <w:r w:rsidR="00D72A0F">
              <w:rPr>
                <w:noProof/>
                <w:webHidden/>
              </w:rPr>
              <w:fldChar w:fldCharType="separate"/>
            </w:r>
            <w:r w:rsidR="00D72A0F">
              <w:rPr>
                <w:noProof/>
                <w:webHidden/>
              </w:rPr>
              <w:t>64</w:t>
            </w:r>
            <w:r w:rsidR="00D72A0F">
              <w:rPr>
                <w:noProof/>
                <w:webHidden/>
              </w:rPr>
              <w:fldChar w:fldCharType="end"/>
            </w:r>
          </w:hyperlink>
        </w:p>
        <w:p w14:paraId="257ADCA3" w14:textId="47498565" w:rsidR="00D72A0F" w:rsidRDefault="00451B35">
          <w:pPr>
            <w:pStyle w:val="TOC2"/>
            <w:tabs>
              <w:tab w:val="right" w:leader="dot" w:pos="9010"/>
            </w:tabs>
            <w:rPr>
              <w:rFonts w:eastAsiaTheme="minorEastAsia"/>
              <w:b w:val="0"/>
              <w:bCs w:val="0"/>
              <w:smallCaps w:val="0"/>
              <w:noProof/>
              <w:sz w:val="24"/>
              <w:szCs w:val="24"/>
              <w:lang w:eastAsia="en-GB"/>
            </w:rPr>
          </w:pPr>
          <w:hyperlink w:anchor="_Toc202627105" w:history="1">
            <w:r w:rsidR="00D72A0F" w:rsidRPr="00C57311">
              <w:rPr>
                <w:rStyle w:val="Hyperlink"/>
                <w:noProof/>
              </w:rPr>
              <w:t>Discussion</w:t>
            </w:r>
            <w:r w:rsidR="00D72A0F">
              <w:rPr>
                <w:noProof/>
                <w:webHidden/>
              </w:rPr>
              <w:tab/>
            </w:r>
            <w:r w:rsidR="00D72A0F">
              <w:rPr>
                <w:noProof/>
                <w:webHidden/>
              </w:rPr>
              <w:fldChar w:fldCharType="begin"/>
            </w:r>
            <w:r w:rsidR="00D72A0F">
              <w:rPr>
                <w:noProof/>
                <w:webHidden/>
              </w:rPr>
              <w:instrText xml:space="preserve"> PAGEREF _Toc202627105 \h </w:instrText>
            </w:r>
            <w:r w:rsidR="00D72A0F">
              <w:rPr>
                <w:noProof/>
                <w:webHidden/>
              </w:rPr>
            </w:r>
            <w:r w:rsidR="00D72A0F">
              <w:rPr>
                <w:noProof/>
                <w:webHidden/>
              </w:rPr>
              <w:fldChar w:fldCharType="separate"/>
            </w:r>
            <w:r w:rsidR="00D72A0F">
              <w:rPr>
                <w:noProof/>
                <w:webHidden/>
              </w:rPr>
              <w:t>69</w:t>
            </w:r>
            <w:r w:rsidR="00D72A0F">
              <w:rPr>
                <w:noProof/>
                <w:webHidden/>
              </w:rPr>
              <w:fldChar w:fldCharType="end"/>
            </w:r>
          </w:hyperlink>
        </w:p>
        <w:p w14:paraId="756F24E4" w14:textId="1855F84B" w:rsidR="00D72A0F" w:rsidRDefault="00451B35">
          <w:pPr>
            <w:pStyle w:val="TOC2"/>
            <w:tabs>
              <w:tab w:val="right" w:leader="dot" w:pos="9010"/>
            </w:tabs>
            <w:rPr>
              <w:rFonts w:eastAsiaTheme="minorEastAsia"/>
              <w:b w:val="0"/>
              <w:bCs w:val="0"/>
              <w:smallCaps w:val="0"/>
              <w:noProof/>
              <w:sz w:val="24"/>
              <w:szCs w:val="24"/>
              <w:lang w:eastAsia="en-GB"/>
            </w:rPr>
          </w:pPr>
          <w:hyperlink w:anchor="_Toc202627106" w:history="1">
            <w:r w:rsidR="00D72A0F" w:rsidRPr="00C57311">
              <w:rPr>
                <w:rStyle w:val="Hyperlink"/>
                <w:noProof/>
              </w:rPr>
              <w:t>Under-Representation and the Cost to Institutional Progress on Diversification and Decolonisation</w:t>
            </w:r>
            <w:r w:rsidR="00D72A0F">
              <w:rPr>
                <w:noProof/>
                <w:webHidden/>
              </w:rPr>
              <w:tab/>
            </w:r>
            <w:r w:rsidR="00D72A0F">
              <w:rPr>
                <w:noProof/>
                <w:webHidden/>
              </w:rPr>
              <w:fldChar w:fldCharType="begin"/>
            </w:r>
            <w:r w:rsidR="00D72A0F">
              <w:rPr>
                <w:noProof/>
                <w:webHidden/>
              </w:rPr>
              <w:instrText xml:space="preserve"> PAGEREF _Toc202627106 \h </w:instrText>
            </w:r>
            <w:r w:rsidR="00D72A0F">
              <w:rPr>
                <w:noProof/>
                <w:webHidden/>
              </w:rPr>
            </w:r>
            <w:r w:rsidR="00D72A0F">
              <w:rPr>
                <w:noProof/>
                <w:webHidden/>
              </w:rPr>
              <w:fldChar w:fldCharType="separate"/>
            </w:r>
            <w:r w:rsidR="00D72A0F">
              <w:rPr>
                <w:noProof/>
                <w:webHidden/>
              </w:rPr>
              <w:t>71</w:t>
            </w:r>
            <w:r w:rsidR="00D72A0F">
              <w:rPr>
                <w:noProof/>
                <w:webHidden/>
              </w:rPr>
              <w:fldChar w:fldCharType="end"/>
            </w:r>
          </w:hyperlink>
        </w:p>
        <w:p w14:paraId="43E72A33" w14:textId="1F3FEE48" w:rsidR="00D72A0F" w:rsidRDefault="00451B35">
          <w:pPr>
            <w:pStyle w:val="TOC1"/>
            <w:rPr>
              <w:rFonts w:eastAsiaTheme="minorEastAsia"/>
              <w:b w:val="0"/>
              <w:bCs w:val="0"/>
              <w:caps w:val="0"/>
              <w:noProof/>
              <w:sz w:val="24"/>
              <w:szCs w:val="24"/>
              <w:u w:val="none"/>
              <w:lang w:eastAsia="en-GB"/>
            </w:rPr>
          </w:pPr>
          <w:hyperlink w:anchor="_Toc202627107" w:history="1">
            <w:r w:rsidR="00D72A0F" w:rsidRPr="00C57311">
              <w:rPr>
                <w:rStyle w:val="Hyperlink"/>
                <w:noProof/>
              </w:rPr>
              <w:t>Part 4: Current Situation of Race and Racism</w:t>
            </w:r>
            <w:r w:rsidR="00D72A0F">
              <w:rPr>
                <w:noProof/>
                <w:webHidden/>
              </w:rPr>
              <w:tab/>
            </w:r>
            <w:r w:rsidR="00D72A0F">
              <w:rPr>
                <w:noProof/>
                <w:webHidden/>
              </w:rPr>
              <w:fldChar w:fldCharType="begin"/>
            </w:r>
            <w:r w:rsidR="00D72A0F">
              <w:rPr>
                <w:noProof/>
                <w:webHidden/>
              </w:rPr>
              <w:instrText xml:space="preserve"> PAGEREF _Toc202627107 \h </w:instrText>
            </w:r>
            <w:r w:rsidR="00D72A0F">
              <w:rPr>
                <w:noProof/>
                <w:webHidden/>
              </w:rPr>
            </w:r>
            <w:r w:rsidR="00D72A0F">
              <w:rPr>
                <w:noProof/>
                <w:webHidden/>
              </w:rPr>
              <w:fldChar w:fldCharType="separate"/>
            </w:r>
            <w:r w:rsidR="00D72A0F">
              <w:rPr>
                <w:noProof/>
                <w:webHidden/>
              </w:rPr>
              <w:t>73</w:t>
            </w:r>
            <w:r w:rsidR="00D72A0F">
              <w:rPr>
                <w:noProof/>
                <w:webHidden/>
              </w:rPr>
              <w:fldChar w:fldCharType="end"/>
            </w:r>
          </w:hyperlink>
        </w:p>
        <w:p w14:paraId="164ACB9C" w14:textId="40849899" w:rsidR="00D72A0F" w:rsidRDefault="00451B35">
          <w:pPr>
            <w:pStyle w:val="TOC2"/>
            <w:tabs>
              <w:tab w:val="right" w:leader="dot" w:pos="9010"/>
            </w:tabs>
            <w:rPr>
              <w:rFonts w:eastAsiaTheme="minorEastAsia"/>
              <w:b w:val="0"/>
              <w:bCs w:val="0"/>
              <w:smallCaps w:val="0"/>
              <w:noProof/>
              <w:sz w:val="24"/>
              <w:szCs w:val="24"/>
              <w:lang w:eastAsia="en-GB"/>
            </w:rPr>
          </w:pPr>
          <w:hyperlink w:anchor="_Toc202627108" w:history="1">
            <w:r w:rsidR="00D72A0F" w:rsidRPr="00C57311">
              <w:rPr>
                <w:rStyle w:val="Hyperlink"/>
                <w:noProof/>
              </w:rPr>
              <w:t>Background: Racism in Higher Education</w:t>
            </w:r>
            <w:r w:rsidR="00D72A0F">
              <w:rPr>
                <w:noProof/>
                <w:webHidden/>
              </w:rPr>
              <w:tab/>
            </w:r>
            <w:r w:rsidR="00D72A0F">
              <w:rPr>
                <w:noProof/>
                <w:webHidden/>
              </w:rPr>
              <w:fldChar w:fldCharType="begin"/>
            </w:r>
            <w:r w:rsidR="00D72A0F">
              <w:rPr>
                <w:noProof/>
                <w:webHidden/>
              </w:rPr>
              <w:instrText xml:space="preserve"> PAGEREF _Toc202627108 \h </w:instrText>
            </w:r>
            <w:r w:rsidR="00D72A0F">
              <w:rPr>
                <w:noProof/>
                <w:webHidden/>
              </w:rPr>
            </w:r>
            <w:r w:rsidR="00D72A0F">
              <w:rPr>
                <w:noProof/>
                <w:webHidden/>
              </w:rPr>
              <w:fldChar w:fldCharType="separate"/>
            </w:r>
            <w:r w:rsidR="00D72A0F">
              <w:rPr>
                <w:noProof/>
                <w:webHidden/>
              </w:rPr>
              <w:t>73</w:t>
            </w:r>
            <w:r w:rsidR="00D72A0F">
              <w:rPr>
                <w:noProof/>
                <w:webHidden/>
              </w:rPr>
              <w:fldChar w:fldCharType="end"/>
            </w:r>
          </w:hyperlink>
        </w:p>
        <w:p w14:paraId="4E71D46C" w14:textId="38FFBAAB" w:rsidR="00D72A0F" w:rsidRDefault="00451B35">
          <w:pPr>
            <w:pStyle w:val="TOC3"/>
            <w:rPr>
              <w:rFonts w:eastAsiaTheme="minorEastAsia"/>
              <w:smallCaps w:val="0"/>
              <w:noProof/>
              <w:sz w:val="24"/>
              <w:szCs w:val="24"/>
              <w:lang w:eastAsia="en-GB"/>
            </w:rPr>
          </w:pPr>
          <w:hyperlink w:anchor="_Toc202627109" w:history="1">
            <w:r w:rsidR="00D72A0F" w:rsidRPr="00C57311">
              <w:rPr>
                <w:rStyle w:val="Hyperlink"/>
                <w:noProof/>
              </w:rPr>
              <w:t>Measures</w:t>
            </w:r>
            <w:r w:rsidR="00D72A0F">
              <w:rPr>
                <w:noProof/>
                <w:webHidden/>
              </w:rPr>
              <w:tab/>
            </w:r>
            <w:r w:rsidR="00D72A0F">
              <w:rPr>
                <w:noProof/>
                <w:webHidden/>
              </w:rPr>
              <w:fldChar w:fldCharType="begin"/>
            </w:r>
            <w:r w:rsidR="00D72A0F">
              <w:rPr>
                <w:noProof/>
                <w:webHidden/>
              </w:rPr>
              <w:instrText xml:space="preserve"> PAGEREF _Toc202627109 \h </w:instrText>
            </w:r>
            <w:r w:rsidR="00D72A0F">
              <w:rPr>
                <w:noProof/>
                <w:webHidden/>
              </w:rPr>
            </w:r>
            <w:r w:rsidR="00D72A0F">
              <w:rPr>
                <w:noProof/>
                <w:webHidden/>
              </w:rPr>
              <w:fldChar w:fldCharType="separate"/>
            </w:r>
            <w:r w:rsidR="00D72A0F">
              <w:rPr>
                <w:noProof/>
                <w:webHidden/>
              </w:rPr>
              <w:t>75</w:t>
            </w:r>
            <w:r w:rsidR="00D72A0F">
              <w:rPr>
                <w:noProof/>
                <w:webHidden/>
              </w:rPr>
              <w:fldChar w:fldCharType="end"/>
            </w:r>
          </w:hyperlink>
        </w:p>
        <w:p w14:paraId="7FEF0846" w14:textId="00A17507" w:rsidR="00D72A0F" w:rsidRDefault="00451B35">
          <w:pPr>
            <w:pStyle w:val="TOC3"/>
            <w:rPr>
              <w:rFonts w:eastAsiaTheme="minorEastAsia"/>
              <w:smallCaps w:val="0"/>
              <w:noProof/>
              <w:sz w:val="24"/>
              <w:szCs w:val="24"/>
              <w:lang w:eastAsia="en-GB"/>
            </w:rPr>
          </w:pPr>
          <w:hyperlink w:anchor="_Toc202627110" w:history="1">
            <w:r w:rsidR="00D72A0F" w:rsidRPr="00C57311">
              <w:rPr>
                <w:rStyle w:val="Hyperlink"/>
                <w:noProof/>
              </w:rPr>
              <w:t>Data collection</w:t>
            </w:r>
            <w:r w:rsidR="00D72A0F">
              <w:rPr>
                <w:noProof/>
                <w:webHidden/>
              </w:rPr>
              <w:tab/>
            </w:r>
            <w:r w:rsidR="00D72A0F">
              <w:rPr>
                <w:noProof/>
                <w:webHidden/>
              </w:rPr>
              <w:fldChar w:fldCharType="begin"/>
            </w:r>
            <w:r w:rsidR="00D72A0F">
              <w:rPr>
                <w:noProof/>
                <w:webHidden/>
              </w:rPr>
              <w:instrText xml:space="preserve"> PAGEREF _Toc202627110 \h </w:instrText>
            </w:r>
            <w:r w:rsidR="00D72A0F">
              <w:rPr>
                <w:noProof/>
                <w:webHidden/>
              </w:rPr>
            </w:r>
            <w:r w:rsidR="00D72A0F">
              <w:rPr>
                <w:noProof/>
                <w:webHidden/>
              </w:rPr>
              <w:fldChar w:fldCharType="separate"/>
            </w:r>
            <w:r w:rsidR="00D72A0F">
              <w:rPr>
                <w:noProof/>
                <w:webHidden/>
              </w:rPr>
              <w:t>76</w:t>
            </w:r>
            <w:r w:rsidR="00D72A0F">
              <w:rPr>
                <w:noProof/>
                <w:webHidden/>
              </w:rPr>
              <w:fldChar w:fldCharType="end"/>
            </w:r>
          </w:hyperlink>
        </w:p>
        <w:p w14:paraId="101D6BDB" w14:textId="757BBC74" w:rsidR="00D72A0F" w:rsidRDefault="00451B35">
          <w:pPr>
            <w:pStyle w:val="TOC2"/>
            <w:tabs>
              <w:tab w:val="right" w:leader="dot" w:pos="9010"/>
            </w:tabs>
            <w:rPr>
              <w:rFonts w:eastAsiaTheme="minorEastAsia"/>
              <w:b w:val="0"/>
              <w:bCs w:val="0"/>
              <w:smallCaps w:val="0"/>
              <w:noProof/>
              <w:sz w:val="24"/>
              <w:szCs w:val="24"/>
              <w:lang w:eastAsia="en-GB"/>
            </w:rPr>
          </w:pPr>
          <w:hyperlink w:anchor="_Toc202627111" w:history="1">
            <w:r w:rsidR="00D72A0F" w:rsidRPr="00C57311">
              <w:rPr>
                <w:rStyle w:val="Hyperlink"/>
                <w:noProof/>
              </w:rPr>
              <w:t>Key Research Findings</w:t>
            </w:r>
            <w:r w:rsidR="00D72A0F">
              <w:rPr>
                <w:noProof/>
                <w:webHidden/>
              </w:rPr>
              <w:tab/>
            </w:r>
            <w:r w:rsidR="00D72A0F">
              <w:rPr>
                <w:noProof/>
                <w:webHidden/>
              </w:rPr>
              <w:fldChar w:fldCharType="begin"/>
            </w:r>
            <w:r w:rsidR="00D72A0F">
              <w:rPr>
                <w:noProof/>
                <w:webHidden/>
              </w:rPr>
              <w:instrText xml:space="preserve"> PAGEREF _Toc202627111 \h </w:instrText>
            </w:r>
            <w:r w:rsidR="00D72A0F">
              <w:rPr>
                <w:noProof/>
                <w:webHidden/>
              </w:rPr>
            </w:r>
            <w:r w:rsidR="00D72A0F">
              <w:rPr>
                <w:noProof/>
                <w:webHidden/>
              </w:rPr>
              <w:fldChar w:fldCharType="separate"/>
            </w:r>
            <w:r w:rsidR="00D72A0F">
              <w:rPr>
                <w:noProof/>
                <w:webHidden/>
              </w:rPr>
              <w:t>77</w:t>
            </w:r>
            <w:r w:rsidR="00D72A0F">
              <w:rPr>
                <w:noProof/>
                <w:webHidden/>
              </w:rPr>
              <w:fldChar w:fldCharType="end"/>
            </w:r>
          </w:hyperlink>
        </w:p>
        <w:p w14:paraId="53BF5ECA" w14:textId="52FE5F03" w:rsidR="00D72A0F" w:rsidRDefault="00451B35">
          <w:pPr>
            <w:pStyle w:val="TOC3"/>
            <w:rPr>
              <w:rFonts w:eastAsiaTheme="minorEastAsia"/>
              <w:smallCaps w:val="0"/>
              <w:noProof/>
              <w:sz w:val="24"/>
              <w:szCs w:val="24"/>
              <w:lang w:eastAsia="en-GB"/>
            </w:rPr>
          </w:pPr>
          <w:hyperlink w:anchor="_Toc202627112" w:history="1">
            <w:r w:rsidR="00D72A0F" w:rsidRPr="00C57311">
              <w:rPr>
                <w:rStyle w:val="Hyperlink"/>
                <w:noProof/>
              </w:rPr>
              <w:t>Questionnaire 1: Understanding the Present Racial Climate in the University of Edinburgh</w:t>
            </w:r>
            <w:r w:rsidR="00D72A0F">
              <w:rPr>
                <w:noProof/>
                <w:webHidden/>
              </w:rPr>
              <w:tab/>
            </w:r>
            <w:r w:rsidR="00D72A0F">
              <w:rPr>
                <w:noProof/>
                <w:webHidden/>
              </w:rPr>
              <w:fldChar w:fldCharType="begin"/>
            </w:r>
            <w:r w:rsidR="00D72A0F">
              <w:rPr>
                <w:noProof/>
                <w:webHidden/>
              </w:rPr>
              <w:instrText xml:space="preserve"> PAGEREF _Toc202627112 \h </w:instrText>
            </w:r>
            <w:r w:rsidR="00D72A0F">
              <w:rPr>
                <w:noProof/>
                <w:webHidden/>
              </w:rPr>
            </w:r>
            <w:r w:rsidR="00D72A0F">
              <w:rPr>
                <w:noProof/>
                <w:webHidden/>
              </w:rPr>
              <w:fldChar w:fldCharType="separate"/>
            </w:r>
            <w:r w:rsidR="00D72A0F">
              <w:rPr>
                <w:noProof/>
                <w:webHidden/>
              </w:rPr>
              <w:t>77</w:t>
            </w:r>
            <w:r w:rsidR="00D72A0F">
              <w:rPr>
                <w:noProof/>
                <w:webHidden/>
              </w:rPr>
              <w:fldChar w:fldCharType="end"/>
            </w:r>
          </w:hyperlink>
        </w:p>
        <w:p w14:paraId="6FA447FE" w14:textId="3FCC87C3" w:rsidR="00D72A0F" w:rsidRDefault="00451B35">
          <w:pPr>
            <w:pStyle w:val="TOC3"/>
            <w:rPr>
              <w:rFonts w:eastAsiaTheme="minorEastAsia"/>
              <w:smallCaps w:val="0"/>
              <w:noProof/>
              <w:sz w:val="24"/>
              <w:szCs w:val="24"/>
              <w:lang w:eastAsia="en-GB"/>
            </w:rPr>
          </w:pPr>
          <w:hyperlink w:anchor="_Toc202627113" w:history="1">
            <w:r w:rsidR="00D72A0F" w:rsidRPr="00C57311">
              <w:rPr>
                <w:rStyle w:val="Hyperlink"/>
                <w:noProof/>
              </w:rPr>
              <w:t>Questionnaire 2: Understanding People’s Experiences of Racial Discrimination</w:t>
            </w:r>
            <w:r w:rsidR="00D72A0F">
              <w:rPr>
                <w:noProof/>
                <w:webHidden/>
              </w:rPr>
              <w:tab/>
            </w:r>
            <w:r w:rsidR="00D72A0F">
              <w:rPr>
                <w:noProof/>
                <w:webHidden/>
              </w:rPr>
              <w:fldChar w:fldCharType="begin"/>
            </w:r>
            <w:r w:rsidR="00D72A0F">
              <w:rPr>
                <w:noProof/>
                <w:webHidden/>
              </w:rPr>
              <w:instrText xml:space="preserve"> PAGEREF _Toc202627113 \h </w:instrText>
            </w:r>
            <w:r w:rsidR="00D72A0F">
              <w:rPr>
                <w:noProof/>
                <w:webHidden/>
              </w:rPr>
            </w:r>
            <w:r w:rsidR="00D72A0F">
              <w:rPr>
                <w:noProof/>
                <w:webHidden/>
              </w:rPr>
              <w:fldChar w:fldCharType="separate"/>
            </w:r>
            <w:r w:rsidR="00D72A0F">
              <w:rPr>
                <w:noProof/>
                <w:webHidden/>
              </w:rPr>
              <w:t>88</w:t>
            </w:r>
            <w:r w:rsidR="00D72A0F">
              <w:rPr>
                <w:noProof/>
                <w:webHidden/>
              </w:rPr>
              <w:fldChar w:fldCharType="end"/>
            </w:r>
          </w:hyperlink>
        </w:p>
        <w:p w14:paraId="0C6AC899" w14:textId="079616CF" w:rsidR="00D72A0F" w:rsidRDefault="00451B35">
          <w:pPr>
            <w:pStyle w:val="TOC1"/>
            <w:rPr>
              <w:rFonts w:eastAsiaTheme="minorEastAsia"/>
              <w:b w:val="0"/>
              <w:bCs w:val="0"/>
              <w:caps w:val="0"/>
              <w:noProof/>
              <w:sz w:val="24"/>
              <w:szCs w:val="24"/>
              <w:u w:val="none"/>
              <w:lang w:eastAsia="en-GB"/>
            </w:rPr>
          </w:pPr>
          <w:hyperlink w:anchor="_Toc202627114" w:history="1">
            <w:r w:rsidR="00D72A0F" w:rsidRPr="00C57311">
              <w:rPr>
                <w:rStyle w:val="Hyperlink"/>
                <w:noProof/>
              </w:rPr>
              <w:t>Part 5: Community Engagement</w:t>
            </w:r>
            <w:r w:rsidR="00D72A0F">
              <w:rPr>
                <w:noProof/>
                <w:webHidden/>
              </w:rPr>
              <w:tab/>
            </w:r>
            <w:r w:rsidR="00D72A0F">
              <w:rPr>
                <w:noProof/>
                <w:webHidden/>
              </w:rPr>
              <w:fldChar w:fldCharType="begin"/>
            </w:r>
            <w:r w:rsidR="00D72A0F">
              <w:rPr>
                <w:noProof/>
                <w:webHidden/>
              </w:rPr>
              <w:instrText xml:space="preserve"> PAGEREF _Toc202627114 \h </w:instrText>
            </w:r>
            <w:r w:rsidR="00D72A0F">
              <w:rPr>
                <w:noProof/>
                <w:webHidden/>
              </w:rPr>
            </w:r>
            <w:r w:rsidR="00D72A0F">
              <w:rPr>
                <w:noProof/>
                <w:webHidden/>
              </w:rPr>
              <w:fldChar w:fldCharType="separate"/>
            </w:r>
            <w:r w:rsidR="00D72A0F">
              <w:rPr>
                <w:noProof/>
                <w:webHidden/>
              </w:rPr>
              <w:t>97</w:t>
            </w:r>
            <w:r w:rsidR="00D72A0F">
              <w:rPr>
                <w:noProof/>
                <w:webHidden/>
              </w:rPr>
              <w:fldChar w:fldCharType="end"/>
            </w:r>
          </w:hyperlink>
        </w:p>
        <w:p w14:paraId="779E49A7" w14:textId="26BB2202" w:rsidR="00D72A0F" w:rsidRDefault="00451B35">
          <w:pPr>
            <w:pStyle w:val="TOC2"/>
            <w:tabs>
              <w:tab w:val="right" w:leader="dot" w:pos="9010"/>
            </w:tabs>
            <w:rPr>
              <w:rFonts w:eastAsiaTheme="minorEastAsia"/>
              <w:b w:val="0"/>
              <w:bCs w:val="0"/>
              <w:smallCaps w:val="0"/>
              <w:noProof/>
              <w:sz w:val="24"/>
              <w:szCs w:val="24"/>
              <w:lang w:eastAsia="en-GB"/>
            </w:rPr>
          </w:pPr>
          <w:hyperlink w:anchor="_Toc202627115" w:history="1">
            <w:r w:rsidR="00D72A0F" w:rsidRPr="00C57311">
              <w:rPr>
                <w:rStyle w:val="Hyperlink"/>
                <w:noProof/>
              </w:rPr>
              <w:t>Methods</w:t>
            </w:r>
            <w:r w:rsidR="00D72A0F">
              <w:rPr>
                <w:noProof/>
                <w:webHidden/>
              </w:rPr>
              <w:tab/>
            </w:r>
            <w:r w:rsidR="00D72A0F">
              <w:rPr>
                <w:noProof/>
                <w:webHidden/>
              </w:rPr>
              <w:fldChar w:fldCharType="begin"/>
            </w:r>
            <w:r w:rsidR="00D72A0F">
              <w:rPr>
                <w:noProof/>
                <w:webHidden/>
              </w:rPr>
              <w:instrText xml:space="preserve"> PAGEREF _Toc202627115 \h </w:instrText>
            </w:r>
            <w:r w:rsidR="00D72A0F">
              <w:rPr>
                <w:noProof/>
                <w:webHidden/>
              </w:rPr>
            </w:r>
            <w:r w:rsidR="00D72A0F">
              <w:rPr>
                <w:noProof/>
                <w:webHidden/>
              </w:rPr>
              <w:fldChar w:fldCharType="separate"/>
            </w:r>
            <w:r w:rsidR="00D72A0F">
              <w:rPr>
                <w:noProof/>
                <w:webHidden/>
              </w:rPr>
              <w:t>97</w:t>
            </w:r>
            <w:r w:rsidR="00D72A0F">
              <w:rPr>
                <w:noProof/>
                <w:webHidden/>
              </w:rPr>
              <w:fldChar w:fldCharType="end"/>
            </w:r>
          </w:hyperlink>
        </w:p>
        <w:p w14:paraId="0E7C9517" w14:textId="51642E8C" w:rsidR="00D72A0F" w:rsidRDefault="00451B35">
          <w:pPr>
            <w:pStyle w:val="TOC2"/>
            <w:tabs>
              <w:tab w:val="right" w:leader="dot" w:pos="9010"/>
            </w:tabs>
            <w:rPr>
              <w:rFonts w:eastAsiaTheme="minorEastAsia"/>
              <w:b w:val="0"/>
              <w:bCs w:val="0"/>
              <w:smallCaps w:val="0"/>
              <w:noProof/>
              <w:sz w:val="24"/>
              <w:szCs w:val="24"/>
              <w:lang w:eastAsia="en-GB"/>
            </w:rPr>
          </w:pPr>
          <w:hyperlink w:anchor="_Toc202627116" w:history="1">
            <w:r w:rsidR="00D72A0F" w:rsidRPr="00C57311">
              <w:rPr>
                <w:rStyle w:val="Hyperlink"/>
                <w:noProof/>
              </w:rPr>
              <w:t>The Process of Engagement</w:t>
            </w:r>
            <w:r w:rsidR="00D72A0F">
              <w:rPr>
                <w:noProof/>
                <w:webHidden/>
              </w:rPr>
              <w:tab/>
            </w:r>
            <w:r w:rsidR="00D72A0F">
              <w:rPr>
                <w:noProof/>
                <w:webHidden/>
              </w:rPr>
              <w:fldChar w:fldCharType="begin"/>
            </w:r>
            <w:r w:rsidR="00D72A0F">
              <w:rPr>
                <w:noProof/>
                <w:webHidden/>
              </w:rPr>
              <w:instrText xml:space="preserve"> PAGEREF _Toc202627116 \h </w:instrText>
            </w:r>
            <w:r w:rsidR="00D72A0F">
              <w:rPr>
                <w:noProof/>
                <w:webHidden/>
              </w:rPr>
            </w:r>
            <w:r w:rsidR="00D72A0F">
              <w:rPr>
                <w:noProof/>
                <w:webHidden/>
              </w:rPr>
              <w:fldChar w:fldCharType="separate"/>
            </w:r>
            <w:r w:rsidR="00D72A0F">
              <w:rPr>
                <w:noProof/>
                <w:webHidden/>
              </w:rPr>
              <w:t>98</w:t>
            </w:r>
            <w:r w:rsidR="00D72A0F">
              <w:rPr>
                <w:noProof/>
                <w:webHidden/>
              </w:rPr>
              <w:fldChar w:fldCharType="end"/>
            </w:r>
          </w:hyperlink>
        </w:p>
        <w:p w14:paraId="5C704BC6" w14:textId="2A7992DC" w:rsidR="00D72A0F" w:rsidRDefault="00451B35">
          <w:pPr>
            <w:pStyle w:val="TOC3"/>
            <w:rPr>
              <w:rFonts w:eastAsiaTheme="minorEastAsia"/>
              <w:smallCaps w:val="0"/>
              <w:noProof/>
              <w:sz w:val="24"/>
              <w:szCs w:val="24"/>
              <w:lang w:eastAsia="en-GB"/>
            </w:rPr>
          </w:pPr>
          <w:hyperlink w:anchor="_Toc202627117" w:history="1">
            <w:r w:rsidR="00D72A0F" w:rsidRPr="00C57311">
              <w:rPr>
                <w:rStyle w:val="Hyperlink"/>
                <w:noProof/>
              </w:rPr>
              <w:t>Preparatory Stage: 2021–2022</w:t>
            </w:r>
            <w:r w:rsidR="00D72A0F">
              <w:rPr>
                <w:noProof/>
                <w:webHidden/>
              </w:rPr>
              <w:tab/>
            </w:r>
            <w:r w:rsidR="00D72A0F">
              <w:rPr>
                <w:noProof/>
                <w:webHidden/>
              </w:rPr>
              <w:fldChar w:fldCharType="begin"/>
            </w:r>
            <w:r w:rsidR="00D72A0F">
              <w:rPr>
                <w:noProof/>
                <w:webHidden/>
              </w:rPr>
              <w:instrText xml:space="preserve"> PAGEREF _Toc202627117 \h </w:instrText>
            </w:r>
            <w:r w:rsidR="00D72A0F">
              <w:rPr>
                <w:noProof/>
                <w:webHidden/>
              </w:rPr>
            </w:r>
            <w:r w:rsidR="00D72A0F">
              <w:rPr>
                <w:noProof/>
                <w:webHidden/>
              </w:rPr>
              <w:fldChar w:fldCharType="separate"/>
            </w:r>
            <w:r w:rsidR="00D72A0F">
              <w:rPr>
                <w:noProof/>
                <w:webHidden/>
              </w:rPr>
              <w:t>98</w:t>
            </w:r>
            <w:r w:rsidR="00D72A0F">
              <w:rPr>
                <w:noProof/>
                <w:webHidden/>
              </w:rPr>
              <w:fldChar w:fldCharType="end"/>
            </w:r>
          </w:hyperlink>
        </w:p>
        <w:p w14:paraId="5B17E284" w14:textId="4AD15609" w:rsidR="00D72A0F" w:rsidRDefault="00451B35">
          <w:pPr>
            <w:pStyle w:val="TOC3"/>
            <w:rPr>
              <w:rFonts w:eastAsiaTheme="minorEastAsia"/>
              <w:smallCaps w:val="0"/>
              <w:noProof/>
              <w:sz w:val="24"/>
              <w:szCs w:val="24"/>
              <w:lang w:eastAsia="en-GB"/>
            </w:rPr>
          </w:pPr>
          <w:hyperlink w:anchor="_Toc202627118" w:history="1">
            <w:r w:rsidR="00D72A0F" w:rsidRPr="00C57311">
              <w:rPr>
                <w:rStyle w:val="Hyperlink"/>
                <w:noProof/>
              </w:rPr>
              <w:t>Stage 1: September to December 2022</w:t>
            </w:r>
            <w:r w:rsidR="00D72A0F">
              <w:rPr>
                <w:noProof/>
                <w:webHidden/>
              </w:rPr>
              <w:tab/>
            </w:r>
            <w:r w:rsidR="00D72A0F">
              <w:rPr>
                <w:noProof/>
                <w:webHidden/>
              </w:rPr>
              <w:fldChar w:fldCharType="begin"/>
            </w:r>
            <w:r w:rsidR="00D72A0F">
              <w:rPr>
                <w:noProof/>
                <w:webHidden/>
              </w:rPr>
              <w:instrText xml:space="preserve"> PAGEREF _Toc202627118 \h </w:instrText>
            </w:r>
            <w:r w:rsidR="00D72A0F">
              <w:rPr>
                <w:noProof/>
                <w:webHidden/>
              </w:rPr>
            </w:r>
            <w:r w:rsidR="00D72A0F">
              <w:rPr>
                <w:noProof/>
                <w:webHidden/>
              </w:rPr>
              <w:fldChar w:fldCharType="separate"/>
            </w:r>
            <w:r w:rsidR="00D72A0F">
              <w:rPr>
                <w:noProof/>
                <w:webHidden/>
              </w:rPr>
              <w:t>98</w:t>
            </w:r>
            <w:r w:rsidR="00D72A0F">
              <w:rPr>
                <w:noProof/>
                <w:webHidden/>
              </w:rPr>
              <w:fldChar w:fldCharType="end"/>
            </w:r>
          </w:hyperlink>
        </w:p>
        <w:p w14:paraId="3E59B7E5" w14:textId="01273F85" w:rsidR="00D72A0F" w:rsidRDefault="00451B35">
          <w:pPr>
            <w:pStyle w:val="TOC3"/>
            <w:rPr>
              <w:rFonts w:eastAsiaTheme="minorEastAsia"/>
              <w:smallCaps w:val="0"/>
              <w:noProof/>
              <w:sz w:val="24"/>
              <w:szCs w:val="24"/>
              <w:lang w:eastAsia="en-GB"/>
            </w:rPr>
          </w:pPr>
          <w:hyperlink w:anchor="_Toc202627119" w:history="1">
            <w:r w:rsidR="00D72A0F" w:rsidRPr="00C57311">
              <w:rPr>
                <w:rStyle w:val="Hyperlink"/>
                <w:noProof/>
              </w:rPr>
              <w:t>Stage 2: January to April 2023</w:t>
            </w:r>
            <w:r w:rsidR="00D72A0F">
              <w:rPr>
                <w:noProof/>
                <w:webHidden/>
              </w:rPr>
              <w:tab/>
            </w:r>
            <w:r w:rsidR="00D72A0F">
              <w:rPr>
                <w:noProof/>
                <w:webHidden/>
              </w:rPr>
              <w:fldChar w:fldCharType="begin"/>
            </w:r>
            <w:r w:rsidR="00D72A0F">
              <w:rPr>
                <w:noProof/>
                <w:webHidden/>
              </w:rPr>
              <w:instrText xml:space="preserve"> PAGEREF _Toc202627119 \h </w:instrText>
            </w:r>
            <w:r w:rsidR="00D72A0F">
              <w:rPr>
                <w:noProof/>
                <w:webHidden/>
              </w:rPr>
            </w:r>
            <w:r w:rsidR="00D72A0F">
              <w:rPr>
                <w:noProof/>
                <w:webHidden/>
              </w:rPr>
              <w:fldChar w:fldCharType="separate"/>
            </w:r>
            <w:r w:rsidR="00D72A0F">
              <w:rPr>
                <w:noProof/>
                <w:webHidden/>
              </w:rPr>
              <w:t>99</w:t>
            </w:r>
            <w:r w:rsidR="00D72A0F">
              <w:rPr>
                <w:noProof/>
                <w:webHidden/>
              </w:rPr>
              <w:fldChar w:fldCharType="end"/>
            </w:r>
          </w:hyperlink>
        </w:p>
        <w:p w14:paraId="12F0B325" w14:textId="2DE94C52" w:rsidR="00D72A0F" w:rsidRDefault="00451B35">
          <w:pPr>
            <w:pStyle w:val="TOC3"/>
            <w:rPr>
              <w:rFonts w:eastAsiaTheme="minorEastAsia"/>
              <w:smallCaps w:val="0"/>
              <w:noProof/>
              <w:sz w:val="24"/>
              <w:szCs w:val="24"/>
              <w:lang w:eastAsia="en-GB"/>
            </w:rPr>
          </w:pPr>
          <w:hyperlink w:anchor="_Toc202627120" w:history="1">
            <w:r w:rsidR="00D72A0F" w:rsidRPr="00C57311">
              <w:rPr>
                <w:rStyle w:val="Hyperlink"/>
                <w:noProof/>
              </w:rPr>
              <w:t>Stage 3: May to September 2023</w:t>
            </w:r>
            <w:r w:rsidR="00D72A0F">
              <w:rPr>
                <w:noProof/>
                <w:webHidden/>
              </w:rPr>
              <w:tab/>
            </w:r>
            <w:r w:rsidR="00D72A0F">
              <w:rPr>
                <w:noProof/>
                <w:webHidden/>
              </w:rPr>
              <w:fldChar w:fldCharType="begin"/>
            </w:r>
            <w:r w:rsidR="00D72A0F">
              <w:rPr>
                <w:noProof/>
                <w:webHidden/>
              </w:rPr>
              <w:instrText xml:space="preserve"> PAGEREF _Toc202627120 \h </w:instrText>
            </w:r>
            <w:r w:rsidR="00D72A0F">
              <w:rPr>
                <w:noProof/>
                <w:webHidden/>
              </w:rPr>
            </w:r>
            <w:r w:rsidR="00D72A0F">
              <w:rPr>
                <w:noProof/>
                <w:webHidden/>
              </w:rPr>
              <w:fldChar w:fldCharType="separate"/>
            </w:r>
            <w:r w:rsidR="00D72A0F">
              <w:rPr>
                <w:noProof/>
                <w:webHidden/>
              </w:rPr>
              <w:t>100</w:t>
            </w:r>
            <w:r w:rsidR="00D72A0F">
              <w:rPr>
                <w:noProof/>
                <w:webHidden/>
              </w:rPr>
              <w:fldChar w:fldCharType="end"/>
            </w:r>
          </w:hyperlink>
        </w:p>
        <w:p w14:paraId="37155BF2" w14:textId="29A20D9B" w:rsidR="00D72A0F" w:rsidRDefault="00451B35">
          <w:pPr>
            <w:pStyle w:val="TOC3"/>
            <w:rPr>
              <w:rFonts w:eastAsiaTheme="minorEastAsia"/>
              <w:smallCaps w:val="0"/>
              <w:noProof/>
              <w:sz w:val="24"/>
              <w:szCs w:val="24"/>
              <w:lang w:eastAsia="en-GB"/>
            </w:rPr>
          </w:pPr>
          <w:hyperlink w:anchor="_Toc202627121" w:history="1">
            <w:r w:rsidR="00D72A0F" w:rsidRPr="00C57311">
              <w:rPr>
                <w:rStyle w:val="Hyperlink"/>
                <w:noProof/>
              </w:rPr>
              <w:t>Stage 4: October 2023 to December 2024</w:t>
            </w:r>
            <w:r w:rsidR="00D72A0F">
              <w:rPr>
                <w:noProof/>
                <w:webHidden/>
              </w:rPr>
              <w:tab/>
            </w:r>
            <w:r w:rsidR="00D72A0F">
              <w:rPr>
                <w:noProof/>
                <w:webHidden/>
              </w:rPr>
              <w:fldChar w:fldCharType="begin"/>
            </w:r>
            <w:r w:rsidR="00D72A0F">
              <w:rPr>
                <w:noProof/>
                <w:webHidden/>
              </w:rPr>
              <w:instrText xml:space="preserve"> PAGEREF _Toc202627121 \h </w:instrText>
            </w:r>
            <w:r w:rsidR="00D72A0F">
              <w:rPr>
                <w:noProof/>
                <w:webHidden/>
              </w:rPr>
            </w:r>
            <w:r w:rsidR="00D72A0F">
              <w:rPr>
                <w:noProof/>
                <w:webHidden/>
              </w:rPr>
              <w:fldChar w:fldCharType="separate"/>
            </w:r>
            <w:r w:rsidR="00D72A0F">
              <w:rPr>
                <w:noProof/>
                <w:webHidden/>
              </w:rPr>
              <w:t>101</w:t>
            </w:r>
            <w:r w:rsidR="00D72A0F">
              <w:rPr>
                <w:noProof/>
                <w:webHidden/>
              </w:rPr>
              <w:fldChar w:fldCharType="end"/>
            </w:r>
          </w:hyperlink>
        </w:p>
        <w:p w14:paraId="49753405" w14:textId="54E78B6C" w:rsidR="00D72A0F" w:rsidRDefault="00451B35">
          <w:pPr>
            <w:pStyle w:val="TOC1"/>
            <w:rPr>
              <w:rFonts w:eastAsiaTheme="minorEastAsia"/>
              <w:b w:val="0"/>
              <w:bCs w:val="0"/>
              <w:caps w:val="0"/>
              <w:noProof/>
              <w:sz w:val="24"/>
              <w:szCs w:val="24"/>
              <w:u w:val="none"/>
              <w:lang w:eastAsia="en-GB"/>
            </w:rPr>
          </w:pPr>
          <w:hyperlink w:anchor="_Toc202627122" w:history="1">
            <w:r w:rsidR="00D72A0F" w:rsidRPr="00C57311">
              <w:rPr>
                <w:rStyle w:val="Hyperlink"/>
                <w:noProof/>
              </w:rPr>
              <w:t>Part 6: Reparatory Justice Recommendations</w:t>
            </w:r>
            <w:r w:rsidR="00D72A0F">
              <w:rPr>
                <w:noProof/>
                <w:webHidden/>
              </w:rPr>
              <w:tab/>
            </w:r>
            <w:r w:rsidR="00D72A0F">
              <w:rPr>
                <w:noProof/>
                <w:webHidden/>
              </w:rPr>
              <w:fldChar w:fldCharType="begin"/>
            </w:r>
            <w:r w:rsidR="00D72A0F">
              <w:rPr>
                <w:noProof/>
                <w:webHidden/>
              </w:rPr>
              <w:instrText xml:space="preserve"> PAGEREF _Toc202627122 \h </w:instrText>
            </w:r>
            <w:r w:rsidR="00D72A0F">
              <w:rPr>
                <w:noProof/>
                <w:webHidden/>
              </w:rPr>
            </w:r>
            <w:r w:rsidR="00D72A0F">
              <w:rPr>
                <w:noProof/>
                <w:webHidden/>
              </w:rPr>
              <w:fldChar w:fldCharType="separate"/>
            </w:r>
            <w:r w:rsidR="00D72A0F">
              <w:rPr>
                <w:noProof/>
                <w:webHidden/>
              </w:rPr>
              <w:t>108</w:t>
            </w:r>
            <w:r w:rsidR="00D72A0F">
              <w:rPr>
                <w:noProof/>
                <w:webHidden/>
              </w:rPr>
              <w:fldChar w:fldCharType="end"/>
            </w:r>
          </w:hyperlink>
        </w:p>
        <w:p w14:paraId="30598D3E" w14:textId="144333BE" w:rsidR="00D72A0F" w:rsidRDefault="00451B35">
          <w:pPr>
            <w:pStyle w:val="TOC2"/>
            <w:tabs>
              <w:tab w:val="right" w:leader="dot" w:pos="9010"/>
            </w:tabs>
            <w:rPr>
              <w:rFonts w:eastAsiaTheme="minorEastAsia"/>
              <w:b w:val="0"/>
              <w:bCs w:val="0"/>
              <w:smallCaps w:val="0"/>
              <w:noProof/>
              <w:sz w:val="24"/>
              <w:szCs w:val="24"/>
              <w:lang w:eastAsia="en-GB"/>
            </w:rPr>
          </w:pPr>
          <w:hyperlink w:anchor="_Toc202627123" w:history="1">
            <w:r w:rsidR="00D72A0F" w:rsidRPr="00C57311">
              <w:rPr>
                <w:rStyle w:val="Hyperlink"/>
                <w:noProof/>
              </w:rPr>
              <w:t>Vision for a Research and Community Centre for the Study of Racisms, Colonialism and Anti-Black Violence</w:t>
            </w:r>
            <w:r w:rsidR="00D72A0F">
              <w:rPr>
                <w:noProof/>
                <w:webHidden/>
              </w:rPr>
              <w:tab/>
            </w:r>
            <w:r w:rsidR="00D72A0F">
              <w:rPr>
                <w:noProof/>
                <w:webHidden/>
              </w:rPr>
              <w:fldChar w:fldCharType="begin"/>
            </w:r>
            <w:r w:rsidR="00D72A0F">
              <w:rPr>
                <w:noProof/>
                <w:webHidden/>
              </w:rPr>
              <w:instrText xml:space="preserve"> PAGEREF _Toc202627123 \h </w:instrText>
            </w:r>
            <w:r w:rsidR="00D72A0F">
              <w:rPr>
                <w:noProof/>
                <w:webHidden/>
              </w:rPr>
            </w:r>
            <w:r w:rsidR="00D72A0F">
              <w:rPr>
                <w:noProof/>
                <w:webHidden/>
              </w:rPr>
              <w:fldChar w:fldCharType="separate"/>
            </w:r>
            <w:r w:rsidR="00D72A0F">
              <w:rPr>
                <w:noProof/>
                <w:webHidden/>
              </w:rPr>
              <w:t>108</w:t>
            </w:r>
            <w:r w:rsidR="00D72A0F">
              <w:rPr>
                <w:noProof/>
                <w:webHidden/>
              </w:rPr>
              <w:fldChar w:fldCharType="end"/>
            </w:r>
          </w:hyperlink>
        </w:p>
        <w:p w14:paraId="768C4CCD" w14:textId="27C4EA26" w:rsidR="00D72A0F" w:rsidRDefault="00451B35">
          <w:pPr>
            <w:pStyle w:val="TOC2"/>
            <w:tabs>
              <w:tab w:val="right" w:leader="dot" w:pos="9010"/>
            </w:tabs>
            <w:rPr>
              <w:rFonts w:eastAsiaTheme="minorEastAsia"/>
              <w:b w:val="0"/>
              <w:bCs w:val="0"/>
              <w:smallCaps w:val="0"/>
              <w:noProof/>
              <w:sz w:val="24"/>
              <w:szCs w:val="24"/>
              <w:lang w:eastAsia="en-GB"/>
            </w:rPr>
          </w:pPr>
          <w:hyperlink w:anchor="_Toc202627124" w:history="1">
            <w:r w:rsidR="00D72A0F" w:rsidRPr="00C57311">
              <w:rPr>
                <w:rStyle w:val="Hyperlink"/>
                <w:noProof/>
              </w:rPr>
              <w:t>Reparatory Justice Recommendations: Next Steps</w:t>
            </w:r>
            <w:r w:rsidR="00D72A0F">
              <w:rPr>
                <w:noProof/>
                <w:webHidden/>
              </w:rPr>
              <w:tab/>
            </w:r>
            <w:r w:rsidR="00D72A0F">
              <w:rPr>
                <w:noProof/>
                <w:webHidden/>
              </w:rPr>
              <w:fldChar w:fldCharType="begin"/>
            </w:r>
            <w:r w:rsidR="00D72A0F">
              <w:rPr>
                <w:noProof/>
                <w:webHidden/>
              </w:rPr>
              <w:instrText xml:space="preserve"> PAGEREF _Toc202627124 \h </w:instrText>
            </w:r>
            <w:r w:rsidR="00D72A0F">
              <w:rPr>
                <w:noProof/>
                <w:webHidden/>
              </w:rPr>
            </w:r>
            <w:r w:rsidR="00D72A0F">
              <w:rPr>
                <w:noProof/>
                <w:webHidden/>
              </w:rPr>
              <w:fldChar w:fldCharType="separate"/>
            </w:r>
            <w:r w:rsidR="00D72A0F">
              <w:rPr>
                <w:noProof/>
                <w:webHidden/>
              </w:rPr>
              <w:t>109</w:t>
            </w:r>
            <w:r w:rsidR="00D72A0F">
              <w:rPr>
                <w:noProof/>
                <w:webHidden/>
              </w:rPr>
              <w:fldChar w:fldCharType="end"/>
            </w:r>
          </w:hyperlink>
        </w:p>
        <w:p w14:paraId="7F6B4709" w14:textId="5EC8684E" w:rsidR="00D72A0F" w:rsidRDefault="00451B35">
          <w:pPr>
            <w:pStyle w:val="TOC1"/>
            <w:rPr>
              <w:rFonts w:eastAsiaTheme="minorEastAsia"/>
              <w:b w:val="0"/>
              <w:bCs w:val="0"/>
              <w:caps w:val="0"/>
              <w:noProof/>
              <w:sz w:val="24"/>
              <w:szCs w:val="24"/>
              <w:u w:val="none"/>
              <w:lang w:eastAsia="en-GB"/>
            </w:rPr>
          </w:pPr>
          <w:hyperlink w:anchor="_Toc202627125" w:history="1">
            <w:r w:rsidR="00D72A0F" w:rsidRPr="00C57311">
              <w:rPr>
                <w:rStyle w:val="Hyperlink"/>
                <w:noProof/>
              </w:rPr>
              <w:t>Bibliography</w:t>
            </w:r>
            <w:r w:rsidR="00D72A0F">
              <w:rPr>
                <w:noProof/>
                <w:webHidden/>
              </w:rPr>
              <w:tab/>
            </w:r>
            <w:r w:rsidR="00D72A0F">
              <w:rPr>
                <w:noProof/>
                <w:webHidden/>
              </w:rPr>
              <w:fldChar w:fldCharType="begin"/>
            </w:r>
            <w:r w:rsidR="00D72A0F">
              <w:rPr>
                <w:noProof/>
                <w:webHidden/>
              </w:rPr>
              <w:instrText xml:space="preserve"> PAGEREF _Toc202627125 \h </w:instrText>
            </w:r>
            <w:r w:rsidR="00D72A0F">
              <w:rPr>
                <w:noProof/>
                <w:webHidden/>
              </w:rPr>
            </w:r>
            <w:r w:rsidR="00D72A0F">
              <w:rPr>
                <w:noProof/>
                <w:webHidden/>
              </w:rPr>
              <w:fldChar w:fldCharType="separate"/>
            </w:r>
            <w:r w:rsidR="00D72A0F">
              <w:rPr>
                <w:noProof/>
                <w:webHidden/>
              </w:rPr>
              <w:t>122</w:t>
            </w:r>
            <w:r w:rsidR="00D72A0F">
              <w:rPr>
                <w:noProof/>
                <w:webHidden/>
              </w:rPr>
              <w:fldChar w:fldCharType="end"/>
            </w:r>
          </w:hyperlink>
        </w:p>
        <w:p w14:paraId="245285B2" w14:textId="51911A22" w:rsidR="008E288D" w:rsidRPr="0017357E" w:rsidRDefault="008E288D" w:rsidP="00016E93">
          <w:pPr>
            <w:spacing w:line="259" w:lineRule="auto"/>
            <w:rPr>
              <w:rFonts w:ascii="Calibri" w:hAnsi="Calibri" w:cs="Calibri"/>
              <w:color w:val="000000" w:themeColor="text1"/>
            </w:rPr>
          </w:pPr>
          <w:r w:rsidRPr="0017357E">
            <w:rPr>
              <w:rFonts w:ascii="Calibri" w:hAnsi="Calibri" w:cs="Calibri"/>
              <w:b/>
              <w:color w:val="000000" w:themeColor="text1"/>
              <w:shd w:val="clear" w:color="auto" w:fill="E6E6E6"/>
            </w:rPr>
            <w:fldChar w:fldCharType="end"/>
          </w:r>
        </w:p>
      </w:sdtContent>
    </w:sdt>
    <w:p w14:paraId="2A90FA54" w14:textId="531AB4B9" w:rsidR="5FFA8E4C" w:rsidRPr="0017357E" w:rsidRDefault="5FFA8E4C" w:rsidP="00016E93">
      <w:pPr>
        <w:spacing w:line="259" w:lineRule="auto"/>
        <w:rPr>
          <w:rFonts w:ascii="Calibri" w:hAnsi="Calibri" w:cs="Calibri"/>
          <w:color w:val="000000" w:themeColor="text1"/>
        </w:rPr>
      </w:pPr>
      <w:r w:rsidRPr="0017357E">
        <w:rPr>
          <w:rFonts w:ascii="Calibri" w:hAnsi="Calibri" w:cs="Calibri"/>
          <w:color w:val="000000" w:themeColor="text1"/>
        </w:rPr>
        <w:br w:type="page"/>
      </w:r>
    </w:p>
    <w:p w14:paraId="21D9D827" w14:textId="54C2421C" w:rsidR="003B182D" w:rsidRDefault="003B182D" w:rsidP="003B182D">
      <w:pPr>
        <w:pStyle w:val="Heading1"/>
      </w:pPr>
      <w:bookmarkStart w:id="0" w:name="_Toc190939395"/>
      <w:bookmarkStart w:id="1" w:name="_Toc202627078"/>
      <w:bookmarkStart w:id="2" w:name="_Toc157238062"/>
      <w:r>
        <w:lastRenderedPageBreak/>
        <w:t>Executive Summary</w:t>
      </w:r>
      <w:bookmarkEnd w:id="0"/>
      <w:bookmarkEnd w:id="1"/>
    </w:p>
    <w:p w14:paraId="25BE2F40" w14:textId="77777777" w:rsidR="003B182D" w:rsidRDefault="003B182D" w:rsidP="003B182D">
      <w:pPr>
        <w:spacing w:line="259" w:lineRule="auto"/>
        <w:jc w:val="both"/>
        <w:rPr>
          <w:rFonts w:ascii="Calibri" w:hAnsi="Calibri" w:cs="Calibri"/>
        </w:rPr>
      </w:pPr>
    </w:p>
    <w:p w14:paraId="5FD44CB1" w14:textId="77777777" w:rsidR="003B182D" w:rsidRDefault="003B182D" w:rsidP="003B182D">
      <w:pPr>
        <w:spacing w:line="259" w:lineRule="auto"/>
        <w:jc w:val="both"/>
        <w:rPr>
          <w:rFonts w:ascii="Calibri" w:hAnsi="Calibri" w:cs="Calibri"/>
        </w:rPr>
      </w:pPr>
    </w:p>
    <w:p w14:paraId="46A1B1C4" w14:textId="07861DC2" w:rsidR="00FB4415" w:rsidRDefault="00FB4415" w:rsidP="00057638">
      <w:pPr>
        <w:spacing w:line="259" w:lineRule="auto"/>
        <w:rPr>
          <w:rFonts w:ascii="Calibri" w:eastAsia="Calibri" w:hAnsi="Calibri" w:cs="Calibri"/>
          <w:color w:val="000000" w:themeColor="text1"/>
        </w:rPr>
      </w:pPr>
      <w:r w:rsidRPr="003A27B9">
        <w:rPr>
          <w:rFonts w:ascii="Calibri" w:eastAsia="Calibri" w:hAnsi="Calibri" w:cs="Calibri"/>
          <w:color w:val="000000" w:themeColor="text1"/>
        </w:rPr>
        <w:t>The University of Edinburgh is an ancient Scottish university whose legacy has been defined by the cultivation and nourishing of ideas, philosophical debates and medical innovations</w:t>
      </w:r>
      <w:r>
        <w:rPr>
          <w:rFonts w:ascii="Calibri" w:eastAsia="Calibri" w:hAnsi="Calibri" w:cs="Calibri"/>
          <w:color w:val="000000" w:themeColor="text1"/>
        </w:rPr>
        <w:t>. It has</w:t>
      </w:r>
      <w:r w:rsidRPr="003A27B9">
        <w:rPr>
          <w:rFonts w:ascii="Calibri" w:eastAsia="Calibri" w:hAnsi="Calibri" w:cs="Calibri"/>
          <w:color w:val="000000" w:themeColor="text1"/>
        </w:rPr>
        <w:t xml:space="preserve"> long been </w:t>
      </w:r>
      <w:r>
        <w:rPr>
          <w:rFonts w:ascii="Calibri" w:eastAsia="Calibri" w:hAnsi="Calibri" w:cs="Calibri"/>
          <w:color w:val="000000" w:themeColor="text1"/>
        </w:rPr>
        <w:t>honoured</w:t>
      </w:r>
      <w:r w:rsidRPr="003A27B9">
        <w:rPr>
          <w:rFonts w:ascii="Calibri" w:eastAsia="Calibri" w:hAnsi="Calibri" w:cs="Calibri"/>
          <w:color w:val="000000" w:themeColor="text1"/>
        </w:rPr>
        <w:t xml:space="preserve"> as the birthplace of the Scottish Enlightenment</w:t>
      </w:r>
      <w:r>
        <w:rPr>
          <w:rFonts w:ascii="Calibri" w:eastAsia="Calibri" w:hAnsi="Calibri" w:cs="Calibri"/>
          <w:color w:val="000000" w:themeColor="text1"/>
        </w:rPr>
        <w:t>; a period</w:t>
      </w:r>
      <w:r w:rsidRPr="003A27B9">
        <w:rPr>
          <w:rFonts w:ascii="Calibri" w:eastAsia="Calibri" w:hAnsi="Calibri" w:cs="Calibri"/>
          <w:color w:val="000000" w:themeColor="text1"/>
        </w:rPr>
        <w:t xml:space="preserve"> often celebrated for its ideas on human freedom, scientific inquiry, innovation and liberal democracy</w:t>
      </w:r>
      <w:r>
        <w:rPr>
          <w:rFonts w:ascii="Calibri" w:eastAsia="Calibri" w:hAnsi="Calibri" w:cs="Calibri"/>
          <w:color w:val="000000" w:themeColor="text1"/>
        </w:rPr>
        <w:t xml:space="preserve">. The purpose of this report, however, is to shine a light on some of the darker aspects of the University’s history, including those that were taking place at the very time that it was developing itself as a centre of Enlightenment thinking. It does this by investigating the University’s historical involvement in </w:t>
      </w:r>
      <w:r w:rsidRPr="003A27B9">
        <w:rPr>
          <w:rFonts w:ascii="Calibri" w:eastAsia="Calibri" w:hAnsi="Calibri" w:cs="Calibri"/>
          <w:color w:val="000000" w:themeColor="text1"/>
        </w:rPr>
        <w:t>enslavement and colonialism</w:t>
      </w:r>
      <w:r>
        <w:rPr>
          <w:rFonts w:ascii="Calibri" w:eastAsia="Calibri" w:hAnsi="Calibri" w:cs="Calibri"/>
          <w:color w:val="000000" w:themeColor="text1"/>
        </w:rPr>
        <w:t>, before considering what this means for our institution today</w:t>
      </w:r>
      <w:r w:rsidR="0065530F">
        <w:rPr>
          <w:rFonts w:ascii="Calibri" w:eastAsia="Calibri" w:hAnsi="Calibri" w:cs="Calibri"/>
          <w:color w:val="000000" w:themeColor="text1"/>
        </w:rPr>
        <w:t xml:space="preserve"> in</w:t>
      </w:r>
      <w:r>
        <w:rPr>
          <w:rFonts w:ascii="Calibri" w:eastAsia="Calibri" w:hAnsi="Calibri" w:cs="Calibri"/>
          <w:color w:val="000000" w:themeColor="text1"/>
        </w:rPr>
        <w:t xml:space="preserve"> </w:t>
      </w:r>
      <w:r w:rsidRPr="00703789">
        <w:rPr>
          <w:rFonts w:ascii="Calibri" w:eastAsia="Calibri" w:hAnsi="Calibri" w:cs="Calibri"/>
          <w:color w:val="000000" w:themeColor="text1"/>
        </w:rPr>
        <w:t xml:space="preserve">terms </w:t>
      </w:r>
      <w:r>
        <w:rPr>
          <w:rFonts w:ascii="Calibri" w:eastAsia="Calibri" w:hAnsi="Calibri" w:cs="Calibri"/>
          <w:color w:val="000000" w:themeColor="text1"/>
        </w:rPr>
        <w:t xml:space="preserve">both </w:t>
      </w:r>
      <w:r w:rsidR="0065530F">
        <w:rPr>
          <w:rFonts w:ascii="Calibri" w:eastAsia="Calibri" w:hAnsi="Calibri" w:cs="Calibri"/>
          <w:color w:val="000000" w:themeColor="text1"/>
        </w:rPr>
        <w:t xml:space="preserve">of </w:t>
      </w:r>
      <w:r>
        <w:rPr>
          <w:rFonts w:ascii="Calibri" w:eastAsia="Calibri" w:hAnsi="Calibri" w:cs="Calibri"/>
          <w:color w:val="000000" w:themeColor="text1"/>
        </w:rPr>
        <w:t xml:space="preserve">racial legacies and </w:t>
      </w:r>
      <w:r w:rsidR="0065530F">
        <w:rPr>
          <w:rFonts w:ascii="Calibri" w:eastAsia="Calibri" w:hAnsi="Calibri" w:cs="Calibri"/>
          <w:color w:val="000000" w:themeColor="text1"/>
        </w:rPr>
        <w:t xml:space="preserve">of </w:t>
      </w:r>
      <w:r>
        <w:rPr>
          <w:rFonts w:ascii="Calibri" w:eastAsia="Calibri" w:hAnsi="Calibri" w:cs="Calibri"/>
          <w:color w:val="000000" w:themeColor="text1"/>
        </w:rPr>
        <w:t>recommendations for</w:t>
      </w:r>
      <w:r w:rsidRPr="00703789">
        <w:rPr>
          <w:rFonts w:ascii="Calibri" w:eastAsia="Calibri" w:hAnsi="Calibri" w:cs="Calibri"/>
          <w:color w:val="000000" w:themeColor="text1"/>
        </w:rPr>
        <w:t xml:space="preserve"> repair</w:t>
      </w:r>
      <w:r>
        <w:rPr>
          <w:rFonts w:ascii="Calibri" w:eastAsia="Calibri" w:hAnsi="Calibri" w:cs="Calibri"/>
          <w:color w:val="000000" w:themeColor="text1"/>
        </w:rPr>
        <w:t xml:space="preserve">. </w:t>
      </w:r>
    </w:p>
    <w:p w14:paraId="442D8F09" w14:textId="33D4C6A4" w:rsidR="00FB4415" w:rsidRDefault="00FB4415" w:rsidP="00057638">
      <w:pPr>
        <w:spacing w:line="259" w:lineRule="auto"/>
        <w:ind w:firstLine="720"/>
        <w:rPr>
          <w:rFonts w:ascii="Calibri" w:eastAsia="Calibri" w:hAnsi="Calibri" w:cs="Calibri"/>
          <w:color w:val="000000" w:themeColor="text1"/>
        </w:rPr>
      </w:pPr>
      <w:r>
        <w:rPr>
          <w:rFonts w:ascii="Calibri" w:eastAsia="Calibri" w:hAnsi="Calibri" w:cs="Calibri"/>
          <w:color w:val="000000" w:themeColor="text1"/>
        </w:rPr>
        <w:t xml:space="preserve">This report summarises the three main areas of research and engagement that were conducted over a two-year period. The first area reveals some of the University’s links to enslavement and colonialism from different historical perspectives. These include: an investigation into the way that the University benefited </w:t>
      </w:r>
      <w:r w:rsidRPr="0017357E">
        <w:rPr>
          <w:rFonts w:ascii="Calibri" w:hAnsi="Calibri" w:cs="Calibri"/>
        </w:rPr>
        <w:t>financial</w:t>
      </w:r>
      <w:r>
        <w:rPr>
          <w:rFonts w:ascii="Calibri" w:hAnsi="Calibri" w:cs="Calibri"/>
        </w:rPr>
        <w:t>ly</w:t>
      </w:r>
      <w:r w:rsidRPr="0017357E">
        <w:rPr>
          <w:rFonts w:ascii="Calibri" w:hAnsi="Calibri" w:cs="Calibri"/>
        </w:rPr>
        <w:t xml:space="preserve"> </w:t>
      </w:r>
      <w:r>
        <w:rPr>
          <w:rFonts w:ascii="Calibri" w:hAnsi="Calibri" w:cs="Calibri"/>
        </w:rPr>
        <w:t xml:space="preserve">and materially </w:t>
      </w:r>
      <w:r w:rsidRPr="0017357E">
        <w:rPr>
          <w:rFonts w:ascii="Calibri" w:hAnsi="Calibri" w:cs="Calibri"/>
        </w:rPr>
        <w:t>through endowments and capital campaign</w:t>
      </w:r>
      <w:r>
        <w:rPr>
          <w:rFonts w:ascii="Calibri" w:hAnsi="Calibri" w:cs="Calibri"/>
        </w:rPr>
        <w:t xml:space="preserve">s; the role played by Edinburgh scholars in creating colonial networks where knowledge was extracted and exchanged; an exploration into the central role played by the University in developing racial </w:t>
      </w:r>
      <w:r w:rsidRPr="003A27B9">
        <w:rPr>
          <w:rFonts w:ascii="Calibri" w:eastAsia="Calibri" w:hAnsi="Calibri" w:cs="Calibri"/>
          <w:color w:val="000000" w:themeColor="text1"/>
        </w:rPr>
        <w:t xml:space="preserve">theories </w:t>
      </w:r>
      <w:r>
        <w:rPr>
          <w:rFonts w:ascii="Calibri" w:eastAsia="Calibri" w:hAnsi="Calibri" w:cs="Calibri"/>
          <w:color w:val="000000" w:themeColor="text1"/>
        </w:rPr>
        <w:t>on</w:t>
      </w:r>
      <w:r w:rsidRPr="003A27B9">
        <w:rPr>
          <w:rFonts w:ascii="Calibri" w:eastAsia="Calibri" w:hAnsi="Calibri" w:cs="Calibri"/>
          <w:color w:val="000000" w:themeColor="text1"/>
        </w:rPr>
        <w:t xml:space="preserve"> human difference</w:t>
      </w:r>
      <w:r>
        <w:rPr>
          <w:rFonts w:ascii="Calibri" w:eastAsia="Calibri" w:hAnsi="Calibri" w:cs="Calibri"/>
          <w:color w:val="000000" w:themeColor="text1"/>
        </w:rPr>
        <w:t xml:space="preserve">, with </w:t>
      </w:r>
      <w:r w:rsidRPr="003A27B9">
        <w:rPr>
          <w:rFonts w:ascii="Calibri" w:eastAsia="Calibri" w:hAnsi="Calibri" w:cs="Calibri"/>
          <w:color w:val="000000" w:themeColor="text1"/>
        </w:rPr>
        <w:t>scholars such as David Hume, Adam Ferguson, Dugald Stewart, James Cowles Prichard and Arthur James Balfour</w:t>
      </w:r>
      <w:r>
        <w:rPr>
          <w:rFonts w:ascii="Calibri" w:eastAsia="Calibri" w:hAnsi="Calibri" w:cs="Calibri"/>
          <w:color w:val="000000" w:themeColor="text1"/>
        </w:rPr>
        <w:t xml:space="preserve"> </w:t>
      </w:r>
      <w:r w:rsidRPr="003A27B9">
        <w:rPr>
          <w:rFonts w:ascii="Calibri" w:eastAsia="Calibri" w:hAnsi="Calibri" w:cs="Calibri"/>
          <w:color w:val="000000" w:themeColor="text1"/>
        </w:rPr>
        <w:t>establis</w:t>
      </w:r>
      <w:r>
        <w:rPr>
          <w:rFonts w:ascii="Calibri" w:eastAsia="Calibri" w:hAnsi="Calibri" w:cs="Calibri"/>
          <w:color w:val="000000" w:themeColor="text1"/>
        </w:rPr>
        <w:t>hing</w:t>
      </w:r>
      <w:r w:rsidRPr="003A27B9">
        <w:rPr>
          <w:rFonts w:ascii="Calibri" w:eastAsia="Calibri" w:hAnsi="Calibri" w:cs="Calibri"/>
          <w:color w:val="000000" w:themeColor="text1"/>
        </w:rPr>
        <w:t xml:space="preserve"> a foundation for race-thinking</w:t>
      </w:r>
      <w:r>
        <w:rPr>
          <w:rFonts w:ascii="Calibri" w:eastAsia="Calibri" w:hAnsi="Calibri" w:cs="Calibri"/>
          <w:color w:val="000000" w:themeColor="text1"/>
        </w:rPr>
        <w:t xml:space="preserve">; and an investigation into the University’s </w:t>
      </w:r>
      <w:r w:rsidRPr="0017357E">
        <w:rPr>
          <w:rFonts w:ascii="Calibri" w:eastAsia="Calibri" w:hAnsi="Calibri" w:cs="Calibri"/>
          <w:color w:val="000000" w:themeColor="text1"/>
        </w:rPr>
        <w:t>colonial connections to the Middle East, notably Palestine</w:t>
      </w:r>
      <w:r>
        <w:rPr>
          <w:rFonts w:ascii="Calibri" w:eastAsia="Calibri" w:hAnsi="Calibri" w:cs="Calibri"/>
          <w:color w:val="000000" w:themeColor="text1"/>
        </w:rPr>
        <w:t xml:space="preserve">, and the long-term repercussions of that history. </w:t>
      </w:r>
    </w:p>
    <w:p w14:paraId="22D51627" w14:textId="598AC681" w:rsidR="00FB4415" w:rsidRDefault="00FB4415" w:rsidP="00057638">
      <w:pPr>
        <w:spacing w:line="259" w:lineRule="auto"/>
        <w:ind w:firstLine="720"/>
        <w:rPr>
          <w:rFonts w:ascii="Calibri" w:eastAsia="Calibri" w:hAnsi="Calibri" w:cs="Calibri"/>
          <w:color w:val="000000" w:themeColor="text1"/>
        </w:rPr>
      </w:pPr>
      <w:r>
        <w:rPr>
          <w:rFonts w:ascii="Calibri" w:eastAsia="Calibri" w:hAnsi="Calibri" w:cs="Calibri"/>
          <w:color w:val="000000" w:themeColor="text1"/>
        </w:rPr>
        <w:t>The second area then looks</w:t>
      </w:r>
      <w:r w:rsidR="00690C8B">
        <w:rPr>
          <w:rFonts w:ascii="Calibri" w:eastAsia="Calibri" w:hAnsi="Calibri" w:cs="Calibri"/>
          <w:color w:val="000000" w:themeColor="text1"/>
        </w:rPr>
        <w:t xml:space="preserve"> at</w:t>
      </w:r>
      <w:r>
        <w:rPr>
          <w:rFonts w:ascii="Calibri" w:eastAsia="Calibri" w:hAnsi="Calibri" w:cs="Calibri"/>
          <w:color w:val="000000" w:themeColor="text1"/>
        </w:rPr>
        <w:t xml:space="preserve"> the current situation of race and racism within our institution, seeing this as indicative of the way that colonial legacies continue to adversely affect the experiences and opportunities afforded to racially and ethnically minoritised staff and students. It looks at trends in racial and ethnic diversification from a statistical perspective. It then examines the results of two University-wide surveys that assessed both attitudes towards racism among the student and staff population and </w:t>
      </w:r>
      <w:r w:rsidR="0065530F">
        <w:rPr>
          <w:rFonts w:ascii="Calibri" w:eastAsia="Calibri" w:hAnsi="Calibri" w:cs="Calibri"/>
          <w:color w:val="000000" w:themeColor="text1"/>
        </w:rPr>
        <w:t xml:space="preserve">also </w:t>
      </w:r>
      <w:r>
        <w:rPr>
          <w:rFonts w:ascii="Calibri" w:eastAsia="Calibri" w:hAnsi="Calibri" w:cs="Calibri"/>
          <w:color w:val="000000" w:themeColor="text1"/>
        </w:rPr>
        <w:t xml:space="preserve">experiences of racism among staff and students who identify as belonging to a racially or ethnically minoritised group. </w:t>
      </w:r>
    </w:p>
    <w:p w14:paraId="63BF8D63" w14:textId="63084187" w:rsidR="00FB4415" w:rsidRDefault="00FB4415" w:rsidP="00057638">
      <w:pPr>
        <w:spacing w:line="259" w:lineRule="auto"/>
        <w:ind w:firstLine="720"/>
        <w:rPr>
          <w:rFonts w:ascii="Calibri" w:eastAsia="Calibri" w:hAnsi="Calibri" w:cs="Calibri"/>
          <w:color w:val="000000" w:themeColor="text1"/>
        </w:rPr>
      </w:pPr>
      <w:r>
        <w:rPr>
          <w:rFonts w:ascii="Calibri" w:eastAsia="Calibri" w:hAnsi="Calibri" w:cs="Calibri"/>
          <w:color w:val="000000" w:themeColor="text1"/>
        </w:rPr>
        <w:t xml:space="preserve">The third area summarises the findings of our extensive </w:t>
      </w:r>
      <w:r w:rsidRPr="003A27B9">
        <w:rPr>
          <w:rFonts w:ascii="Calibri" w:eastAsia="Calibri" w:hAnsi="Calibri" w:cs="Calibri"/>
          <w:color w:val="000000" w:themeColor="text1"/>
        </w:rPr>
        <w:t>community engagement</w:t>
      </w:r>
      <w:r>
        <w:rPr>
          <w:rFonts w:ascii="Calibri" w:eastAsia="Calibri" w:hAnsi="Calibri" w:cs="Calibri"/>
          <w:color w:val="000000" w:themeColor="text1"/>
        </w:rPr>
        <w:t xml:space="preserve"> programme and its focus on reparatory justice. This identifies the interests and concerns of both communities of reparatory justice interest and </w:t>
      </w:r>
      <w:r w:rsidR="0065530F">
        <w:rPr>
          <w:rFonts w:ascii="Calibri" w:eastAsia="Calibri" w:hAnsi="Calibri" w:cs="Calibri"/>
          <w:color w:val="000000" w:themeColor="text1"/>
        </w:rPr>
        <w:t xml:space="preserve">of </w:t>
      </w:r>
      <w:r>
        <w:rPr>
          <w:rFonts w:ascii="Calibri" w:eastAsia="Calibri" w:hAnsi="Calibri" w:cs="Calibri"/>
          <w:color w:val="000000" w:themeColor="text1"/>
        </w:rPr>
        <w:t>others invested in tackling racial injustice.</w:t>
      </w:r>
      <w:r>
        <w:rPr>
          <w:rStyle w:val="FootnoteReference"/>
          <w:rFonts w:ascii="Calibri" w:hAnsi="Calibri" w:cs="Calibri"/>
        </w:rPr>
        <w:footnoteReference w:id="2"/>
      </w:r>
      <w:r>
        <w:rPr>
          <w:rFonts w:ascii="Calibri" w:eastAsia="Calibri" w:hAnsi="Calibri" w:cs="Calibri"/>
          <w:color w:val="000000" w:themeColor="text1"/>
        </w:rPr>
        <w:t xml:space="preserve"> It concludes with recommendations for the University to begin acknowledging and repairing its imperial legacies through the implementation of a</w:t>
      </w:r>
      <w:r w:rsidRPr="003A27B9">
        <w:rPr>
          <w:rFonts w:ascii="Calibri" w:eastAsia="Calibri" w:hAnsi="Calibri" w:cs="Calibri"/>
          <w:color w:val="000000" w:themeColor="text1"/>
        </w:rPr>
        <w:t xml:space="preserve"> Reparatory Justice </w:t>
      </w:r>
      <w:r>
        <w:rPr>
          <w:rFonts w:ascii="Calibri" w:eastAsia="Calibri" w:hAnsi="Calibri" w:cs="Calibri"/>
          <w:color w:val="000000" w:themeColor="text1"/>
        </w:rPr>
        <w:t>Programme</w:t>
      </w:r>
      <w:r w:rsidRPr="003A27B9">
        <w:rPr>
          <w:rFonts w:ascii="Calibri" w:eastAsia="Calibri" w:hAnsi="Calibri" w:cs="Calibri"/>
          <w:color w:val="000000" w:themeColor="text1"/>
        </w:rPr>
        <w:t xml:space="preserve">. </w:t>
      </w:r>
    </w:p>
    <w:p w14:paraId="5EE8EE51" w14:textId="545FCB1C" w:rsidR="003B182D" w:rsidRPr="00D41CB8" w:rsidRDefault="003B182D" w:rsidP="003B182D">
      <w:pPr>
        <w:spacing w:line="259" w:lineRule="auto"/>
        <w:ind w:firstLine="720"/>
        <w:jc w:val="both"/>
        <w:rPr>
          <w:rFonts w:ascii="Calibri" w:eastAsia="Calibri" w:hAnsi="Calibri" w:cs="Calibri"/>
          <w:color w:val="000000" w:themeColor="text1"/>
        </w:rPr>
      </w:pPr>
    </w:p>
    <w:p w14:paraId="290B9416" w14:textId="77777777" w:rsidR="003B182D" w:rsidRPr="00D41CB8" w:rsidRDefault="003B182D" w:rsidP="003B182D">
      <w:pPr>
        <w:spacing w:line="259" w:lineRule="auto"/>
        <w:jc w:val="both"/>
        <w:rPr>
          <w:rFonts w:ascii="Calibri" w:eastAsia="Calibri" w:hAnsi="Calibri" w:cs="Calibri"/>
          <w:color w:val="000000" w:themeColor="text1"/>
        </w:rPr>
      </w:pPr>
      <w:r w:rsidRPr="00D41CB8">
        <w:rPr>
          <w:rFonts w:ascii="Calibri" w:eastAsia="Calibri" w:hAnsi="Calibri" w:cs="Calibri"/>
          <w:color w:val="000000" w:themeColor="text1"/>
        </w:rPr>
        <w:tab/>
      </w:r>
    </w:p>
    <w:p w14:paraId="3C3CD0BB" w14:textId="77777777" w:rsidR="003B182D" w:rsidRPr="00D41CB8" w:rsidRDefault="003B182D" w:rsidP="00057638">
      <w:pPr>
        <w:spacing w:line="259" w:lineRule="auto"/>
        <w:rPr>
          <w:rFonts w:ascii="Calibri" w:eastAsia="Calibri" w:hAnsi="Calibri" w:cs="Calibri"/>
          <w:color w:val="000000" w:themeColor="text1"/>
        </w:rPr>
      </w:pPr>
      <w:r w:rsidRPr="00D41CB8">
        <w:rPr>
          <w:rFonts w:ascii="Calibri" w:eastAsia="Calibri" w:hAnsi="Calibri" w:cs="Calibri"/>
          <w:color w:val="000000" w:themeColor="text1"/>
        </w:rPr>
        <w:lastRenderedPageBreak/>
        <w:t>The report is divided into six sections:</w:t>
      </w:r>
    </w:p>
    <w:p w14:paraId="04206D61" w14:textId="77777777" w:rsidR="003B182D" w:rsidRPr="00D41CB8" w:rsidRDefault="003B182D" w:rsidP="00057638">
      <w:pPr>
        <w:spacing w:line="259" w:lineRule="auto"/>
        <w:rPr>
          <w:rFonts w:ascii="Calibri" w:eastAsia="Calibri" w:hAnsi="Calibri" w:cs="Calibri"/>
          <w:color w:val="000000" w:themeColor="text1"/>
        </w:rPr>
      </w:pPr>
    </w:p>
    <w:p w14:paraId="6B10D4BD" w14:textId="41340397" w:rsidR="003B182D" w:rsidRPr="00D41CB8" w:rsidRDefault="003B182D" w:rsidP="00057638">
      <w:pPr>
        <w:pStyle w:val="ListParagraph"/>
        <w:numPr>
          <w:ilvl w:val="0"/>
          <w:numId w:val="35"/>
        </w:numPr>
        <w:spacing w:line="259" w:lineRule="auto"/>
        <w:rPr>
          <w:rFonts w:ascii="Calibri" w:eastAsia="Calibri" w:hAnsi="Calibri" w:cs="Calibri"/>
          <w:color w:val="000000" w:themeColor="text1"/>
        </w:rPr>
      </w:pPr>
      <w:r w:rsidRPr="00D41CB8">
        <w:rPr>
          <w:rFonts w:ascii="Calibri" w:eastAsia="Calibri" w:hAnsi="Calibri" w:cs="Calibri"/>
          <w:color w:val="000000" w:themeColor="text1"/>
        </w:rPr>
        <w:t xml:space="preserve">‘Part 1: Review of Work in Equivalent Institutions’ reviews reports produced by comparable UK institutions, highlighting </w:t>
      </w:r>
      <w:r w:rsidR="0065530F" w:rsidRPr="00D41CB8">
        <w:rPr>
          <w:rFonts w:ascii="Calibri" w:eastAsia="Calibri" w:hAnsi="Calibri" w:cs="Calibri"/>
          <w:color w:val="000000" w:themeColor="text1"/>
        </w:rPr>
        <w:t xml:space="preserve">points of similarity </w:t>
      </w:r>
      <w:r w:rsidR="0065530F">
        <w:rPr>
          <w:rFonts w:ascii="Calibri" w:eastAsia="Calibri" w:hAnsi="Calibri" w:cs="Calibri"/>
          <w:color w:val="000000" w:themeColor="text1"/>
        </w:rPr>
        <w:t xml:space="preserve">to </w:t>
      </w:r>
      <w:r w:rsidR="0065530F" w:rsidRPr="00D41CB8">
        <w:rPr>
          <w:rFonts w:ascii="Calibri" w:eastAsia="Calibri" w:hAnsi="Calibri" w:cs="Calibri"/>
          <w:color w:val="000000" w:themeColor="text1"/>
        </w:rPr>
        <w:t>and difference</w:t>
      </w:r>
      <w:r w:rsidR="0065530F">
        <w:rPr>
          <w:rFonts w:ascii="Calibri" w:eastAsia="Calibri" w:hAnsi="Calibri" w:cs="Calibri"/>
          <w:color w:val="000000" w:themeColor="text1"/>
        </w:rPr>
        <w:t>s</w:t>
      </w:r>
      <w:r w:rsidR="0065530F" w:rsidRPr="00D41CB8">
        <w:rPr>
          <w:rFonts w:ascii="Calibri" w:eastAsia="Calibri" w:hAnsi="Calibri" w:cs="Calibri"/>
          <w:color w:val="000000" w:themeColor="text1"/>
        </w:rPr>
        <w:t xml:space="preserve"> </w:t>
      </w:r>
      <w:r w:rsidR="0065530F">
        <w:rPr>
          <w:rFonts w:ascii="Calibri" w:eastAsia="Calibri" w:hAnsi="Calibri" w:cs="Calibri"/>
          <w:color w:val="000000" w:themeColor="text1"/>
        </w:rPr>
        <w:t xml:space="preserve">from </w:t>
      </w:r>
      <w:r w:rsidR="0065530F" w:rsidRPr="00D41CB8">
        <w:rPr>
          <w:rFonts w:ascii="Calibri" w:eastAsia="Calibri" w:hAnsi="Calibri" w:cs="Calibri"/>
          <w:color w:val="000000" w:themeColor="text1"/>
        </w:rPr>
        <w:t>our approach at Edinburgh</w:t>
      </w:r>
      <w:r w:rsidRPr="00D41CB8">
        <w:rPr>
          <w:rFonts w:ascii="Calibri" w:eastAsia="Calibri" w:hAnsi="Calibri" w:cs="Calibri"/>
          <w:color w:val="000000" w:themeColor="text1"/>
        </w:rPr>
        <w:t>.</w:t>
      </w:r>
    </w:p>
    <w:p w14:paraId="7FBE40D4" w14:textId="77777777" w:rsidR="003B182D" w:rsidRPr="00D41CB8" w:rsidRDefault="003B182D" w:rsidP="00057638">
      <w:pPr>
        <w:pStyle w:val="ListParagraph"/>
        <w:numPr>
          <w:ilvl w:val="0"/>
          <w:numId w:val="35"/>
        </w:numPr>
        <w:spacing w:line="259" w:lineRule="auto"/>
        <w:rPr>
          <w:rFonts w:ascii="Calibri" w:eastAsia="Calibri" w:hAnsi="Calibri" w:cs="Calibri"/>
          <w:color w:val="000000" w:themeColor="text1"/>
        </w:rPr>
      </w:pPr>
      <w:r w:rsidRPr="00D41CB8">
        <w:rPr>
          <w:rFonts w:ascii="Calibri" w:eastAsia="Calibri" w:hAnsi="Calibri" w:cs="Calibri"/>
          <w:color w:val="000000" w:themeColor="text1"/>
        </w:rPr>
        <w:t xml:space="preserve">‘Part 2: Historical Links to Enslavement, Colonialism and the Development of Racial Thought’ presents the main findings from </w:t>
      </w:r>
      <w:r>
        <w:rPr>
          <w:rFonts w:ascii="Calibri" w:eastAsia="Calibri" w:hAnsi="Calibri" w:cs="Calibri"/>
          <w:color w:val="000000" w:themeColor="text1"/>
        </w:rPr>
        <w:t>three</w:t>
      </w:r>
      <w:r w:rsidRPr="00D41CB8">
        <w:rPr>
          <w:rFonts w:ascii="Calibri" w:eastAsia="Calibri" w:hAnsi="Calibri" w:cs="Calibri"/>
          <w:color w:val="000000" w:themeColor="text1"/>
        </w:rPr>
        <w:t xml:space="preserve"> historical research</w:t>
      </w:r>
      <w:r>
        <w:rPr>
          <w:rFonts w:ascii="Calibri" w:eastAsia="Calibri" w:hAnsi="Calibri" w:cs="Calibri"/>
          <w:color w:val="000000" w:themeColor="text1"/>
        </w:rPr>
        <w:t xml:space="preserve"> strands</w:t>
      </w:r>
      <w:r w:rsidRPr="00D41CB8">
        <w:rPr>
          <w:rFonts w:ascii="Calibri" w:eastAsia="Calibri" w:hAnsi="Calibri" w:cs="Calibri"/>
          <w:color w:val="000000" w:themeColor="text1"/>
        </w:rPr>
        <w:t xml:space="preserve">. </w:t>
      </w:r>
    </w:p>
    <w:p w14:paraId="40CA140E" w14:textId="57A54138" w:rsidR="003B182D" w:rsidRPr="00D41CB8" w:rsidRDefault="003B182D" w:rsidP="00057638">
      <w:pPr>
        <w:pStyle w:val="ListParagraph"/>
        <w:numPr>
          <w:ilvl w:val="0"/>
          <w:numId w:val="35"/>
        </w:numPr>
        <w:spacing w:line="259" w:lineRule="auto"/>
        <w:rPr>
          <w:rFonts w:ascii="Calibri" w:eastAsia="Calibri" w:hAnsi="Calibri" w:cs="Calibri"/>
          <w:color w:val="000000" w:themeColor="text1"/>
        </w:rPr>
      </w:pPr>
      <w:r w:rsidRPr="00D41CB8">
        <w:rPr>
          <w:rFonts w:ascii="Calibri" w:eastAsia="Calibri" w:hAnsi="Calibri" w:cs="Calibri"/>
          <w:color w:val="000000" w:themeColor="text1"/>
        </w:rPr>
        <w:t xml:space="preserve">‘Part 3: Current Institutional Picture from Statistical Perspectives’ analyses racial and ethnic data relating to </w:t>
      </w:r>
      <w:r w:rsidR="0065530F">
        <w:rPr>
          <w:rFonts w:ascii="Calibri" w:eastAsia="Calibri" w:hAnsi="Calibri" w:cs="Calibri"/>
          <w:color w:val="000000" w:themeColor="text1"/>
        </w:rPr>
        <w:t xml:space="preserve">the </w:t>
      </w:r>
      <w:r w:rsidRPr="00D41CB8">
        <w:rPr>
          <w:rFonts w:ascii="Calibri" w:eastAsia="Calibri" w:hAnsi="Calibri" w:cs="Calibri"/>
          <w:color w:val="000000" w:themeColor="text1"/>
        </w:rPr>
        <w:t>University</w:t>
      </w:r>
      <w:r w:rsidR="0065530F">
        <w:rPr>
          <w:rFonts w:ascii="Calibri" w:eastAsia="Calibri" w:hAnsi="Calibri" w:cs="Calibri"/>
          <w:color w:val="000000" w:themeColor="text1"/>
        </w:rPr>
        <w:t>’s</w:t>
      </w:r>
      <w:r w:rsidRPr="00D41CB8">
        <w:rPr>
          <w:rFonts w:ascii="Calibri" w:eastAsia="Calibri" w:hAnsi="Calibri" w:cs="Calibri"/>
          <w:color w:val="000000" w:themeColor="text1"/>
        </w:rPr>
        <w:t xml:space="preserve"> staff and students from 2019 to 2023. </w:t>
      </w:r>
    </w:p>
    <w:p w14:paraId="23702D7C" w14:textId="26F18DD5" w:rsidR="003B182D" w:rsidRPr="00D41CB8" w:rsidRDefault="003B182D" w:rsidP="00057638">
      <w:pPr>
        <w:pStyle w:val="ListParagraph"/>
        <w:numPr>
          <w:ilvl w:val="0"/>
          <w:numId w:val="35"/>
        </w:numPr>
        <w:spacing w:line="259" w:lineRule="auto"/>
        <w:rPr>
          <w:rFonts w:ascii="Calibri" w:eastAsia="Calibri" w:hAnsi="Calibri" w:cs="Calibri"/>
          <w:color w:val="000000" w:themeColor="text1"/>
        </w:rPr>
      </w:pPr>
      <w:r w:rsidRPr="00D41CB8">
        <w:rPr>
          <w:rFonts w:ascii="Calibri" w:eastAsia="Calibri" w:hAnsi="Calibri" w:cs="Calibri"/>
          <w:color w:val="000000" w:themeColor="text1"/>
        </w:rPr>
        <w:t>‘Part 4: Current Situation of Race and Racism’ loo</w:t>
      </w:r>
      <w:r>
        <w:rPr>
          <w:rFonts w:ascii="Calibri" w:eastAsia="Calibri" w:hAnsi="Calibri" w:cs="Calibri"/>
          <w:color w:val="000000" w:themeColor="text1"/>
        </w:rPr>
        <w:t>ks</w:t>
      </w:r>
      <w:r w:rsidRPr="00D41CB8">
        <w:rPr>
          <w:rFonts w:ascii="Calibri" w:eastAsia="Calibri" w:hAnsi="Calibri" w:cs="Calibri"/>
          <w:color w:val="000000" w:themeColor="text1"/>
        </w:rPr>
        <w:t xml:space="preserve"> at the racial climate of the institution today based on the findings from two University-wide surveys t</w:t>
      </w:r>
      <w:r w:rsidR="0065530F">
        <w:rPr>
          <w:rFonts w:ascii="Calibri" w:eastAsia="Calibri" w:hAnsi="Calibri" w:cs="Calibri"/>
          <w:color w:val="000000" w:themeColor="text1"/>
        </w:rPr>
        <w:t>hat</w:t>
      </w:r>
      <w:r w:rsidRPr="00D41CB8">
        <w:rPr>
          <w:rFonts w:ascii="Calibri" w:eastAsia="Calibri" w:hAnsi="Calibri" w:cs="Calibri"/>
          <w:color w:val="000000" w:themeColor="text1"/>
        </w:rPr>
        <w:t xml:space="preserve"> assess experiences of racism and attitudes towards racism. </w:t>
      </w:r>
    </w:p>
    <w:p w14:paraId="218DC411" w14:textId="6CEBAEC3" w:rsidR="003B182D" w:rsidRPr="00D41CB8" w:rsidRDefault="003B182D" w:rsidP="00057638">
      <w:pPr>
        <w:pStyle w:val="ListParagraph"/>
        <w:numPr>
          <w:ilvl w:val="0"/>
          <w:numId w:val="35"/>
        </w:numPr>
        <w:spacing w:line="259" w:lineRule="auto"/>
        <w:rPr>
          <w:rFonts w:ascii="Calibri" w:eastAsia="Calibri" w:hAnsi="Calibri" w:cs="Calibri"/>
          <w:color w:val="000000" w:themeColor="text1"/>
        </w:rPr>
      </w:pPr>
      <w:r w:rsidRPr="00D41CB8">
        <w:rPr>
          <w:rFonts w:ascii="Calibri" w:eastAsia="Calibri" w:hAnsi="Calibri" w:cs="Calibri"/>
          <w:color w:val="000000" w:themeColor="text1"/>
        </w:rPr>
        <w:t xml:space="preserve">‘Part 5: Community Engagement’ provides an </w:t>
      </w:r>
      <w:r w:rsidR="0065530F" w:rsidRPr="00D41CB8">
        <w:rPr>
          <w:rFonts w:ascii="Calibri" w:eastAsia="Calibri" w:hAnsi="Calibri" w:cs="Calibri"/>
          <w:color w:val="000000" w:themeColor="text1"/>
        </w:rPr>
        <w:t xml:space="preserve">overview </w:t>
      </w:r>
      <w:r w:rsidR="0065530F">
        <w:rPr>
          <w:rFonts w:ascii="Calibri" w:eastAsia="Calibri" w:hAnsi="Calibri" w:cs="Calibri"/>
          <w:color w:val="000000" w:themeColor="text1"/>
        </w:rPr>
        <w:t xml:space="preserve">of </w:t>
      </w:r>
      <w:r w:rsidR="0065530F" w:rsidRPr="00D41CB8">
        <w:rPr>
          <w:rFonts w:ascii="Calibri" w:eastAsia="Calibri" w:hAnsi="Calibri" w:cs="Calibri"/>
          <w:color w:val="000000" w:themeColor="text1"/>
        </w:rPr>
        <w:t xml:space="preserve">the focus and </w:t>
      </w:r>
      <w:r w:rsidR="0065530F">
        <w:rPr>
          <w:rFonts w:ascii="Calibri" w:eastAsia="Calibri" w:hAnsi="Calibri" w:cs="Calibri"/>
          <w:color w:val="000000" w:themeColor="text1"/>
        </w:rPr>
        <w:t xml:space="preserve">the </w:t>
      </w:r>
      <w:r w:rsidRPr="00D41CB8">
        <w:rPr>
          <w:rFonts w:ascii="Calibri" w:eastAsia="Calibri" w:hAnsi="Calibri" w:cs="Calibri"/>
          <w:color w:val="000000" w:themeColor="text1"/>
        </w:rPr>
        <w:t xml:space="preserve">events that shaped our extensive community engagement programme and underpin our reparatory </w:t>
      </w:r>
      <w:r w:rsidR="00DC76F7">
        <w:rPr>
          <w:rFonts w:ascii="Calibri" w:eastAsia="Calibri" w:hAnsi="Calibri" w:cs="Calibri"/>
          <w:color w:val="000000" w:themeColor="text1"/>
        </w:rPr>
        <w:t xml:space="preserve">justice </w:t>
      </w:r>
      <w:r w:rsidRPr="00D41CB8">
        <w:rPr>
          <w:rFonts w:ascii="Calibri" w:eastAsia="Calibri" w:hAnsi="Calibri" w:cs="Calibri"/>
          <w:color w:val="000000" w:themeColor="text1"/>
        </w:rPr>
        <w:t xml:space="preserve">recommendations. </w:t>
      </w:r>
    </w:p>
    <w:p w14:paraId="56A787BB" w14:textId="77777777" w:rsidR="003B182D" w:rsidRPr="00D41CB8" w:rsidRDefault="003B182D" w:rsidP="00057638">
      <w:pPr>
        <w:pStyle w:val="ListParagraph"/>
        <w:numPr>
          <w:ilvl w:val="0"/>
          <w:numId w:val="35"/>
        </w:numPr>
        <w:spacing w:line="259" w:lineRule="auto"/>
        <w:rPr>
          <w:rFonts w:ascii="Calibri" w:eastAsia="Calibri" w:hAnsi="Calibri" w:cs="Calibri"/>
          <w:color w:val="000000" w:themeColor="text1"/>
        </w:rPr>
      </w:pPr>
      <w:r w:rsidRPr="00D41CB8">
        <w:rPr>
          <w:rFonts w:ascii="Calibri" w:eastAsia="Calibri" w:hAnsi="Calibri" w:cs="Calibri"/>
          <w:color w:val="000000" w:themeColor="text1"/>
        </w:rPr>
        <w:t>‘Part 6: Reparatory Justice Recommendations’ concludes the report with a summary of our main recommendations, including</w:t>
      </w:r>
      <w:r>
        <w:rPr>
          <w:rFonts w:ascii="Calibri" w:eastAsia="Calibri" w:hAnsi="Calibri" w:cs="Calibri"/>
          <w:color w:val="000000" w:themeColor="text1"/>
        </w:rPr>
        <w:t xml:space="preserve"> calls for the creation of</w:t>
      </w:r>
      <w:r w:rsidRPr="00D41CB8">
        <w:rPr>
          <w:rFonts w:ascii="Calibri" w:eastAsia="Calibri" w:hAnsi="Calibri" w:cs="Calibri"/>
          <w:color w:val="000000" w:themeColor="text1"/>
        </w:rPr>
        <w:t xml:space="preserve"> a Research and Community Centre for the Study of Racisms, Colonialism and Anti-Black Violence.</w:t>
      </w:r>
    </w:p>
    <w:p w14:paraId="740EFCAD" w14:textId="77777777" w:rsidR="003B182D" w:rsidRPr="00D41CB8" w:rsidRDefault="003B182D" w:rsidP="00057638">
      <w:pPr>
        <w:spacing w:line="259" w:lineRule="auto"/>
        <w:rPr>
          <w:rFonts w:ascii="Calibri" w:hAnsi="Calibri" w:cs="Calibri"/>
        </w:rPr>
      </w:pPr>
    </w:p>
    <w:p w14:paraId="7E0080B0" w14:textId="77777777" w:rsidR="003B182D" w:rsidRPr="00D41CB8" w:rsidRDefault="003B182D" w:rsidP="00057638">
      <w:pPr>
        <w:spacing w:line="259" w:lineRule="auto"/>
        <w:rPr>
          <w:rFonts w:ascii="Calibri" w:hAnsi="Calibri" w:cs="Calibri"/>
        </w:rPr>
      </w:pPr>
      <w:r w:rsidRPr="00D41CB8">
        <w:rPr>
          <w:rFonts w:ascii="Calibri" w:hAnsi="Calibri" w:cs="Calibri"/>
        </w:rPr>
        <w:t>The main findings and ideas from the Decolonised Transformations report</w:t>
      </w:r>
      <w:r>
        <w:rPr>
          <w:rFonts w:ascii="Calibri" w:hAnsi="Calibri" w:cs="Calibri"/>
        </w:rPr>
        <w:t xml:space="preserve"> are as follows</w:t>
      </w:r>
      <w:r w:rsidRPr="00D41CB8">
        <w:rPr>
          <w:rFonts w:ascii="Calibri" w:hAnsi="Calibri" w:cs="Calibri"/>
        </w:rPr>
        <w:t>:</w:t>
      </w:r>
    </w:p>
    <w:p w14:paraId="7455EC46" w14:textId="77777777" w:rsidR="003B182D" w:rsidRPr="00D41CB8" w:rsidRDefault="003B182D" w:rsidP="003B182D">
      <w:pPr>
        <w:spacing w:line="259" w:lineRule="auto"/>
        <w:jc w:val="both"/>
        <w:rPr>
          <w:rFonts w:ascii="Calibri" w:hAnsi="Calibri" w:cs="Calibri"/>
        </w:rPr>
      </w:pPr>
    </w:p>
    <w:p w14:paraId="1F5641E0" w14:textId="77777777" w:rsidR="003B182D" w:rsidRPr="00D41CB8" w:rsidRDefault="003B182D" w:rsidP="00057638">
      <w:pPr>
        <w:pStyle w:val="ListParagraph"/>
        <w:numPr>
          <w:ilvl w:val="0"/>
          <w:numId w:val="40"/>
        </w:numPr>
        <w:spacing w:line="259" w:lineRule="auto"/>
        <w:rPr>
          <w:rFonts w:ascii="Calibri" w:hAnsi="Calibri" w:cs="Calibri"/>
        </w:rPr>
      </w:pPr>
      <w:r w:rsidRPr="00D41CB8">
        <w:rPr>
          <w:rFonts w:ascii="Calibri" w:eastAsia="Calibri" w:hAnsi="Calibri" w:cs="Calibri"/>
          <w:color w:val="000000" w:themeColor="text1"/>
          <w:u w:val="single"/>
        </w:rPr>
        <w:t>Part 2: Historical Links to Enslavement, Colonialism and the Development of Racial Thought</w:t>
      </w:r>
      <w:r w:rsidRPr="00D41CB8">
        <w:rPr>
          <w:rFonts w:ascii="Calibri" w:eastAsia="Calibri" w:hAnsi="Calibri" w:cs="Calibri"/>
          <w:color w:val="000000" w:themeColor="text1"/>
        </w:rPr>
        <w:t>:</w:t>
      </w:r>
    </w:p>
    <w:p w14:paraId="4B29FF5F" w14:textId="0C7C1893" w:rsidR="003B182D" w:rsidRPr="005E7FC4" w:rsidRDefault="003B182D" w:rsidP="00057638">
      <w:pPr>
        <w:pStyle w:val="ListParagraph"/>
        <w:numPr>
          <w:ilvl w:val="0"/>
          <w:numId w:val="41"/>
        </w:numPr>
        <w:spacing w:line="259" w:lineRule="auto"/>
        <w:rPr>
          <w:rFonts w:ascii="Calibri" w:hAnsi="Calibri" w:cs="Calibri"/>
        </w:rPr>
      </w:pPr>
      <w:r w:rsidRPr="00D41CB8">
        <w:rPr>
          <w:rFonts w:ascii="Calibri" w:eastAsia="Calibri" w:hAnsi="Calibri" w:cs="Calibri"/>
          <w:i/>
          <w:iCs/>
          <w:color w:val="000000" w:themeColor="text1"/>
        </w:rPr>
        <w:t>Research Strand 1</w:t>
      </w:r>
      <w:r>
        <w:rPr>
          <w:rFonts w:ascii="Calibri" w:eastAsia="Calibri" w:hAnsi="Calibri" w:cs="Calibri"/>
          <w:i/>
          <w:iCs/>
          <w:color w:val="000000" w:themeColor="text1"/>
        </w:rPr>
        <w:t xml:space="preserve">: </w:t>
      </w:r>
      <w:r w:rsidR="00690C8B">
        <w:rPr>
          <w:rFonts w:ascii="Calibri" w:eastAsia="Calibri" w:hAnsi="Calibri" w:cs="Calibri"/>
          <w:i/>
          <w:iCs/>
          <w:color w:val="000000" w:themeColor="text1"/>
        </w:rPr>
        <w:t xml:space="preserve">The </w:t>
      </w:r>
      <w:r w:rsidRPr="005E7FC4">
        <w:rPr>
          <w:rFonts w:ascii="Calibri" w:eastAsia="Calibri" w:hAnsi="Calibri" w:cs="Calibri"/>
          <w:i/>
          <w:iCs/>
          <w:color w:val="000000" w:themeColor="text1"/>
        </w:rPr>
        <w:t xml:space="preserve">University of Edinburgh’s </w:t>
      </w:r>
      <w:r w:rsidR="00DC76F7">
        <w:rPr>
          <w:rFonts w:ascii="Calibri" w:eastAsia="Calibri" w:hAnsi="Calibri" w:cs="Calibri"/>
          <w:i/>
          <w:iCs/>
          <w:color w:val="000000" w:themeColor="text1"/>
        </w:rPr>
        <w:t>T</w:t>
      </w:r>
      <w:r w:rsidRPr="005E7FC4">
        <w:rPr>
          <w:rFonts w:ascii="Calibri" w:eastAsia="Calibri" w:hAnsi="Calibri" w:cs="Calibri"/>
          <w:i/>
          <w:iCs/>
          <w:color w:val="000000" w:themeColor="text1"/>
        </w:rPr>
        <w:t>ies to Enslavement and Colonialism</w:t>
      </w:r>
      <w:r w:rsidRPr="00D41CB8">
        <w:rPr>
          <w:rFonts w:ascii="Calibri" w:eastAsia="Calibri" w:hAnsi="Calibri" w:cs="Calibri"/>
          <w:color w:val="000000" w:themeColor="text1"/>
        </w:rPr>
        <w:t xml:space="preserve">: </w:t>
      </w:r>
      <w:r w:rsidRPr="005E7FC4">
        <w:rPr>
          <w:rFonts w:ascii="Calibri" w:hAnsi="Calibri" w:cs="Calibri"/>
        </w:rPr>
        <w:t xml:space="preserve">The University of Edinburgh </w:t>
      </w:r>
      <w:r w:rsidRPr="005E7FC4">
        <w:rPr>
          <w:rFonts w:ascii="Calibri" w:eastAsia="Calibri" w:hAnsi="Calibri" w:cs="Calibri"/>
          <w:color w:val="000000" w:themeColor="text1"/>
          <w:lang w:eastAsia="en-GB"/>
        </w:rPr>
        <w:t>benefitted financially from the profits of African enslavement</w:t>
      </w:r>
      <w:r w:rsidRPr="005E7FC4">
        <w:rPr>
          <w:rFonts w:ascii="Calibri" w:hAnsi="Calibri" w:cs="Calibri"/>
        </w:rPr>
        <w:t xml:space="preserve"> and colonialism through individual contributions to endowments that have funded bursaries, scholarship, chairs and fellowships, and </w:t>
      </w:r>
      <w:r w:rsidR="0065530F">
        <w:rPr>
          <w:rFonts w:ascii="Calibri" w:hAnsi="Calibri" w:cs="Calibri"/>
        </w:rPr>
        <w:t xml:space="preserve">from </w:t>
      </w:r>
      <w:r w:rsidRPr="005E7FC4">
        <w:rPr>
          <w:rFonts w:ascii="Calibri" w:hAnsi="Calibri" w:cs="Calibri"/>
        </w:rPr>
        <w:t xml:space="preserve">two capital campaigns to finance the building of what is now called Old College (1789–94) and the construction of the </w:t>
      </w:r>
      <w:r w:rsidR="0065530F">
        <w:rPr>
          <w:rFonts w:ascii="Calibri" w:hAnsi="Calibri" w:cs="Calibri"/>
        </w:rPr>
        <w:t xml:space="preserve">‘New’ </w:t>
      </w:r>
      <w:r w:rsidRPr="005E7FC4">
        <w:rPr>
          <w:rFonts w:ascii="Calibri" w:hAnsi="Calibri" w:cs="Calibri"/>
        </w:rPr>
        <w:t xml:space="preserve">Medical School (1873–83). These ‘philanthropic gifts’ can be traced to the profits </w:t>
      </w:r>
      <w:r>
        <w:rPr>
          <w:rFonts w:ascii="Calibri" w:hAnsi="Calibri" w:cs="Calibri"/>
        </w:rPr>
        <w:t>of</w:t>
      </w:r>
      <w:r w:rsidRPr="005E7FC4">
        <w:rPr>
          <w:rFonts w:ascii="Calibri" w:hAnsi="Calibri" w:cs="Calibri"/>
        </w:rPr>
        <w:t xml:space="preserve"> cultivati</w:t>
      </w:r>
      <w:r>
        <w:rPr>
          <w:rFonts w:ascii="Calibri" w:hAnsi="Calibri" w:cs="Calibri"/>
        </w:rPr>
        <w:t>ng</w:t>
      </w:r>
      <w:r w:rsidRPr="005E7FC4">
        <w:rPr>
          <w:rFonts w:ascii="Calibri" w:hAnsi="Calibri" w:cs="Calibri"/>
        </w:rPr>
        <w:t>, produc</w:t>
      </w:r>
      <w:r>
        <w:rPr>
          <w:rFonts w:ascii="Calibri" w:hAnsi="Calibri" w:cs="Calibri"/>
        </w:rPr>
        <w:t>ing</w:t>
      </w:r>
      <w:r w:rsidRPr="005E7FC4">
        <w:rPr>
          <w:rFonts w:ascii="Calibri" w:hAnsi="Calibri" w:cs="Calibri"/>
        </w:rPr>
        <w:t xml:space="preserve"> and s</w:t>
      </w:r>
      <w:r>
        <w:rPr>
          <w:rFonts w:ascii="Calibri" w:hAnsi="Calibri" w:cs="Calibri"/>
        </w:rPr>
        <w:t xml:space="preserve">elling </w:t>
      </w:r>
      <w:r w:rsidRPr="005E7FC4">
        <w:rPr>
          <w:rFonts w:ascii="Calibri" w:hAnsi="Calibri" w:cs="Calibri"/>
        </w:rPr>
        <w:t>colonial commodities — tobacco, sugar, cotton, gold, silk, indigo, linen, iron, opium, to name a few — and the financial, legal, military, medical and administrative services that relied on, benefited from or were in some way linked to the ownership and trafficking of enslaved people of African descent, or the colonisation, exploitation and subjugation of peoples across Asia, Oceania, Africa and the Americas.</w:t>
      </w:r>
    </w:p>
    <w:p w14:paraId="2536C6EA" w14:textId="078B7046"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hAnsi="Calibri" w:cs="Calibri"/>
        </w:rPr>
        <w:t xml:space="preserve">The University of Edinburgh has </w:t>
      </w:r>
      <w:r w:rsidR="00690C8B">
        <w:rPr>
          <w:rFonts w:ascii="Calibri" w:hAnsi="Calibri" w:cs="Calibri"/>
        </w:rPr>
        <w:t>15</w:t>
      </w:r>
      <w:r w:rsidRPr="00D41CB8">
        <w:rPr>
          <w:rFonts w:ascii="Calibri" w:hAnsi="Calibri" w:cs="Calibri"/>
        </w:rPr>
        <w:t xml:space="preserve"> historic endowments that have direct or indirect links to the enslavement of African peoples and another </w:t>
      </w:r>
      <w:r w:rsidR="00690C8B">
        <w:rPr>
          <w:rFonts w:ascii="Calibri" w:hAnsi="Calibri" w:cs="Calibri"/>
        </w:rPr>
        <w:t>12</w:t>
      </w:r>
      <w:r w:rsidR="00690C8B" w:rsidRPr="00D41CB8">
        <w:rPr>
          <w:rFonts w:ascii="Calibri" w:hAnsi="Calibri" w:cs="Calibri"/>
        </w:rPr>
        <w:t xml:space="preserve"> </w:t>
      </w:r>
      <w:r w:rsidRPr="00D41CB8">
        <w:rPr>
          <w:rFonts w:ascii="Calibri" w:hAnsi="Calibri" w:cs="Calibri"/>
        </w:rPr>
        <w:t>historic endowments with links to British colonialism</w:t>
      </w:r>
      <w:r w:rsidRPr="00D41CB8">
        <w:rPr>
          <w:rFonts w:ascii="Calibri" w:eastAsia="Calibri" w:hAnsi="Calibri" w:cs="Calibri"/>
        </w:rPr>
        <w:t xml:space="preserve"> in India, Singapore and South Africa. Some of these historic endowments are still ‘active’ or ‘live’, with the potential for more to be identified. Profits derived in part from British colonialism and the enslavement of African people therefore continue to benefit the institution financially today.</w:t>
      </w:r>
    </w:p>
    <w:p w14:paraId="4179CBF6" w14:textId="74635282"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hAnsi="Calibri" w:cs="Calibri"/>
        </w:rPr>
        <w:lastRenderedPageBreak/>
        <w:t xml:space="preserve">The </w:t>
      </w:r>
      <w:r w:rsidRPr="00D41CB8">
        <w:rPr>
          <w:rFonts w:ascii="Calibri" w:eastAsia="Calibri" w:hAnsi="Calibri" w:cs="Calibri"/>
        </w:rPr>
        <w:t>modern-day equivalences for the total amounts of slavery- and empire-linked money</w:t>
      </w:r>
      <w:r w:rsidR="00DC76F7">
        <w:rPr>
          <w:rFonts w:ascii="Calibri" w:eastAsia="Calibri" w:hAnsi="Calibri" w:cs="Calibri"/>
        </w:rPr>
        <w:t xml:space="preserve"> </w:t>
      </w:r>
      <w:r w:rsidRPr="00D41CB8">
        <w:rPr>
          <w:rFonts w:ascii="Calibri" w:eastAsia="Calibri" w:hAnsi="Calibri" w:cs="Calibri"/>
        </w:rPr>
        <w:t>received through the endowments and capital campaigns can be estimated in present-day terms as £30 million (relative price worth), £202 million (relative wage or income worth) or over £800 million (relative output worth).</w:t>
      </w:r>
    </w:p>
    <w:p w14:paraId="789264BF" w14:textId="77777777" w:rsidR="003B182D" w:rsidRPr="00D41CB8" w:rsidRDefault="003B182D" w:rsidP="00057638">
      <w:pPr>
        <w:pStyle w:val="ListParagraph"/>
        <w:numPr>
          <w:ilvl w:val="0"/>
          <w:numId w:val="41"/>
        </w:numPr>
        <w:spacing w:line="259" w:lineRule="auto"/>
        <w:rPr>
          <w:rFonts w:ascii="Calibri" w:hAnsi="Calibri" w:cs="Calibri"/>
        </w:rPr>
      </w:pPr>
      <w:r>
        <w:rPr>
          <w:rFonts w:ascii="Calibri" w:hAnsi="Calibri" w:cs="Calibri"/>
        </w:rPr>
        <w:t>F</w:t>
      </w:r>
      <w:r w:rsidRPr="00D41CB8">
        <w:rPr>
          <w:rFonts w:ascii="Calibri" w:hAnsi="Calibri" w:cs="Calibri"/>
        </w:rPr>
        <w:t xml:space="preserve">inancial concerns </w:t>
      </w:r>
      <w:r>
        <w:rPr>
          <w:rFonts w:ascii="Calibri" w:hAnsi="Calibri" w:cs="Calibri"/>
        </w:rPr>
        <w:t xml:space="preserve">often </w:t>
      </w:r>
      <w:r w:rsidRPr="00D41CB8">
        <w:rPr>
          <w:rFonts w:ascii="Calibri" w:hAnsi="Calibri" w:cs="Calibri"/>
        </w:rPr>
        <w:t>overlap</w:t>
      </w:r>
      <w:r>
        <w:rPr>
          <w:rFonts w:ascii="Calibri" w:hAnsi="Calibri" w:cs="Calibri"/>
        </w:rPr>
        <w:t>ped</w:t>
      </w:r>
      <w:r w:rsidRPr="00D41CB8">
        <w:rPr>
          <w:rFonts w:ascii="Calibri" w:hAnsi="Calibri" w:cs="Calibri"/>
        </w:rPr>
        <w:t xml:space="preserve"> with the institution’s social and intellectual interests.</w:t>
      </w:r>
      <w:r>
        <w:rPr>
          <w:rFonts w:ascii="Calibri" w:hAnsi="Calibri" w:cs="Calibri"/>
        </w:rPr>
        <w:t xml:space="preserve"> </w:t>
      </w:r>
      <w:r w:rsidRPr="00D41CB8">
        <w:rPr>
          <w:rFonts w:ascii="Calibri" w:eastAsia="Calibri" w:hAnsi="Calibri" w:cs="Calibri"/>
        </w:rPr>
        <w:t xml:space="preserve">Members of the University of Edinburgh invested time and resource in colonial ventures (such as the </w:t>
      </w:r>
      <w:r w:rsidRPr="00D41CB8">
        <w:rPr>
          <w:rFonts w:ascii="Calibri" w:hAnsi="Calibri" w:cs="Calibri"/>
        </w:rPr>
        <w:t xml:space="preserve">Company of Scotland) and created strong colonial networks where knowledge was extracted (for example, from enslaved Africans and Indigenous peoples) and exchanged. </w:t>
      </w:r>
    </w:p>
    <w:p w14:paraId="232FDF10" w14:textId="77777777"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eastAsia="Calibri" w:hAnsi="Calibri" w:cs="Calibri"/>
          <w:i/>
          <w:iCs/>
          <w:color w:val="000000" w:themeColor="text1"/>
        </w:rPr>
        <w:t>Research Strand 2</w:t>
      </w:r>
      <w:r>
        <w:rPr>
          <w:rFonts w:ascii="Calibri" w:eastAsia="Calibri" w:hAnsi="Calibri" w:cs="Calibri"/>
          <w:i/>
          <w:iCs/>
          <w:color w:val="000000" w:themeColor="text1"/>
        </w:rPr>
        <w:t>: Theories of Race and Civilisation at the University of Edinburgh, c.1750–1850</w:t>
      </w:r>
      <w:r w:rsidRPr="00D41CB8">
        <w:rPr>
          <w:rFonts w:ascii="Calibri" w:eastAsia="Calibri" w:hAnsi="Calibri" w:cs="Calibri"/>
          <w:color w:val="000000" w:themeColor="text1"/>
        </w:rPr>
        <w:t xml:space="preserve">: </w:t>
      </w:r>
      <w:r w:rsidRPr="00D41CB8">
        <w:rPr>
          <w:rFonts w:ascii="Calibri" w:hAnsi="Calibri" w:cs="Calibri"/>
        </w:rPr>
        <w:t xml:space="preserve">The University of Edinburgh was a haven for professors and alumni who developed theories of racial inferiority and white supremacism, such as the idea that Africans were inferior to whites and that non-white peoples could be colonised for the profit of </w:t>
      </w:r>
      <w:r>
        <w:rPr>
          <w:rFonts w:ascii="Calibri" w:hAnsi="Calibri" w:cs="Calibri"/>
        </w:rPr>
        <w:t>European</w:t>
      </w:r>
      <w:r w:rsidRPr="00D41CB8">
        <w:rPr>
          <w:rFonts w:ascii="Calibri" w:hAnsi="Calibri" w:cs="Calibri"/>
        </w:rPr>
        <w:t xml:space="preserve"> nations. These ideas provided powerful intellectual justifications for enslavement and colonialism and underpinned the rapid expansion of European empire</w:t>
      </w:r>
      <w:r>
        <w:rPr>
          <w:rFonts w:ascii="Calibri" w:hAnsi="Calibri" w:cs="Calibri"/>
        </w:rPr>
        <w:t>s</w:t>
      </w:r>
      <w:r w:rsidRPr="00D41CB8">
        <w:rPr>
          <w:rFonts w:ascii="Calibri" w:hAnsi="Calibri" w:cs="Calibri"/>
        </w:rPr>
        <w:t xml:space="preserve"> around the world. </w:t>
      </w:r>
    </w:p>
    <w:p w14:paraId="7E8D1D09" w14:textId="77777777"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hAnsi="Calibri" w:cs="Calibri"/>
        </w:rPr>
        <w:t xml:space="preserve">University of Edinburgh professors and alumni played an outsized role in developing racial pseudo-sciences that </w:t>
      </w:r>
      <w:r>
        <w:rPr>
          <w:rFonts w:ascii="Calibri" w:hAnsi="Calibri" w:cs="Calibri"/>
        </w:rPr>
        <w:t>created</w:t>
      </w:r>
      <w:r w:rsidRPr="00D41CB8">
        <w:rPr>
          <w:rFonts w:ascii="Calibri" w:hAnsi="Calibri" w:cs="Calibri"/>
        </w:rPr>
        <w:t xml:space="preserve"> civilisational </w:t>
      </w:r>
      <w:r>
        <w:rPr>
          <w:rFonts w:ascii="Calibri" w:hAnsi="Calibri" w:cs="Calibri"/>
        </w:rPr>
        <w:t xml:space="preserve">hierarchies </w:t>
      </w:r>
      <w:r w:rsidRPr="00D41CB8">
        <w:rPr>
          <w:rFonts w:ascii="Calibri" w:hAnsi="Calibri" w:cs="Calibri"/>
        </w:rPr>
        <w:t xml:space="preserve">and habitually positioned Black people at the bottom and white people at the top. These ideas also provided the basis for British ethnology. Examples include Adam Ferguson, Dugald Stewart, David Hume, James Cowle Prichard, Robert Knox and Arthur James Balfour who, through research and teaching, proliferated racist ideas against African, Asian, Middle Eastern and other non-European peoples that underpinned enslavement and colonialism. </w:t>
      </w:r>
    </w:p>
    <w:p w14:paraId="069FD344" w14:textId="77777777"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hAnsi="Calibri" w:cs="Calibri"/>
          <w:i/>
          <w:iCs/>
        </w:rPr>
        <w:t xml:space="preserve">Research </w:t>
      </w:r>
      <w:r>
        <w:rPr>
          <w:rFonts w:ascii="Calibri" w:hAnsi="Calibri" w:cs="Calibri"/>
          <w:i/>
          <w:iCs/>
        </w:rPr>
        <w:t>S</w:t>
      </w:r>
      <w:r w:rsidRPr="00D41CB8">
        <w:rPr>
          <w:rFonts w:ascii="Calibri" w:hAnsi="Calibri" w:cs="Calibri"/>
          <w:i/>
          <w:iCs/>
        </w:rPr>
        <w:t>trand 3</w:t>
      </w:r>
      <w:r>
        <w:rPr>
          <w:rFonts w:ascii="Calibri" w:hAnsi="Calibri" w:cs="Calibri"/>
          <w:i/>
          <w:iCs/>
        </w:rPr>
        <w:t>: The University of Edinburgh and the Question of Palestine — Balfour’s Imperial Legacy and its Afterlife</w:t>
      </w:r>
      <w:r w:rsidRPr="00D41CB8">
        <w:rPr>
          <w:rFonts w:ascii="Calibri" w:hAnsi="Calibri" w:cs="Calibri"/>
        </w:rPr>
        <w:t>: One of the University’s longest serving Chancellors, Arthur James Balfour (1891–1930), played a unique role in establishing and maintaining a century-long process of imperial and settler-colonial rule in Palestine through the 1917 Balfour Declaration</w:t>
      </w:r>
      <w:r>
        <w:rPr>
          <w:rFonts w:ascii="Calibri" w:hAnsi="Calibri" w:cs="Calibri"/>
        </w:rPr>
        <w:t>. This Declaration</w:t>
      </w:r>
      <w:r w:rsidRPr="00D41CB8">
        <w:rPr>
          <w:rFonts w:ascii="Calibri" w:eastAsia="Times New Roman" w:hAnsi="Calibri" w:cs="Calibri"/>
          <w:color w:val="000000" w:themeColor="text1"/>
        </w:rPr>
        <w:t xml:space="preserve"> led to the partitioning of Palestine and the </w:t>
      </w:r>
      <w:r w:rsidRPr="00D41CB8">
        <w:rPr>
          <w:rFonts w:ascii="Calibri" w:hAnsi="Calibri" w:cs="Calibri"/>
        </w:rPr>
        <w:t xml:space="preserve">permanent exile of many Palestinians from their homeland. </w:t>
      </w:r>
    </w:p>
    <w:p w14:paraId="3C7887E2" w14:textId="5763A611"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eastAsia="Times New Roman" w:hAnsi="Calibri" w:cs="Calibri"/>
        </w:rPr>
        <w:t>Balfour assumed race to be a social and biological fact and upheld the right of white Europeans to govern and dominate</w:t>
      </w:r>
      <w:r>
        <w:rPr>
          <w:rFonts w:ascii="Calibri" w:eastAsia="Times New Roman" w:hAnsi="Calibri" w:cs="Calibri"/>
        </w:rPr>
        <w:t xml:space="preserve"> non-Europeans. This</w:t>
      </w:r>
      <w:r w:rsidRPr="00D41CB8">
        <w:rPr>
          <w:rFonts w:ascii="Calibri" w:eastAsia="Times New Roman" w:hAnsi="Calibri" w:cs="Calibri"/>
        </w:rPr>
        <w:t xml:space="preserve"> </w:t>
      </w:r>
      <w:r w:rsidR="0065530F">
        <w:rPr>
          <w:rFonts w:ascii="Calibri" w:eastAsia="Times New Roman" w:hAnsi="Calibri" w:cs="Calibri"/>
        </w:rPr>
        <w:t xml:space="preserve">racist </w:t>
      </w:r>
      <w:r w:rsidRPr="00D41CB8">
        <w:rPr>
          <w:rFonts w:ascii="Calibri" w:eastAsia="Times New Roman" w:hAnsi="Calibri" w:cs="Calibri"/>
        </w:rPr>
        <w:t xml:space="preserve">view directly affected his attitude towards </w:t>
      </w:r>
      <w:r>
        <w:rPr>
          <w:rFonts w:ascii="Calibri" w:eastAsia="Times New Roman" w:hAnsi="Calibri" w:cs="Calibri"/>
        </w:rPr>
        <w:t>his</w:t>
      </w:r>
      <w:r w:rsidRPr="00D41CB8">
        <w:rPr>
          <w:rFonts w:ascii="Calibri" w:eastAsia="Times New Roman" w:hAnsi="Calibri" w:cs="Calibri"/>
        </w:rPr>
        <w:t xml:space="preserve"> governance of imperial and domestic affairs. </w:t>
      </w:r>
    </w:p>
    <w:p w14:paraId="7701BB12" w14:textId="77777777" w:rsidR="003B182D" w:rsidRPr="00EF398C" w:rsidRDefault="003B182D" w:rsidP="00057638">
      <w:pPr>
        <w:pStyle w:val="ListParagraph"/>
        <w:numPr>
          <w:ilvl w:val="0"/>
          <w:numId w:val="41"/>
        </w:numPr>
        <w:spacing w:line="259" w:lineRule="auto"/>
        <w:rPr>
          <w:rFonts w:ascii="Calibri" w:hAnsi="Calibri" w:cs="Calibri"/>
          <w:u w:val="single"/>
        </w:rPr>
      </w:pPr>
      <w:r w:rsidRPr="00D41CB8">
        <w:rPr>
          <w:rFonts w:ascii="Calibri" w:hAnsi="Calibri" w:cs="Calibri"/>
        </w:rPr>
        <w:t xml:space="preserve">The University of Edinburgh continues to be entangled in the historical harms that Balfour instigated through its direct and </w:t>
      </w:r>
      <w:r w:rsidRPr="00EF398C">
        <w:rPr>
          <w:rFonts w:ascii="Calibri" w:hAnsi="Calibri" w:cs="Calibri"/>
        </w:rPr>
        <w:t xml:space="preserve">indirect investments </w:t>
      </w:r>
      <w:r>
        <w:rPr>
          <w:rFonts w:ascii="Calibri" w:hAnsi="Calibri" w:cs="Calibri"/>
        </w:rPr>
        <w:t>that are supporting</w:t>
      </w:r>
      <w:r w:rsidRPr="00EF398C">
        <w:rPr>
          <w:rFonts w:ascii="Calibri" w:hAnsi="Calibri" w:cs="Calibri"/>
        </w:rPr>
        <w:t xml:space="preserve"> </w:t>
      </w:r>
      <w:r>
        <w:rPr>
          <w:rFonts w:ascii="Calibri" w:hAnsi="Calibri" w:cs="Calibri"/>
        </w:rPr>
        <w:t xml:space="preserve">the </w:t>
      </w:r>
      <w:r w:rsidRPr="00EF398C">
        <w:rPr>
          <w:rFonts w:ascii="Calibri" w:hAnsi="Calibri" w:cs="Calibri"/>
        </w:rPr>
        <w:t>Israeli</w:t>
      </w:r>
      <w:r>
        <w:rPr>
          <w:rFonts w:ascii="Calibri" w:hAnsi="Calibri" w:cs="Calibri"/>
        </w:rPr>
        <w:t xml:space="preserve"> government’s</w:t>
      </w:r>
      <w:r w:rsidRPr="00EF398C">
        <w:rPr>
          <w:rFonts w:ascii="Calibri" w:hAnsi="Calibri" w:cs="Calibri"/>
        </w:rPr>
        <w:t xml:space="preserve"> human rights and international law violations against Palestinian people</w:t>
      </w:r>
      <w:r>
        <w:rPr>
          <w:rFonts w:ascii="Calibri" w:hAnsi="Calibri" w:cs="Calibri"/>
        </w:rPr>
        <w:t xml:space="preserve"> today</w:t>
      </w:r>
      <w:r w:rsidRPr="00EF398C">
        <w:rPr>
          <w:rFonts w:ascii="Calibri" w:hAnsi="Calibri" w:cs="Calibri"/>
        </w:rPr>
        <w:t>.</w:t>
      </w:r>
    </w:p>
    <w:p w14:paraId="187296CE" w14:textId="77777777" w:rsidR="003B182D" w:rsidRPr="00EF398C" w:rsidRDefault="003B182D" w:rsidP="00057638">
      <w:pPr>
        <w:pStyle w:val="ListParagraph"/>
        <w:numPr>
          <w:ilvl w:val="0"/>
          <w:numId w:val="40"/>
        </w:numPr>
        <w:spacing w:line="259" w:lineRule="auto"/>
        <w:rPr>
          <w:rFonts w:ascii="Calibri" w:hAnsi="Calibri" w:cs="Calibri"/>
          <w:u w:val="single"/>
        </w:rPr>
      </w:pPr>
      <w:r w:rsidRPr="00EF398C">
        <w:rPr>
          <w:rFonts w:ascii="Calibri" w:eastAsia="Calibri" w:hAnsi="Calibri" w:cs="Calibri"/>
          <w:color w:val="000000" w:themeColor="text1"/>
          <w:u w:val="single"/>
        </w:rPr>
        <w:t>Part 3: Current Institutional Picture from Statistical Perspectives</w:t>
      </w:r>
      <w:r w:rsidRPr="00EF398C">
        <w:rPr>
          <w:rFonts w:ascii="Calibri" w:eastAsia="Calibri" w:hAnsi="Calibri" w:cs="Calibri"/>
          <w:color w:val="000000" w:themeColor="text1"/>
        </w:rPr>
        <w:t>:</w:t>
      </w:r>
    </w:p>
    <w:p w14:paraId="7F101AA6" w14:textId="0B5ED093"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hAnsi="Calibri" w:cs="Calibri"/>
        </w:rPr>
        <w:t>While trends show an increase in diversity among</w:t>
      </w:r>
      <w:r>
        <w:rPr>
          <w:rFonts w:ascii="Calibri" w:hAnsi="Calibri" w:cs="Calibri"/>
        </w:rPr>
        <w:t xml:space="preserve"> University of</w:t>
      </w:r>
      <w:r w:rsidRPr="00D41CB8">
        <w:rPr>
          <w:rFonts w:ascii="Calibri" w:hAnsi="Calibri" w:cs="Calibri"/>
        </w:rPr>
        <w:t xml:space="preserve"> Edinburgh staff and students, these trends are predominately driven by an increase in Asian staff and students. Black staff and student population</w:t>
      </w:r>
      <w:r w:rsidR="0065530F">
        <w:rPr>
          <w:rFonts w:ascii="Calibri" w:hAnsi="Calibri" w:cs="Calibri"/>
        </w:rPr>
        <w:t xml:space="preserve"> number</w:t>
      </w:r>
      <w:r w:rsidRPr="00D41CB8">
        <w:rPr>
          <w:rFonts w:ascii="Calibri" w:hAnsi="Calibri" w:cs="Calibri"/>
        </w:rPr>
        <w:t xml:space="preserve">s have remained relatively unchanged over the </w:t>
      </w:r>
      <w:r w:rsidR="0099171E">
        <w:rPr>
          <w:rFonts w:ascii="Calibri" w:hAnsi="Calibri" w:cs="Calibri"/>
        </w:rPr>
        <w:t>p</w:t>
      </w:r>
      <w:r w:rsidRPr="00D41CB8">
        <w:rPr>
          <w:rFonts w:ascii="Calibri" w:hAnsi="Calibri" w:cs="Calibri"/>
        </w:rPr>
        <w:t xml:space="preserve">ast five years. </w:t>
      </w:r>
    </w:p>
    <w:p w14:paraId="27DB4CE4" w14:textId="395F16D8"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hAnsi="Calibri" w:cs="Calibri"/>
        </w:rPr>
        <w:lastRenderedPageBreak/>
        <w:t xml:space="preserve">The University of Edinburgh tends to hire non-white staff from outside the UK. The overwhelming majority (95%) of hires from within the UK are white. Racial and ethnic minorities from the UK do not benefit from </w:t>
      </w:r>
      <w:r w:rsidR="00143DBB">
        <w:rPr>
          <w:rFonts w:ascii="Calibri" w:hAnsi="Calibri" w:cs="Calibri"/>
        </w:rPr>
        <w:t xml:space="preserve">their </w:t>
      </w:r>
      <w:r w:rsidRPr="00D41CB8">
        <w:rPr>
          <w:rFonts w:ascii="Calibri" w:hAnsi="Calibri" w:cs="Calibri"/>
        </w:rPr>
        <w:t xml:space="preserve">UK nationality to the same extent as their white counterparts. </w:t>
      </w:r>
    </w:p>
    <w:p w14:paraId="2321809A" w14:textId="77777777" w:rsidR="003B182D" w:rsidRPr="00D41CB8" w:rsidRDefault="003B182D" w:rsidP="00057638">
      <w:pPr>
        <w:pStyle w:val="ListParagraph"/>
        <w:numPr>
          <w:ilvl w:val="0"/>
          <w:numId w:val="38"/>
        </w:numPr>
        <w:spacing w:line="259" w:lineRule="auto"/>
        <w:rPr>
          <w:rFonts w:ascii="Calibri" w:hAnsi="Calibri" w:cs="Calibri"/>
          <w:u w:val="single"/>
        </w:rPr>
      </w:pPr>
      <w:r w:rsidRPr="00D41CB8">
        <w:rPr>
          <w:rFonts w:ascii="Calibri" w:eastAsia="Calibri" w:hAnsi="Calibri" w:cs="Calibri"/>
          <w:color w:val="000000" w:themeColor="text1"/>
          <w:u w:val="single"/>
        </w:rPr>
        <w:t>Part 4: Current Situation of Race and Racism</w:t>
      </w:r>
      <w:r w:rsidRPr="00D41CB8">
        <w:rPr>
          <w:rFonts w:ascii="Calibri" w:eastAsia="Calibri" w:hAnsi="Calibri" w:cs="Calibri"/>
          <w:color w:val="000000" w:themeColor="text1"/>
        </w:rPr>
        <w:t>:</w:t>
      </w:r>
      <w:r w:rsidRPr="00D41CB8">
        <w:rPr>
          <w:rFonts w:ascii="Calibri" w:hAnsi="Calibri" w:cs="Calibri"/>
          <w:u w:val="single"/>
        </w:rPr>
        <w:t xml:space="preserve"> </w:t>
      </w:r>
    </w:p>
    <w:p w14:paraId="574F4925" w14:textId="3814897D"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hAnsi="Calibri" w:cs="Calibri"/>
          <w:i/>
          <w:iCs/>
        </w:rPr>
        <w:t>Questionnaire 1</w:t>
      </w:r>
      <w:r w:rsidRPr="00EF398C">
        <w:rPr>
          <w:rFonts w:ascii="Calibri" w:hAnsi="Calibri" w:cs="Calibri"/>
          <w:i/>
          <w:iCs/>
        </w:rPr>
        <w:t xml:space="preserve">: Understanding the </w:t>
      </w:r>
      <w:r>
        <w:rPr>
          <w:rFonts w:ascii="Calibri" w:hAnsi="Calibri" w:cs="Calibri"/>
          <w:i/>
          <w:iCs/>
        </w:rPr>
        <w:t>P</w:t>
      </w:r>
      <w:r w:rsidRPr="00EF398C">
        <w:rPr>
          <w:rFonts w:ascii="Calibri" w:hAnsi="Calibri" w:cs="Calibri"/>
          <w:i/>
          <w:iCs/>
        </w:rPr>
        <w:t xml:space="preserve">resent </w:t>
      </w:r>
      <w:r>
        <w:rPr>
          <w:rFonts w:ascii="Calibri" w:hAnsi="Calibri" w:cs="Calibri"/>
          <w:i/>
          <w:iCs/>
        </w:rPr>
        <w:t>R</w:t>
      </w:r>
      <w:r w:rsidRPr="00EF398C">
        <w:rPr>
          <w:rFonts w:ascii="Calibri" w:hAnsi="Calibri" w:cs="Calibri"/>
          <w:i/>
          <w:iCs/>
        </w:rPr>
        <w:t xml:space="preserve">acial </w:t>
      </w:r>
      <w:r>
        <w:rPr>
          <w:rFonts w:ascii="Calibri" w:hAnsi="Calibri" w:cs="Calibri"/>
          <w:i/>
          <w:iCs/>
        </w:rPr>
        <w:t>C</w:t>
      </w:r>
      <w:r w:rsidRPr="00EF398C">
        <w:rPr>
          <w:rFonts w:ascii="Calibri" w:hAnsi="Calibri" w:cs="Calibri"/>
          <w:i/>
          <w:iCs/>
        </w:rPr>
        <w:t xml:space="preserve">limate of the University of Edinburgh </w:t>
      </w:r>
      <w:r w:rsidRPr="00D41CB8">
        <w:rPr>
          <w:rFonts w:ascii="Calibri" w:hAnsi="Calibri" w:cs="Calibri"/>
        </w:rPr>
        <w:t>assess</w:t>
      </w:r>
      <w:r>
        <w:rPr>
          <w:rFonts w:ascii="Calibri" w:hAnsi="Calibri" w:cs="Calibri"/>
        </w:rPr>
        <w:t>ed</w:t>
      </w:r>
      <w:r w:rsidRPr="00D41CB8">
        <w:rPr>
          <w:rFonts w:ascii="Calibri" w:hAnsi="Calibri" w:cs="Calibri"/>
        </w:rPr>
        <w:t xml:space="preserve"> staff and students’ attitudes towards race and racism</w:t>
      </w:r>
      <w:r>
        <w:rPr>
          <w:rFonts w:ascii="Calibri" w:hAnsi="Calibri" w:cs="Calibri"/>
        </w:rPr>
        <w:t>. It</w:t>
      </w:r>
      <w:r w:rsidRPr="00D41CB8">
        <w:rPr>
          <w:rFonts w:ascii="Calibri" w:hAnsi="Calibri" w:cs="Calibri"/>
        </w:rPr>
        <w:t xml:space="preserve"> found a significant difference in racial attitude</w:t>
      </w:r>
      <w:r>
        <w:rPr>
          <w:rFonts w:ascii="Calibri" w:hAnsi="Calibri" w:cs="Calibri"/>
        </w:rPr>
        <w:t>s</w:t>
      </w:r>
      <w:r w:rsidRPr="00D41CB8">
        <w:rPr>
          <w:rFonts w:ascii="Calibri" w:hAnsi="Calibri" w:cs="Calibri"/>
        </w:rPr>
        <w:t xml:space="preserve"> between participants of different ethnic </w:t>
      </w:r>
      <w:r w:rsidR="0065530F">
        <w:rPr>
          <w:rFonts w:ascii="Calibri" w:hAnsi="Calibri" w:cs="Calibri"/>
        </w:rPr>
        <w:t>heritage</w:t>
      </w:r>
      <w:r w:rsidRPr="00D41CB8">
        <w:rPr>
          <w:rFonts w:ascii="Calibri" w:hAnsi="Calibri" w:cs="Calibri"/>
        </w:rPr>
        <w:t>.</w:t>
      </w:r>
    </w:p>
    <w:p w14:paraId="17B5E8EF" w14:textId="77777777"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hAnsi="Calibri" w:cs="Calibri"/>
        </w:rPr>
        <w:t>Participants who did not disclose their ethnic background displayed a more prejudiced attitude against members from ethnically/racially minoritised backgrounds.</w:t>
      </w:r>
    </w:p>
    <w:p w14:paraId="34653560" w14:textId="3A431357"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hAnsi="Calibri" w:cs="Calibri"/>
          <w:shd w:val="clear" w:color="auto" w:fill="FFFFFF"/>
        </w:rPr>
        <w:t xml:space="preserve">Participants who have spent three to four years studying or working within the University reported </w:t>
      </w:r>
      <w:r w:rsidR="00690C8B">
        <w:rPr>
          <w:rFonts w:ascii="Calibri" w:hAnsi="Calibri" w:cs="Calibri"/>
          <w:shd w:val="clear" w:color="auto" w:fill="FFFFFF"/>
        </w:rPr>
        <w:t xml:space="preserve">a </w:t>
      </w:r>
      <w:r w:rsidRPr="00D41CB8">
        <w:rPr>
          <w:rFonts w:ascii="Calibri" w:hAnsi="Calibri" w:cs="Calibri"/>
          <w:shd w:val="clear" w:color="auto" w:fill="FFFFFF"/>
        </w:rPr>
        <w:t>significantly higher level of</w:t>
      </w:r>
      <w:r>
        <w:rPr>
          <w:rFonts w:ascii="Calibri" w:hAnsi="Calibri" w:cs="Calibri"/>
          <w:shd w:val="clear" w:color="auto" w:fill="FFFFFF"/>
        </w:rPr>
        <w:t xml:space="preserve"> racial</w:t>
      </w:r>
      <w:r w:rsidRPr="00D41CB8">
        <w:rPr>
          <w:rFonts w:ascii="Calibri" w:hAnsi="Calibri" w:cs="Calibri"/>
          <w:shd w:val="clear" w:color="auto" w:fill="FFFFFF"/>
        </w:rPr>
        <w:t xml:space="preserve"> prejudice</w:t>
      </w:r>
      <w:r w:rsidR="0065530F">
        <w:rPr>
          <w:rFonts w:ascii="Calibri" w:hAnsi="Calibri" w:cs="Calibri"/>
          <w:shd w:val="clear" w:color="auto" w:fill="FFFFFF"/>
        </w:rPr>
        <w:t xml:space="preserve"> than those who have spent less time within the University</w:t>
      </w:r>
      <w:r w:rsidRPr="00D41CB8">
        <w:rPr>
          <w:rFonts w:ascii="Calibri" w:hAnsi="Calibri" w:cs="Calibri"/>
          <w:shd w:val="clear" w:color="auto" w:fill="FFFFFF"/>
        </w:rPr>
        <w:t>.</w:t>
      </w:r>
    </w:p>
    <w:p w14:paraId="29BD6B5C" w14:textId="4F745225"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hAnsi="Calibri" w:cs="Calibri"/>
          <w:i/>
          <w:iCs/>
        </w:rPr>
        <w:t>Questionnaire 2</w:t>
      </w:r>
      <w:r>
        <w:rPr>
          <w:rFonts w:ascii="Calibri" w:hAnsi="Calibri" w:cs="Calibri"/>
          <w:i/>
          <w:iCs/>
        </w:rPr>
        <w:t>: Understanding</w:t>
      </w:r>
      <w:r w:rsidRPr="00D41CB8">
        <w:rPr>
          <w:rFonts w:ascii="Calibri" w:hAnsi="Calibri" w:cs="Calibri"/>
        </w:rPr>
        <w:t xml:space="preserve"> </w:t>
      </w:r>
      <w:r w:rsidRPr="00EF398C">
        <w:rPr>
          <w:rFonts w:ascii="Calibri" w:hAnsi="Calibri" w:cs="Calibri"/>
          <w:i/>
          <w:iCs/>
        </w:rPr>
        <w:t>People’s Experiences of Racial Discrimination</w:t>
      </w:r>
      <w:r w:rsidRPr="00D41CB8">
        <w:rPr>
          <w:rFonts w:ascii="Calibri" w:hAnsi="Calibri" w:cs="Calibri"/>
        </w:rPr>
        <w:t xml:space="preserve"> found that par</w:t>
      </w:r>
      <w:r w:rsidRPr="00D41CB8">
        <w:rPr>
          <w:rFonts w:ascii="Calibri" w:hAnsi="Calibri" w:cs="Calibri"/>
          <w:color w:val="000000" w:themeColor="text1"/>
        </w:rPr>
        <w:t>ticipants who self-identify as a racially/ethnically minoritised members of staff or</w:t>
      </w:r>
      <w:r w:rsidR="00690C8B">
        <w:rPr>
          <w:rFonts w:ascii="Calibri" w:hAnsi="Calibri" w:cs="Calibri"/>
          <w:color w:val="000000" w:themeColor="text1"/>
        </w:rPr>
        <w:t xml:space="preserve"> the</w:t>
      </w:r>
      <w:r w:rsidRPr="00D41CB8">
        <w:rPr>
          <w:rFonts w:ascii="Calibri" w:hAnsi="Calibri" w:cs="Calibri"/>
          <w:color w:val="000000" w:themeColor="text1"/>
        </w:rPr>
        <w:t xml:space="preserve"> student</w:t>
      </w:r>
      <w:r w:rsidR="00690C8B">
        <w:rPr>
          <w:rFonts w:ascii="Calibri" w:hAnsi="Calibri" w:cs="Calibri"/>
          <w:color w:val="000000" w:themeColor="text1"/>
        </w:rPr>
        <w:t xml:space="preserve"> body,</w:t>
      </w:r>
      <w:r w:rsidRPr="00D41CB8">
        <w:rPr>
          <w:rFonts w:ascii="Calibri" w:hAnsi="Calibri" w:cs="Calibri"/>
          <w:color w:val="000000" w:themeColor="text1"/>
        </w:rPr>
        <w:t xml:space="preserve"> experienced racism whilst studying or working in the University of Edinburgh. </w:t>
      </w:r>
    </w:p>
    <w:p w14:paraId="62CC66D6" w14:textId="77777777"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hAnsi="Calibri" w:cs="Calibri"/>
          <w:color w:val="000000" w:themeColor="text1"/>
        </w:rPr>
        <w:t xml:space="preserve">Participants who identified as Black African, Black Caribbean, Chinese, Indian and Mixed (White and Black Caribbean) experienced racism more frequently than their white counterparts. </w:t>
      </w:r>
    </w:p>
    <w:p w14:paraId="56920558" w14:textId="77777777" w:rsidR="003B182D" w:rsidRPr="00D41CB8" w:rsidRDefault="003B182D" w:rsidP="00057638">
      <w:pPr>
        <w:pStyle w:val="ListParagraph"/>
        <w:numPr>
          <w:ilvl w:val="0"/>
          <w:numId w:val="41"/>
        </w:numPr>
        <w:spacing w:line="259" w:lineRule="auto"/>
        <w:rPr>
          <w:rFonts w:ascii="Calibri" w:hAnsi="Calibri" w:cs="Calibri"/>
        </w:rPr>
      </w:pPr>
      <w:r w:rsidRPr="00D41CB8">
        <w:rPr>
          <w:rFonts w:ascii="Calibri" w:hAnsi="Calibri" w:cs="Calibri"/>
        </w:rPr>
        <w:t xml:space="preserve">Participants did not tend to seek the support </w:t>
      </w:r>
      <w:r>
        <w:rPr>
          <w:rFonts w:ascii="Calibri" w:hAnsi="Calibri" w:cs="Calibri"/>
        </w:rPr>
        <w:t xml:space="preserve">of, </w:t>
      </w:r>
      <w:r w:rsidRPr="00D41CB8">
        <w:rPr>
          <w:rFonts w:ascii="Calibri" w:hAnsi="Calibri" w:cs="Calibri"/>
        </w:rPr>
        <w:t>or report experiences of racism to</w:t>
      </w:r>
      <w:r>
        <w:rPr>
          <w:rFonts w:ascii="Calibri" w:hAnsi="Calibri" w:cs="Calibri"/>
        </w:rPr>
        <w:t>,</w:t>
      </w:r>
      <w:r w:rsidRPr="00D41CB8">
        <w:rPr>
          <w:rFonts w:ascii="Calibri" w:hAnsi="Calibri" w:cs="Calibri"/>
        </w:rPr>
        <w:t xml:space="preserve"> colleagues or members of staff at the University. This impl</w:t>
      </w:r>
      <w:r>
        <w:rPr>
          <w:rFonts w:ascii="Calibri" w:hAnsi="Calibri" w:cs="Calibri"/>
        </w:rPr>
        <w:t>i</w:t>
      </w:r>
      <w:r w:rsidRPr="00D41CB8">
        <w:rPr>
          <w:rFonts w:ascii="Calibri" w:hAnsi="Calibri" w:cs="Calibri"/>
        </w:rPr>
        <w:t xml:space="preserve">es a lack of, and potentially inadequate, support from </w:t>
      </w:r>
      <w:r>
        <w:rPr>
          <w:rFonts w:ascii="Calibri" w:hAnsi="Calibri" w:cs="Calibri"/>
        </w:rPr>
        <w:t>institutional members</w:t>
      </w:r>
      <w:r w:rsidRPr="00D41CB8">
        <w:rPr>
          <w:rFonts w:ascii="Calibri" w:hAnsi="Calibri" w:cs="Calibri"/>
        </w:rPr>
        <w:t xml:space="preserve"> and the need to improve reporting mechanisms and racial literacy among staff and students.</w:t>
      </w:r>
    </w:p>
    <w:p w14:paraId="3AE3E67F" w14:textId="77777777" w:rsidR="003B182D" w:rsidRPr="00D41CB8" w:rsidRDefault="003B182D" w:rsidP="00057638">
      <w:pPr>
        <w:pStyle w:val="ListParagraph"/>
        <w:numPr>
          <w:ilvl w:val="0"/>
          <w:numId w:val="38"/>
        </w:numPr>
        <w:spacing w:line="259" w:lineRule="auto"/>
        <w:rPr>
          <w:rFonts w:ascii="Calibri" w:hAnsi="Calibri" w:cs="Calibri"/>
          <w:u w:val="single"/>
        </w:rPr>
      </w:pPr>
      <w:r w:rsidRPr="00D41CB8">
        <w:rPr>
          <w:rFonts w:ascii="Calibri" w:eastAsia="Calibri" w:hAnsi="Calibri" w:cs="Calibri"/>
          <w:color w:val="000000" w:themeColor="text1"/>
          <w:u w:val="single"/>
        </w:rPr>
        <w:t>Part 5: Community Engagement</w:t>
      </w:r>
      <w:r w:rsidRPr="00D41CB8">
        <w:rPr>
          <w:rFonts w:ascii="Calibri" w:eastAsia="Calibri" w:hAnsi="Calibri" w:cs="Calibri"/>
          <w:color w:val="000000" w:themeColor="text1"/>
        </w:rPr>
        <w:t>:</w:t>
      </w:r>
    </w:p>
    <w:p w14:paraId="540E74B2" w14:textId="35C1E772" w:rsidR="003B182D" w:rsidRPr="00690CB0" w:rsidRDefault="003B182D" w:rsidP="00057638">
      <w:pPr>
        <w:pStyle w:val="ListParagraph"/>
        <w:numPr>
          <w:ilvl w:val="0"/>
          <w:numId w:val="41"/>
        </w:numPr>
        <w:spacing w:line="259" w:lineRule="auto"/>
        <w:rPr>
          <w:rFonts w:ascii="Calibri" w:eastAsia="Calibri" w:hAnsi="Calibri" w:cs="Calibri"/>
          <w:lang w:eastAsia="zh-CN"/>
        </w:rPr>
      </w:pPr>
      <w:r w:rsidRPr="00690CB0">
        <w:rPr>
          <w:rFonts w:ascii="Calibri" w:eastAsia="Calibri" w:hAnsi="Calibri" w:cs="Calibri"/>
          <w:i/>
          <w:iCs/>
          <w:color w:val="000000" w:themeColor="text1"/>
        </w:rPr>
        <w:t>Theme 1: Restitution and the Anatomical Museum</w:t>
      </w:r>
      <w:r w:rsidRPr="00690CB0">
        <w:rPr>
          <w:rFonts w:ascii="Calibri" w:eastAsia="Calibri" w:hAnsi="Calibri" w:cs="Calibri"/>
          <w:color w:val="000000" w:themeColor="text1"/>
        </w:rPr>
        <w:t xml:space="preserve"> called for</w:t>
      </w:r>
      <w:r w:rsidR="0065530F">
        <w:rPr>
          <w:rFonts w:ascii="Calibri" w:eastAsia="Calibri" w:hAnsi="Calibri" w:cs="Calibri"/>
          <w:color w:val="000000" w:themeColor="text1"/>
        </w:rPr>
        <w:t>: c</w:t>
      </w:r>
      <w:r w:rsidRPr="00690CB0">
        <w:rPr>
          <w:rFonts w:ascii="Calibri" w:eastAsia="Calibri" w:hAnsi="Calibri" w:cs="Calibri"/>
          <w:color w:val="000000" w:themeColor="text1"/>
        </w:rPr>
        <w:t>l</w:t>
      </w:r>
      <w:r w:rsidRPr="00690CB0">
        <w:rPr>
          <w:rFonts w:ascii="Calibri" w:hAnsi="Calibri" w:cs="Calibri"/>
        </w:rPr>
        <w:t>earer information online about the process of repatriation and who to contact</w:t>
      </w:r>
      <w:r w:rsidRPr="00690CB0">
        <w:rPr>
          <w:rFonts w:ascii="Calibri" w:eastAsia="Calibri" w:hAnsi="Calibri" w:cs="Calibri"/>
          <w:color w:val="000000" w:themeColor="text1"/>
        </w:rPr>
        <w:t xml:space="preserve">; </w:t>
      </w:r>
      <w:r w:rsidRPr="00690CB0">
        <w:rPr>
          <w:rFonts w:ascii="Calibri" w:hAnsi="Calibri" w:cs="Calibri"/>
        </w:rPr>
        <w:t>ringfencing money for descendant communities to visit their ancestors and build relations with Anatomical Museum staff; creating funded PhD programmes to support provenance research; creating an accessible and searchable digital catalogue to assist descendant communities with finding their ancestors; and h</w:t>
      </w:r>
      <w:r w:rsidRPr="00690CB0">
        <w:rPr>
          <w:rFonts w:ascii="Calibri" w:eastAsia="Calibri" w:hAnsi="Calibri" w:cs="Calibri"/>
          <w:lang w:eastAsia="zh-CN"/>
        </w:rPr>
        <w:t>iring a dedicated provenance researcher to create a searchable database</w:t>
      </w:r>
      <w:r>
        <w:rPr>
          <w:rFonts w:ascii="Calibri" w:eastAsia="Calibri" w:hAnsi="Calibri" w:cs="Calibri"/>
          <w:lang w:eastAsia="zh-CN"/>
        </w:rPr>
        <w:t xml:space="preserve"> and </w:t>
      </w:r>
      <w:r w:rsidRPr="00690CB0">
        <w:rPr>
          <w:rFonts w:ascii="Calibri" w:eastAsia="Calibri" w:hAnsi="Calibri" w:cs="Calibri"/>
          <w:lang w:eastAsia="zh-CN"/>
        </w:rPr>
        <w:t>be the lead on Anatomical/School of Medicine archives and provenance research to support repatriation claims.</w:t>
      </w:r>
    </w:p>
    <w:p w14:paraId="499FB358" w14:textId="3A787563" w:rsidR="003B182D" w:rsidRPr="00D41CB8" w:rsidRDefault="003B182D" w:rsidP="00057638">
      <w:pPr>
        <w:pStyle w:val="ListParagraph"/>
        <w:numPr>
          <w:ilvl w:val="0"/>
          <w:numId w:val="41"/>
        </w:numPr>
        <w:spacing w:line="259" w:lineRule="auto"/>
        <w:rPr>
          <w:rFonts w:ascii="Calibri" w:hAnsi="Calibri" w:cs="Calibri"/>
          <w:u w:val="single"/>
        </w:rPr>
      </w:pPr>
      <w:r w:rsidRPr="00D41CB8">
        <w:rPr>
          <w:rFonts w:ascii="Calibri" w:eastAsia="Calibri" w:hAnsi="Calibri" w:cs="Calibri"/>
          <w:i/>
          <w:iCs/>
          <w:color w:val="000000" w:themeColor="text1"/>
        </w:rPr>
        <w:t xml:space="preserve">Theme 2: Creating a Research and Community Centre for the Study of Racisms, Colonialism and Anti-Black Violence </w:t>
      </w:r>
      <w:r w:rsidRPr="00D41CB8">
        <w:rPr>
          <w:rFonts w:ascii="Calibri" w:hAnsi="Calibri" w:cs="Calibri"/>
        </w:rPr>
        <w:t xml:space="preserve">called for the inclusion of a physical community space within a dedicated new research centre to be used and managed by racially/ethnically minoritised communities both within and outside the University. Such a space would aim to improve access to University resources and researchers, and integrate community-driven research and initiatives. </w:t>
      </w:r>
    </w:p>
    <w:p w14:paraId="0EB01947" w14:textId="77777777" w:rsidR="003B182D" w:rsidRPr="00D41CB8" w:rsidRDefault="003B182D" w:rsidP="00057638">
      <w:pPr>
        <w:pStyle w:val="ListParagraph"/>
        <w:numPr>
          <w:ilvl w:val="0"/>
          <w:numId w:val="41"/>
        </w:numPr>
        <w:spacing w:line="259" w:lineRule="auto"/>
        <w:rPr>
          <w:rFonts w:ascii="Calibri" w:hAnsi="Calibri" w:cs="Calibri"/>
          <w:u w:val="single"/>
        </w:rPr>
      </w:pPr>
      <w:r w:rsidRPr="00D41CB8">
        <w:rPr>
          <w:rFonts w:ascii="Calibri" w:hAnsi="Calibri" w:cs="Calibri"/>
          <w:i/>
          <w:iCs/>
        </w:rPr>
        <w:t xml:space="preserve">Theme 3: Digital Archiving </w:t>
      </w:r>
      <w:r w:rsidRPr="00D41CB8">
        <w:rPr>
          <w:rFonts w:ascii="Calibri" w:eastAsia="Calibri" w:hAnsi="Calibri" w:cs="Calibri"/>
          <w:color w:val="000000" w:themeColor="text1"/>
        </w:rPr>
        <w:t xml:space="preserve">called for the creation of a publicly accessible, grassroots-driven digital archive to document the 40-year history of reparations </w:t>
      </w:r>
      <w:r w:rsidRPr="00D41CB8">
        <w:rPr>
          <w:rFonts w:ascii="Calibri" w:eastAsia="Calibri" w:hAnsi="Calibri" w:cs="Calibri"/>
          <w:color w:val="000000" w:themeColor="text1"/>
        </w:rPr>
        <w:lastRenderedPageBreak/>
        <w:t xml:space="preserve">movements in the UK and their contribution to the ‘International Social Movement for Afrikan Reparations’. It also called for improving access to institutional records to help communities, researchers and students </w:t>
      </w:r>
      <w:r>
        <w:rPr>
          <w:rFonts w:ascii="Calibri" w:eastAsia="Calibri" w:hAnsi="Calibri" w:cs="Calibri"/>
          <w:color w:val="000000" w:themeColor="text1"/>
        </w:rPr>
        <w:t>engage with the</w:t>
      </w:r>
      <w:r w:rsidRPr="00D41CB8">
        <w:rPr>
          <w:rFonts w:ascii="Calibri" w:eastAsia="Calibri" w:hAnsi="Calibri" w:cs="Calibri"/>
          <w:color w:val="000000" w:themeColor="text1"/>
        </w:rPr>
        <w:t xml:space="preserve"> long history of the University’s links to enslavement, colonialism and the development of racial thought.</w:t>
      </w:r>
    </w:p>
    <w:p w14:paraId="14C67843" w14:textId="589AA7AA" w:rsidR="003B182D" w:rsidRPr="00690CB0" w:rsidRDefault="003B182D" w:rsidP="00057638">
      <w:pPr>
        <w:pStyle w:val="ListParagraph"/>
        <w:numPr>
          <w:ilvl w:val="0"/>
          <w:numId w:val="41"/>
        </w:numPr>
        <w:spacing w:line="259" w:lineRule="auto"/>
        <w:rPr>
          <w:rFonts w:ascii="Calibri" w:hAnsi="Calibri" w:cs="Calibri"/>
          <w:u w:val="single"/>
        </w:rPr>
      </w:pPr>
      <w:r w:rsidRPr="00D41CB8">
        <w:rPr>
          <w:rFonts w:ascii="Calibri" w:hAnsi="Calibri" w:cs="Calibri"/>
          <w:i/>
          <w:iCs/>
        </w:rPr>
        <w:t>Theme 4: Curriculum Transformation and Decolonisation</w:t>
      </w:r>
      <w:r w:rsidRPr="00D41CB8">
        <w:rPr>
          <w:rFonts w:ascii="Calibri" w:hAnsi="Calibri" w:cs="Calibri"/>
        </w:rPr>
        <w:t xml:space="preserve"> linked to the work b</w:t>
      </w:r>
      <w:r>
        <w:rPr>
          <w:rFonts w:ascii="Calibri" w:hAnsi="Calibri" w:cs="Calibri"/>
        </w:rPr>
        <w:t>eing</w:t>
      </w:r>
      <w:r w:rsidRPr="00D41CB8">
        <w:rPr>
          <w:rFonts w:ascii="Calibri" w:hAnsi="Calibri" w:cs="Calibri"/>
        </w:rPr>
        <w:t xml:space="preserve"> led by Dr Omolabake Fakunle </w:t>
      </w:r>
      <w:r>
        <w:rPr>
          <w:rFonts w:ascii="Calibri" w:hAnsi="Calibri" w:cs="Calibri"/>
        </w:rPr>
        <w:t>that is looking into the decolonisation aspects of the Curriculum Transformation Programme.</w:t>
      </w:r>
      <w:r>
        <w:rPr>
          <w:rFonts w:ascii="Calibri" w:eastAsia="Times New Roman" w:hAnsi="Calibri" w:cs="Calibri"/>
          <w:color w:val="000000"/>
          <w:bdr w:val="none" w:sz="0" w:space="0" w:color="auto" w:frame="1"/>
          <w:lang w:eastAsia="en-GB"/>
        </w:rPr>
        <w:t xml:space="preserve"> I</w:t>
      </w:r>
      <w:r w:rsidRPr="00D41CB8">
        <w:rPr>
          <w:rFonts w:ascii="Calibri" w:eastAsia="Times New Roman" w:hAnsi="Calibri" w:cs="Calibri"/>
          <w:color w:val="000000"/>
          <w:bdr w:val="none" w:sz="0" w:space="0" w:color="auto" w:frame="1"/>
          <w:lang w:eastAsia="en-GB"/>
        </w:rPr>
        <w:t xml:space="preserve">t called for more exploration into the ways that pedagogies from the Global South can be incorporated into the current provision and address the lack </w:t>
      </w:r>
      <w:r w:rsidRPr="00D41CB8">
        <w:rPr>
          <w:rFonts w:ascii="Calibri" w:eastAsia="Times New Roman" w:hAnsi="Calibri" w:cs="Calibri"/>
          <w:color w:val="000000"/>
          <w:bdr w:val="none" w:sz="0" w:space="0" w:color="auto" w:frame="1"/>
          <w:shd w:val="clear" w:color="auto" w:fill="FFFFFF"/>
          <w:lang w:eastAsia="en-GB"/>
        </w:rPr>
        <w:t>of recognition of knowledge produced outside of Western context</w:t>
      </w:r>
      <w:r w:rsidR="00143DBB">
        <w:rPr>
          <w:rFonts w:ascii="Calibri" w:eastAsia="Times New Roman" w:hAnsi="Calibri" w:cs="Calibri"/>
          <w:color w:val="000000"/>
          <w:bdr w:val="none" w:sz="0" w:space="0" w:color="auto" w:frame="1"/>
          <w:shd w:val="clear" w:color="auto" w:fill="FFFFFF"/>
          <w:lang w:eastAsia="en-GB"/>
        </w:rPr>
        <w:t>s</w:t>
      </w:r>
      <w:r w:rsidRPr="00D41CB8">
        <w:rPr>
          <w:rFonts w:ascii="Calibri" w:eastAsia="Times New Roman" w:hAnsi="Calibri" w:cs="Calibri"/>
          <w:color w:val="000000"/>
          <w:bdr w:val="none" w:sz="0" w:space="0" w:color="auto" w:frame="1"/>
          <w:shd w:val="clear" w:color="auto" w:fill="FFFFFF"/>
          <w:lang w:eastAsia="en-GB"/>
        </w:rPr>
        <w:t xml:space="preserve">. </w:t>
      </w:r>
    </w:p>
    <w:p w14:paraId="1D00500C" w14:textId="6D21F059" w:rsidR="003B182D" w:rsidRPr="00135006" w:rsidRDefault="003B182D" w:rsidP="00057638">
      <w:pPr>
        <w:pStyle w:val="ListParagraph"/>
        <w:numPr>
          <w:ilvl w:val="0"/>
          <w:numId w:val="38"/>
        </w:numPr>
        <w:spacing w:line="259" w:lineRule="auto"/>
        <w:rPr>
          <w:rFonts w:ascii="Calibri" w:hAnsi="Calibri" w:cs="Calibri"/>
          <w:u w:val="single"/>
        </w:rPr>
      </w:pPr>
      <w:r w:rsidRPr="00D41CB8">
        <w:rPr>
          <w:rFonts w:ascii="Calibri" w:eastAsia="Calibri" w:hAnsi="Calibri" w:cs="Calibri"/>
          <w:color w:val="000000" w:themeColor="text1"/>
          <w:u w:val="single"/>
        </w:rPr>
        <w:t>Part 6: Reparatory Justice Recommendations</w:t>
      </w:r>
      <w:r>
        <w:rPr>
          <w:rFonts w:ascii="Calibri" w:eastAsia="Calibri" w:hAnsi="Calibri" w:cs="Calibri"/>
          <w:color w:val="000000" w:themeColor="text1"/>
        </w:rPr>
        <w:t xml:space="preserve"> hinge</w:t>
      </w:r>
      <w:r w:rsidR="00143DBB">
        <w:rPr>
          <w:rFonts w:ascii="Calibri" w:eastAsia="Calibri" w:hAnsi="Calibri" w:cs="Calibri"/>
          <w:color w:val="000000" w:themeColor="text1"/>
        </w:rPr>
        <w:t>s</w:t>
      </w:r>
      <w:r>
        <w:rPr>
          <w:rFonts w:ascii="Calibri" w:eastAsia="Calibri" w:hAnsi="Calibri" w:cs="Calibri"/>
          <w:color w:val="000000" w:themeColor="text1"/>
        </w:rPr>
        <w:t xml:space="preserve"> on </w:t>
      </w:r>
      <w:r>
        <w:rPr>
          <w:rFonts w:ascii="Calibri" w:hAnsi="Calibri" w:cs="Calibri"/>
        </w:rPr>
        <w:t>t</w:t>
      </w:r>
      <w:r w:rsidRPr="00BE4951">
        <w:rPr>
          <w:rFonts w:ascii="Calibri" w:hAnsi="Calibri" w:cs="Calibri"/>
        </w:rPr>
        <w:t>he establishment of a Research and Community Centre for the Study of Racisms, Colonialism and Anti-Black Violence</w:t>
      </w:r>
      <w:r>
        <w:rPr>
          <w:rFonts w:ascii="Calibri" w:hAnsi="Calibri" w:cs="Calibri"/>
        </w:rPr>
        <w:t>. This</w:t>
      </w:r>
      <w:r w:rsidRPr="00BE4951">
        <w:rPr>
          <w:rFonts w:ascii="Calibri" w:hAnsi="Calibri" w:cs="Calibri"/>
        </w:rPr>
        <w:t xml:space="preserve"> would provide a dedicated infrastructure in which to house and implement the REWG’s recommendations, while furthering research and community engagement into the history and legacies of racial violence.</w:t>
      </w:r>
      <w:r>
        <w:rPr>
          <w:rFonts w:ascii="Calibri" w:hAnsi="Calibri" w:cs="Calibri"/>
        </w:rPr>
        <w:t xml:space="preserve"> </w:t>
      </w:r>
      <w:r w:rsidRPr="00BE4951">
        <w:rPr>
          <w:rFonts w:ascii="Calibri" w:hAnsi="Calibri" w:cs="Calibri"/>
        </w:rPr>
        <w:t>Unlike equivalent centres at peer institutions, this Centre would be unique in bringing together a transdisciplinary collection of scholars from all three Colleges, while including the work of activists, practitioners, artists and other community groups.</w:t>
      </w:r>
      <w:r>
        <w:rPr>
          <w:rFonts w:ascii="Calibri" w:hAnsi="Calibri" w:cs="Calibri"/>
        </w:rPr>
        <w:t xml:space="preserve"> </w:t>
      </w:r>
    </w:p>
    <w:p w14:paraId="300BAE8F" w14:textId="77777777" w:rsidR="003B182D" w:rsidRPr="00BE4951" w:rsidRDefault="003B182D" w:rsidP="00057638">
      <w:pPr>
        <w:pStyle w:val="ListParagraph"/>
        <w:spacing w:line="259" w:lineRule="auto"/>
        <w:ind w:firstLine="360"/>
        <w:rPr>
          <w:rFonts w:ascii="Calibri" w:hAnsi="Calibri" w:cs="Calibri"/>
          <w:u w:val="single"/>
        </w:rPr>
      </w:pPr>
      <w:r>
        <w:rPr>
          <w:rFonts w:ascii="Calibri" w:hAnsi="Calibri" w:cs="Calibri"/>
        </w:rPr>
        <w:t>Its aims are:</w:t>
      </w:r>
    </w:p>
    <w:p w14:paraId="4B346164" w14:textId="77777777" w:rsidR="003B182D" w:rsidRPr="00D41CB8" w:rsidRDefault="003B182D" w:rsidP="00057638">
      <w:pPr>
        <w:pStyle w:val="ListParagraph"/>
        <w:numPr>
          <w:ilvl w:val="0"/>
          <w:numId w:val="42"/>
        </w:numPr>
        <w:spacing w:line="259" w:lineRule="auto"/>
        <w:rPr>
          <w:rFonts w:ascii="Calibri" w:hAnsi="Calibri" w:cs="Calibri"/>
          <w:u w:val="single"/>
        </w:rPr>
      </w:pPr>
      <w:r w:rsidRPr="00D41CB8">
        <w:rPr>
          <w:rFonts w:ascii="Calibri" w:hAnsi="Calibri" w:cs="Calibri"/>
        </w:rPr>
        <w:t>To create a central point for cultural transformation by mainstreaming issues relating to racial discrimination and decolonisation in recognition of the different kinds of racisms experienced by different ethnic/racial groups. </w:t>
      </w:r>
    </w:p>
    <w:p w14:paraId="33891112" w14:textId="6962BC2E" w:rsidR="003B182D" w:rsidRPr="00D41CB8" w:rsidRDefault="003B182D" w:rsidP="00057638">
      <w:pPr>
        <w:pStyle w:val="ListParagraph"/>
        <w:numPr>
          <w:ilvl w:val="0"/>
          <w:numId w:val="42"/>
        </w:numPr>
        <w:spacing w:line="259" w:lineRule="auto"/>
        <w:rPr>
          <w:rFonts w:ascii="Calibri" w:hAnsi="Calibri" w:cs="Calibri"/>
          <w:u w:val="single"/>
        </w:rPr>
      </w:pPr>
      <w:r w:rsidRPr="00D41CB8">
        <w:rPr>
          <w:rFonts w:ascii="Calibri" w:hAnsi="Calibri" w:cs="Calibri"/>
        </w:rPr>
        <w:t xml:space="preserve">To </w:t>
      </w:r>
      <w:r w:rsidR="00143DBB">
        <w:rPr>
          <w:rFonts w:ascii="Calibri" w:hAnsi="Calibri" w:cs="Calibri"/>
        </w:rPr>
        <w:t xml:space="preserve">support a </w:t>
      </w:r>
      <w:r w:rsidRPr="00D41CB8">
        <w:rPr>
          <w:rFonts w:ascii="Calibri" w:hAnsi="Calibri" w:cs="Calibri"/>
        </w:rPr>
        <w:t>public acknowledge</w:t>
      </w:r>
      <w:r w:rsidR="00143DBB">
        <w:rPr>
          <w:rFonts w:ascii="Calibri" w:hAnsi="Calibri" w:cs="Calibri"/>
        </w:rPr>
        <w:t>ment</w:t>
      </w:r>
      <w:r w:rsidRPr="00D41CB8">
        <w:rPr>
          <w:rFonts w:ascii="Calibri" w:hAnsi="Calibri" w:cs="Calibri"/>
        </w:rPr>
        <w:t xml:space="preserve"> and apolog</w:t>
      </w:r>
      <w:r w:rsidR="00143DBB">
        <w:rPr>
          <w:rFonts w:ascii="Calibri" w:hAnsi="Calibri" w:cs="Calibri"/>
        </w:rPr>
        <w:t>y</w:t>
      </w:r>
      <w:r w:rsidRPr="00D41CB8">
        <w:rPr>
          <w:rFonts w:ascii="Calibri" w:hAnsi="Calibri" w:cs="Calibri"/>
        </w:rPr>
        <w:t xml:space="preserve"> for the University of Edinburgh’s historical links to slavery, colonialism and their legacies today</w:t>
      </w:r>
      <w:r>
        <w:rPr>
          <w:rFonts w:ascii="Calibri" w:hAnsi="Calibri" w:cs="Calibri"/>
        </w:rPr>
        <w:t>.</w:t>
      </w:r>
    </w:p>
    <w:p w14:paraId="2C60ADEA" w14:textId="77777777" w:rsidR="003B182D" w:rsidRPr="00D41CB8" w:rsidRDefault="003B182D" w:rsidP="00057638">
      <w:pPr>
        <w:pStyle w:val="ListParagraph"/>
        <w:numPr>
          <w:ilvl w:val="0"/>
          <w:numId w:val="42"/>
        </w:numPr>
        <w:spacing w:line="259" w:lineRule="auto"/>
        <w:rPr>
          <w:rFonts w:ascii="Calibri" w:hAnsi="Calibri" w:cs="Calibri"/>
          <w:u w:val="single"/>
        </w:rPr>
      </w:pPr>
      <w:r w:rsidRPr="00D41CB8">
        <w:rPr>
          <w:rFonts w:ascii="Calibri" w:hAnsi="Calibri" w:cs="Calibri"/>
        </w:rPr>
        <w:t>To improve the institutional climate for ethnically/racially minoritised staff and students and address under-representation by improving institutional practices and policies around hiring, retention and racial literacy.</w:t>
      </w:r>
    </w:p>
    <w:p w14:paraId="13FCC3B3" w14:textId="77777777" w:rsidR="003B182D" w:rsidRPr="00D41CB8" w:rsidRDefault="003B182D" w:rsidP="00057638">
      <w:pPr>
        <w:pStyle w:val="ListParagraph"/>
        <w:numPr>
          <w:ilvl w:val="0"/>
          <w:numId w:val="42"/>
        </w:numPr>
        <w:spacing w:line="259" w:lineRule="auto"/>
        <w:rPr>
          <w:rFonts w:ascii="Calibri" w:hAnsi="Calibri" w:cs="Calibri"/>
          <w:u w:val="single"/>
        </w:rPr>
      </w:pPr>
      <w:r w:rsidRPr="00D41CB8">
        <w:rPr>
          <w:rFonts w:ascii="Calibri" w:hAnsi="Calibri" w:cs="Calibri"/>
        </w:rPr>
        <w:t>To make the study of colonialism, enslavement and their racial legacies, as well as anti-colonial resistance, decolonisation and reparations, central to the educative mission of the University of Edinburgh</w:t>
      </w:r>
      <w:r>
        <w:rPr>
          <w:rFonts w:ascii="Calibri" w:hAnsi="Calibri" w:cs="Calibri"/>
        </w:rPr>
        <w:t xml:space="preserve">. This includes supporting the establishment of a dedicated </w:t>
      </w:r>
      <w:r w:rsidRPr="00690CB0">
        <w:rPr>
          <w:rFonts w:ascii="Calibri" w:hAnsi="Calibri" w:cs="Calibri"/>
        </w:rPr>
        <w:t>Palestine Studies Centre</w:t>
      </w:r>
      <w:r>
        <w:rPr>
          <w:rFonts w:ascii="Calibri" w:hAnsi="Calibri" w:cs="Calibri"/>
        </w:rPr>
        <w:t>.</w:t>
      </w:r>
    </w:p>
    <w:p w14:paraId="62EC6DC3" w14:textId="75BE982E" w:rsidR="003B182D" w:rsidRPr="00D41CB8" w:rsidRDefault="003B182D" w:rsidP="00057638">
      <w:pPr>
        <w:pStyle w:val="ListParagraph"/>
        <w:numPr>
          <w:ilvl w:val="0"/>
          <w:numId w:val="42"/>
        </w:numPr>
        <w:spacing w:line="259" w:lineRule="auto"/>
        <w:rPr>
          <w:rFonts w:ascii="Calibri" w:hAnsi="Calibri" w:cs="Calibri"/>
          <w:u w:val="single"/>
        </w:rPr>
      </w:pPr>
      <w:r w:rsidRPr="00D41CB8">
        <w:rPr>
          <w:rFonts w:ascii="Calibri" w:hAnsi="Calibri" w:cs="Calibri"/>
        </w:rPr>
        <w:t xml:space="preserve">To support </w:t>
      </w:r>
      <w:r w:rsidR="00B47586">
        <w:rPr>
          <w:rFonts w:ascii="Calibri" w:hAnsi="Calibri" w:cs="Calibri"/>
        </w:rPr>
        <w:t xml:space="preserve">existing and further </w:t>
      </w:r>
      <w:r w:rsidRPr="00D41CB8">
        <w:rPr>
          <w:rFonts w:ascii="Calibri" w:hAnsi="Calibri" w:cs="Calibri"/>
        </w:rPr>
        <w:t>research (both academic- and community-led) into the histories and legacies of enslavement</w:t>
      </w:r>
      <w:r>
        <w:rPr>
          <w:rFonts w:ascii="Calibri" w:hAnsi="Calibri" w:cs="Calibri"/>
        </w:rPr>
        <w:t>,</w:t>
      </w:r>
      <w:r w:rsidRPr="00D41CB8">
        <w:rPr>
          <w:rFonts w:ascii="Calibri" w:hAnsi="Calibri" w:cs="Calibri"/>
        </w:rPr>
        <w:t xml:space="preserve"> colonialism and the development of racial thought across all three Colleges.</w:t>
      </w:r>
    </w:p>
    <w:p w14:paraId="233BB379" w14:textId="77777777" w:rsidR="003B182D" w:rsidRPr="00D41CB8" w:rsidRDefault="003B182D" w:rsidP="00057638">
      <w:pPr>
        <w:pStyle w:val="ListParagraph"/>
        <w:numPr>
          <w:ilvl w:val="0"/>
          <w:numId w:val="42"/>
        </w:numPr>
        <w:spacing w:line="259" w:lineRule="auto"/>
        <w:rPr>
          <w:rFonts w:ascii="Calibri" w:hAnsi="Calibri" w:cs="Calibri"/>
          <w:u w:val="single"/>
        </w:rPr>
      </w:pPr>
      <w:r w:rsidRPr="00D41CB8">
        <w:rPr>
          <w:rFonts w:ascii="Calibri" w:hAnsi="Calibri" w:cs="Calibri"/>
        </w:rPr>
        <w:t>To create a bridge between researchers, practitioners, communities and activists by encouraging collaborative and reparative efforts to address racial legacies and enhance the institution’s connection with local communities</w:t>
      </w:r>
    </w:p>
    <w:p w14:paraId="4460F66F" w14:textId="77777777" w:rsidR="003B182D" w:rsidRPr="00D41CB8" w:rsidRDefault="003B182D" w:rsidP="00057638">
      <w:pPr>
        <w:pStyle w:val="ListParagraph"/>
        <w:numPr>
          <w:ilvl w:val="0"/>
          <w:numId w:val="42"/>
        </w:numPr>
        <w:spacing w:line="259" w:lineRule="auto"/>
        <w:rPr>
          <w:rFonts w:ascii="Calibri" w:hAnsi="Calibri" w:cs="Calibri"/>
          <w:u w:val="single"/>
        </w:rPr>
      </w:pPr>
      <w:r>
        <w:rPr>
          <w:rFonts w:ascii="Calibri" w:hAnsi="Calibri" w:cs="Calibri"/>
        </w:rPr>
        <w:t>T</w:t>
      </w:r>
      <w:r w:rsidRPr="00D41CB8">
        <w:rPr>
          <w:rFonts w:ascii="Calibri" w:hAnsi="Calibri" w:cs="Calibri"/>
        </w:rPr>
        <w:t>o provide an academic unit responsible for converting research about racism into proactive strategies aimed at improving the life chances of racially and ethnically minoritised peoples and able to influence opinion and policy making in the UK and abroad</w:t>
      </w:r>
      <w:r>
        <w:rPr>
          <w:rFonts w:ascii="Calibri" w:hAnsi="Calibri" w:cs="Calibri"/>
        </w:rPr>
        <w:t>.</w:t>
      </w:r>
    </w:p>
    <w:p w14:paraId="56DAD31E" w14:textId="77777777" w:rsidR="003B182D" w:rsidRPr="00D41CB8" w:rsidRDefault="003B182D" w:rsidP="00057638">
      <w:pPr>
        <w:pStyle w:val="ListParagraph"/>
        <w:numPr>
          <w:ilvl w:val="0"/>
          <w:numId w:val="42"/>
        </w:numPr>
        <w:spacing w:line="259" w:lineRule="auto"/>
        <w:rPr>
          <w:rFonts w:ascii="Calibri" w:hAnsi="Calibri" w:cs="Calibri"/>
          <w:u w:val="single"/>
        </w:rPr>
      </w:pPr>
      <w:r w:rsidRPr="00D41CB8">
        <w:rPr>
          <w:rFonts w:ascii="Calibri" w:hAnsi="Calibri" w:cs="Calibri"/>
        </w:rPr>
        <w:t>To establish a platform for garnering research grants, entrepreneurial opportunities and philanthropic (donor-based) support</w:t>
      </w:r>
      <w:r>
        <w:rPr>
          <w:rFonts w:ascii="Calibri" w:hAnsi="Calibri" w:cs="Calibri"/>
        </w:rPr>
        <w:t>.</w:t>
      </w:r>
    </w:p>
    <w:p w14:paraId="23E21B17" w14:textId="77777777" w:rsidR="003B182D" w:rsidRPr="00135006" w:rsidRDefault="003B182D" w:rsidP="00057638">
      <w:pPr>
        <w:pStyle w:val="ListParagraph"/>
        <w:numPr>
          <w:ilvl w:val="0"/>
          <w:numId w:val="42"/>
        </w:numPr>
        <w:spacing w:line="259" w:lineRule="auto"/>
        <w:rPr>
          <w:rFonts w:ascii="Calibri" w:hAnsi="Calibri" w:cs="Calibri"/>
          <w:u w:val="single"/>
        </w:rPr>
      </w:pPr>
      <w:r w:rsidRPr="00D41CB8">
        <w:rPr>
          <w:rFonts w:ascii="Calibri" w:hAnsi="Calibri" w:cs="Calibri"/>
        </w:rPr>
        <w:lastRenderedPageBreak/>
        <w:t>To improve access to institutional archives, work on decolonising the archives and repatriation efforts, and secure resource for new archives to improve the visibility of anti-racist and reparations work</w:t>
      </w:r>
      <w:r>
        <w:rPr>
          <w:rFonts w:ascii="Calibri" w:hAnsi="Calibri" w:cs="Calibri"/>
        </w:rPr>
        <w:t>.</w:t>
      </w:r>
    </w:p>
    <w:p w14:paraId="7CB3DB02" w14:textId="77777777" w:rsidR="003B182D" w:rsidRDefault="003B182D">
      <w:pPr>
        <w:rPr>
          <w:rFonts w:eastAsiaTheme="majorEastAsia" w:cs="Times New Roman (Headings CS)"/>
          <w:b/>
          <w:smallCaps/>
          <w:sz w:val="28"/>
          <w:szCs w:val="32"/>
        </w:rPr>
      </w:pPr>
      <w:r>
        <w:br w:type="page"/>
      </w:r>
    </w:p>
    <w:p w14:paraId="7F49C1E1" w14:textId="5E9CB2B7" w:rsidR="00AD49F4" w:rsidRPr="0024417D" w:rsidRDefault="154F5B0E" w:rsidP="0024417D">
      <w:pPr>
        <w:pStyle w:val="Heading1"/>
      </w:pPr>
      <w:bookmarkStart w:id="3" w:name="_Toc190939396"/>
      <w:bookmarkStart w:id="4" w:name="_Toc202627079"/>
      <w:r w:rsidRPr="0024417D">
        <w:lastRenderedPageBreak/>
        <w:t>I</w:t>
      </w:r>
      <w:r w:rsidR="4D6DBE3D" w:rsidRPr="0024417D">
        <w:t>ntroduction</w:t>
      </w:r>
      <w:bookmarkEnd w:id="2"/>
      <w:r w:rsidRPr="0024417D">
        <w:t xml:space="preserve"> </w:t>
      </w:r>
      <w:r w:rsidR="00972519" w:rsidRPr="0024417D">
        <w:t>and Aims</w:t>
      </w:r>
      <w:bookmarkEnd w:id="3"/>
      <w:bookmarkEnd w:id="4"/>
    </w:p>
    <w:p w14:paraId="52E45805" w14:textId="77777777" w:rsidR="00634856" w:rsidRDefault="00634856" w:rsidP="00016E93">
      <w:pPr>
        <w:spacing w:line="259" w:lineRule="auto"/>
        <w:jc w:val="both"/>
        <w:rPr>
          <w:rFonts w:ascii="Calibri" w:eastAsia="Calibri" w:hAnsi="Calibri" w:cs="Calibri"/>
          <w:color w:val="000000" w:themeColor="text1"/>
        </w:rPr>
      </w:pPr>
    </w:p>
    <w:p w14:paraId="46ABC497" w14:textId="77777777" w:rsidR="08C03F7D" w:rsidRDefault="08C03F7D" w:rsidP="005E3F8B">
      <w:pPr>
        <w:spacing w:line="259" w:lineRule="auto"/>
        <w:jc w:val="both"/>
        <w:rPr>
          <w:rFonts w:ascii="Calibri" w:eastAsia="Calibri" w:hAnsi="Calibri" w:cs="Calibri"/>
          <w:color w:val="000000" w:themeColor="text1"/>
        </w:rPr>
      </w:pPr>
    </w:p>
    <w:p w14:paraId="1F1A0419" w14:textId="63B563BD" w:rsidR="00773F7C" w:rsidRPr="008561A0" w:rsidRDefault="006537AB" w:rsidP="00057638">
      <w:pPr>
        <w:spacing w:line="259" w:lineRule="auto"/>
        <w:rPr>
          <w:rFonts w:eastAsia="Calibri" w:cstheme="minorHAnsi"/>
          <w:color w:val="000000" w:themeColor="text1"/>
        </w:rPr>
      </w:pPr>
      <w:r>
        <w:rPr>
          <w:rFonts w:ascii="Calibri" w:hAnsi="Calibri" w:cs="Calibri"/>
        </w:rPr>
        <w:t xml:space="preserve">The work of the Research and Engagement Working Group (REWG) and its </w:t>
      </w:r>
      <w:hyperlink r:id="rId8" w:history="1">
        <w:r>
          <w:rPr>
            <w:rStyle w:val="Hyperlink"/>
            <w:rFonts w:ascii="Calibri" w:hAnsi="Calibri" w:cs="Calibri"/>
          </w:rPr>
          <w:t>Decolonised Transformations</w:t>
        </w:r>
      </w:hyperlink>
      <w:r>
        <w:rPr>
          <w:rFonts w:ascii="Calibri" w:hAnsi="Calibri" w:cs="Calibri"/>
        </w:rPr>
        <w:t xml:space="preserve"> project comes out of the University of Edinburgh’s Race Equality and Anti-Racism (REAR) Subcommittee that sits within the Equality, Diversity and Inclusion Committee (EDIC). </w:t>
      </w:r>
      <w:r w:rsidR="006F76E6">
        <w:rPr>
          <w:rFonts w:ascii="Calibri" w:hAnsi="Calibri" w:cs="Calibri"/>
        </w:rPr>
        <w:t xml:space="preserve">The </w:t>
      </w:r>
      <w:r>
        <w:rPr>
          <w:rFonts w:ascii="Calibri" w:hAnsi="Calibri" w:cs="Calibri"/>
        </w:rPr>
        <w:t>REWG responds to Section 10 on ‘Reparation and Reparatory Justice’ and Section 11 on ‘Interrogating Histories’ from REAR’s original (</w:t>
      </w:r>
      <w:hyperlink r:id="rId9" w:history="1">
        <w:r>
          <w:rPr>
            <w:rStyle w:val="Hyperlink"/>
            <w:rFonts w:ascii="Calibri" w:hAnsi="Calibri" w:cs="Calibri"/>
          </w:rPr>
          <w:t>2020</w:t>
        </w:r>
      </w:hyperlink>
      <w:r>
        <w:rPr>
          <w:rFonts w:ascii="Calibri" w:hAnsi="Calibri" w:cs="Calibri"/>
        </w:rPr>
        <w:t>) and updated (</w:t>
      </w:r>
      <w:hyperlink r:id="rId10" w:history="1">
        <w:r>
          <w:rPr>
            <w:rStyle w:val="Hyperlink"/>
            <w:rFonts w:ascii="Calibri" w:hAnsi="Calibri" w:cs="Calibri"/>
          </w:rPr>
          <w:t>2023</w:t>
        </w:r>
      </w:hyperlink>
      <w:r>
        <w:rPr>
          <w:rFonts w:ascii="Calibri" w:hAnsi="Calibri" w:cs="Calibri"/>
        </w:rPr>
        <w:t xml:space="preserve">) Action Plan. </w:t>
      </w:r>
      <w:r w:rsidR="00FD3029" w:rsidRPr="0017357E">
        <w:rPr>
          <w:rFonts w:ascii="Calibri" w:eastAsia="Calibri" w:hAnsi="Calibri" w:cs="Calibri"/>
          <w:color w:val="000000" w:themeColor="text1"/>
        </w:rPr>
        <w:t>In 2021,</w:t>
      </w:r>
      <w:r w:rsidR="00BF09BE">
        <w:rPr>
          <w:rFonts w:ascii="Calibri" w:eastAsia="Calibri" w:hAnsi="Calibri" w:cs="Calibri"/>
          <w:color w:val="000000" w:themeColor="text1"/>
        </w:rPr>
        <w:t xml:space="preserve"> the University’s</w:t>
      </w:r>
      <w:r w:rsidR="00FD3029" w:rsidRPr="0017357E">
        <w:rPr>
          <w:rFonts w:ascii="Calibri" w:eastAsia="Calibri" w:hAnsi="Calibri" w:cs="Calibri"/>
          <w:color w:val="000000" w:themeColor="text1"/>
        </w:rPr>
        <w:t xml:space="preserve"> Principal</w:t>
      </w:r>
      <w:r w:rsidR="000F5ADF">
        <w:rPr>
          <w:rFonts w:ascii="Calibri" w:eastAsia="Calibri" w:hAnsi="Calibri" w:cs="Calibri"/>
          <w:color w:val="000000" w:themeColor="text1"/>
        </w:rPr>
        <w:t>,</w:t>
      </w:r>
      <w:r w:rsidR="000F5ADF" w:rsidRPr="0017357E">
        <w:rPr>
          <w:rFonts w:ascii="Calibri" w:eastAsia="Calibri" w:hAnsi="Calibri" w:cs="Calibri"/>
          <w:color w:val="000000" w:themeColor="text1"/>
        </w:rPr>
        <w:t xml:space="preserve"> </w:t>
      </w:r>
      <w:r w:rsidR="000F5ADF">
        <w:rPr>
          <w:rFonts w:ascii="Calibri" w:eastAsia="Calibri" w:hAnsi="Calibri" w:cs="Calibri"/>
          <w:color w:val="000000" w:themeColor="text1"/>
        </w:rPr>
        <w:t>Professor Sir</w:t>
      </w:r>
      <w:r w:rsidR="00FD3029" w:rsidRPr="0017357E">
        <w:rPr>
          <w:rFonts w:ascii="Calibri" w:eastAsia="Calibri" w:hAnsi="Calibri" w:cs="Calibri"/>
          <w:color w:val="000000" w:themeColor="text1"/>
        </w:rPr>
        <w:t xml:space="preserve"> Peter Mathieson</w:t>
      </w:r>
      <w:r w:rsidR="000F5ADF">
        <w:rPr>
          <w:rFonts w:ascii="Calibri" w:eastAsia="Calibri" w:hAnsi="Calibri" w:cs="Calibri"/>
          <w:color w:val="000000" w:themeColor="text1"/>
        </w:rPr>
        <w:t>,</w:t>
      </w:r>
      <w:r w:rsidR="00FD3029" w:rsidRPr="0017357E">
        <w:rPr>
          <w:rFonts w:ascii="Calibri" w:eastAsia="Calibri" w:hAnsi="Calibri" w:cs="Calibri"/>
          <w:color w:val="000000" w:themeColor="text1"/>
        </w:rPr>
        <w:t xml:space="preserve"> announced th</w:t>
      </w:r>
      <w:r w:rsidR="05F2D066" w:rsidRPr="0017357E">
        <w:rPr>
          <w:rFonts w:ascii="Calibri" w:eastAsia="Calibri" w:hAnsi="Calibri" w:cs="Calibri"/>
          <w:color w:val="000000" w:themeColor="text1"/>
        </w:rPr>
        <w:t>at the</w:t>
      </w:r>
      <w:r w:rsidR="00FD3029" w:rsidRPr="0017357E">
        <w:rPr>
          <w:rFonts w:ascii="Calibri" w:eastAsia="Calibri" w:hAnsi="Calibri" w:cs="Calibri"/>
          <w:color w:val="000000" w:themeColor="text1"/>
        </w:rPr>
        <w:t xml:space="preserve"> </w:t>
      </w:r>
      <w:r w:rsidR="00A27530">
        <w:rPr>
          <w:rFonts w:ascii="Calibri" w:eastAsia="Calibri" w:hAnsi="Calibri" w:cs="Calibri"/>
          <w:color w:val="000000" w:themeColor="text1"/>
        </w:rPr>
        <w:t>University of Edinburgh</w:t>
      </w:r>
      <w:r w:rsidR="05F2D066" w:rsidRPr="0017357E">
        <w:rPr>
          <w:rFonts w:ascii="Calibri" w:eastAsia="Calibri" w:hAnsi="Calibri" w:cs="Calibri"/>
          <w:color w:val="000000" w:themeColor="text1"/>
        </w:rPr>
        <w:t xml:space="preserve"> was committed to</w:t>
      </w:r>
      <w:r w:rsidR="00FD3029" w:rsidRPr="0017357E">
        <w:rPr>
          <w:rFonts w:ascii="Calibri" w:eastAsia="Calibri" w:hAnsi="Calibri" w:cs="Calibri"/>
          <w:color w:val="000000" w:themeColor="text1"/>
        </w:rPr>
        <w:t xml:space="preserve"> a bold decoloni</w:t>
      </w:r>
      <w:r w:rsidR="024F73E7" w:rsidRPr="0017357E">
        <w:rPr>
          <w:rFonts w:ascii="Calibri" w:eastAsia="Calibri" w:hAnsi="Calibri" w:cs="Calibri"/>
          <w:color w:val="000000" w:themeColor="text1"/>
        </w:rPr>
        <w:t>s</w:t>
      </w:r>
      <w:r w:rsidR="00FD3029" w:rsidRPr="0017357E">
        <w:rPr>
          <w:rFonts w:ascii="Calibri" w:eastAsia="Calibri" w:hAnsi="Calibri" w:cs="Calibri"/>
          <w:color w:val="000000" w:themeColor="text1"/>
        </w:rPr>
        <w:t>ation and reparatory justice programme</w:t>
      </w:r>
      <w:r w:rsidR="00BD76F1">
        <w:rPr>
          <w:rFonts w:ascii="Calibri" w:eastAsia="Calibri" w:hAnsi="Calibri" w:cs="Calibri"/>
          <w:color w:val="000000" w:themeColor="text1"/>
        </w:rPr>
        <w:t xml:space="preserve"> of action</w:t>
      </w:r>
      <w:r w:rsidR="00FD3029" w:rsidRPr="0017357E">
        <w:rPr>
          <w:rFonts w:ascii="Calibri" w:eastAsia="Calibri" w:hAnsi="Calibri" w:cs="Calibri"/>
          <w:color w:val="000000" w:themeColor="text1"/>
        </w:rPr>
        <w:t xml:space="preserve"> dedicated</w:t>
      </w:r>
      <w:r w:rsidR="43446DD5" w:rsidRPr="0017357E">
        <w:rPr>
          <w:rFonts w:ascii="Calibri" w:eastAsia="Calibri" w:hAnsi="Calibri" w:cs="Calibri"/>
          <w:color w:val="000000" w:themeColor="text1"/>
        </w:rPr>
        <w:t xml:space="preserve"> to</w:t>
      </w:r>
      <w:r w:rsidR="00FD3029" w:rsidRPr="0017357E">
        <w:rPr>
          <w:rFonts w:ascii="Calibri" w:eastAsia="Calibri" w:hAnsi="Calibri" w:cs="Calibri"/>
          <w:color w:val="000000" w:themeColor="text1"/>
        </w:rPr>
        <w:t xml:space="preserve"> looking at ‘</w:t>
      </w:r>
      <w:r w:rsidR="00FD3029" w:rsidRPr="00A07D4B">
        <w:rPr>
          <w:rFonts w:ascii="Calibri" w:eastAsia="Calibri" w:hAnsi="Calibri" w:cs="Calibri"/>
        </w:rPr>
        <w:t>Issues of race, contemporary racism, Eurocentric and Afriphobic</w:t>
      </w:r>
      <w:r w:rsidR="007708A8">
        <w:rPr>
          <w:rFonts w:ascii="Calibri" w:eastAsia="Calibri" w:hAnsi="Calibri" w:cs="Calibri"/>
        </w:rPr>
        <w:t xml:space="preserve"> [and anti-Black]</w:t>
      </w:r>
      <w:r w:rsidR="00FD3029" w:rsidRPr="00A07D4B">
        <w:rPr>
          <w:rFonts w:ascii="Calibri" w:eastAsia="Calibri" w:hAnsi="Calibri" w:cs="Calibri"/>
        </w:rPr>
        <w:t xml:space="preserve"> aspects of our curriculum and features of the University’s history</w:t>
      </w:r>
      <w:r w:rsidR="00FD3029" w:rsidRPr="0017357E">
        <w:rPr>
          <w:rFonts w:ascii="Calibri" w:eastAsia="Calibri" w:hAnsi="Calibri" w:cs="Calibri"/>
          <w:color w:val="000000" w:themeColor="text1"/>
        </w:rPr>
        <w:t>’</w:t>
      </w:r>
      <w:r w:rsidR="007708A8">
        <w:rPr>
          <w:rFonts w:ascii="Calibri" w:eastAsia="Calibri" w:hAnsi="Calibri" w:cs="Calibri"/>
          <w:color w:val="000000" w:themeColor="text1"/>
        </w:rPr>
        <w:t>.</w:t>
      </w:r>
      <w:r w:rsidR="00773F7C" w:rsidRPr="0017357E">
        <w:rPr>
          <w:rStyle w:val="FootnoteReference"/>
          <w:rFonts w:ascii="Calibri" w:eastAsia="Calibri" w:hAnsi="Calibri" w:cs="Calibri"/>
          <w:color w:val="000000" w:themeColor="text1"/>
        </w:rPr>
        <w:footnoteReference w:id="3"/>
      </w:r>
      <w:r w:rsidR="00773F7C" w:rsidRPr="0017357E">
        <w:rPr>
          <w:rFonts w:ascii="Calibri" w:eastAsia="Calibri" w:hAnsi="Calibri" w:cs="Calibri"/>
          <w:color w:val="000000" w:themeColor="text1"/>
        </w:rPr>
        <w:t xml:space="preserve"> Sir Geoff Palmer was appointed to chair the Steering Group, which</w:t>
      </w:r>
      <w:r w:rsidR="004134E0">
        <w:rPr>
          <w:rFonts w:ascii="Calibri" w:eastAsia="Calibri" w:hAnsi="Calibri" w:cs="Calibri"/>
          <w:color w:val="000000" w:themeColor="text1"/>
        </w:rPr>
        <w:t xml:space="preserve"> has </w:t>
      </w:r>
      <w:r w:rsidR="00773F7C" w:rsidRPr="0017357E">
        <w:rPr>
          <w:rFonts w:ascii="Calibri" w:eastAsia="Calibri" w:hAnsi="Calibri" w:cs="Calibri"/>
          <w:color w:val="000000" w:themeColor="text1"/>
        </w:rPr>
        <w:t>act</w:t>
      </w:r>
      <w:r w:rsidR="004134E0">
        <w:rPr>
          <w:rFonts w:ascii="Calibri" w:eastAsia="Calibri" w:hAnsi="Calibri" w:cs="Calibri"/>
          <w:color w:val="000000" w:themeColor="text1"/>
        </w:rPr>
        <w:t>ed</w:t>
      </w:r>
      <w:r w:rsidR="00773F7C" w:rsidRPr="0017357E">
        <w:rPr>
          <w:rFonts w:ascii="Calibri" w:eastAsia="Calibri" w:hAnsi="Calibri" w:cs="Calibri"/>
          <w:color w:val="000000" w:themeColor="text1"/>
        </w:rPr>
        <w:t xml:space="preserve"> as an advisory committee, while Professor Tommy J. Curry and Dr Nicola Frith were appointed to co-chair the Research and Engagement Working Group (REWG). The REWG was tasked with </w:t>
      </w:r>
      <w:hyperlink r:id="rId11">
        <w:r w:rsidR="00773F7C" w:rsidRPr="0017357E">
          <w:rPr>
            <w:rStyle w:val="Hyperlink"/>
            <w:rFonts w:ascii="Calibri" w:eastAsia="Calibri" w:hAnsi="Calibri" w:cs="Calibri"/>
            <w:color w:val="000000" w:themeColor="text1"/>
          </w:rPr>
          <w:t>defining and leading areas of inquiry</w:t>
        </w:r>
      </w:hyperlink>
      <w:r w:rsidR="00773F7C" w:rsidRPr="0017357E">
        <w:rPr>
          <w:rFonts w:ascii="Calibri" w:eastAsia="Calibri" w:hAnsi="Calibri" w:cs="Calibri"/>
          <w:color w:val="000000" w:themeColor="text1"/>
        </w:rPr>
        <w:t>,</w:t>
      </w:r>
      <w:r w:rsidR="006D442D">
        <w:rPr>
          <w:rFonts w:ascii="Calibri" w:eastAsia="Calibri" w:hAnsi="Calibri" w:cs="Calibri"/>
          <w:color w:val="000000" w:themeColor="text1"/>
        </w:rPr>
        <w:t xml:space="preserve"> </w:t>
      </w:r>
      <w:r w:rsidR="00773F7C" w:rsidRPr="0017357E">
        <w:rPr>
          <w:rFonts w:ascii="Calibri" w:eastAsia="Calibri" w:hAnsi="Calibri" w:cs="Calibri"/>
          <w:color w:val="000000" w:themeColor="text1"/>
        </w:rPr>
        <w:t>writing a</w:t>
      </w:r>
      <w:r w:rsidR="00D02118">
        <w:rPr>
          <w:rFonts w:ascii="Calibri" w:eastAsia="Calibri" w:hAnsi="Calibri" w:cs="Calibri"/>
          <w:color w:val="000000" w:themeColor="text1"/>
        </w:rPr>
        <w:t>n independent,</w:t>
      </w:r>
      <w:r w:rsidR="00773F7C" w:rsidRPr="0017357E">
        <w:rPr>
          <w:rFonts w:ascii="Calibri" w:eastAsia="Calibri" w:hAnsi="Calibri" w:cs="Calibri"/>
          <w:color w:val="000000" w:themeColor="text1"/>
        </w:rPr>
        <w:t xml:space="preserve"> coherent, evidence-based report </w:t>
      </w:r>
      <w:r w:rsidR="00773F7C" w:rsidRPr="008561A0">
        <w:rPr>
          <w:rFonts w:eastAsia="Calibri" w:cstheme="minorHAnsi"/>
          <w:color w:val="000000" w:themeColor="text1"/>
        </w:rPr>
        <w:t xml:space="preserve">on the subject of ‘Decolonised Transformations: Confronting the </w:t>
      </w:r>
      <w:r w:rsidR="00A27530">
        <w:rPr>
          <w:rFonts w:eastAsia="Calibri" w:cstheme="minorHAnsi"/>
          <w:color w:val="000000" w:themeColor="text1"/>
        </w:rPr>
        <w:t>University of Edinburgh</w:t>
      </w:r>
      <w:r w:rsidR="00773F7C" w:rsidRPr="008561A0">
        <w:rPr>
          <w:rFonts w:eastAsia="Calibri" w:cstheme="minorHAnsi"/>
          <w:color w:val="000000" w:themeColor="text1"/>
        </w:rPr>
        <w:t>’s Legacies of Enslavement and Colonialism’</w:t>
      </w:r>
      <w:r w:rsidR="006D442D">
        <w:rPr>
          <w:rFonts w:eastAsia="Calibri" w:cstheme="minorHAnsi"/>
          <w:color w:val="000000" w:themeColor="text1"/>
        </w:rPr>
        <w:t xml:space="preserve"> and</w:t>
      </w:r>
      <w:r w:rsidR="006D442D">
        <w:rPr>
          <w:rFonts w:ascii="Calibri" w:eastAsia="Calibri" w:hAnsi="Calibri" w:cs="Calibri"/>
          <w:color w:val="000000" w:themeColor="text1"/>
        </w:rPr>
        <w:t xml:space="preserve"> identifying reparatory</w:t>
      </w:r>
      <w:r w:rsidR="006D442D" w:rsidRPr="0017357E">
        <w:rPr>
          <w:rFonts w:ascii="Calibri" w:eastAsia="Calibri" w:hAnsi="Calibri" w:cs="Calibri"/>
          <w:color w:val="000000" w:themeColor="text1"/>
        </w:rPr>
        <w:t xml:space="preserve"> recommendations</w:t>
      </w:r>
      <w:r w:rsidR="006D442D">
        <w:rPr>
          <w:rFonts w:ascii="Calibri" w:eastAsia="Calibri" w:hAnsi="Calibri" w:cs="Calibri"/>
          <w:color w:val="000000" w:themeColor="text1"/>
        </w:rPr>
        <w:t xml:space="preserve"> to be submitted to the University Executive</w:t>
      </w:r>
      <w:r w:rsidR="00773F7C" w:rsidRPr="008561A0">
        <w:rPr>
          <w:rFonts w:eastAsia="Calibri" w:cstheme="minorHAnsi"/>
          <w:color w:val="000000" w:themeColor="text1"/>
        </w:rPr>
        <w:t>.</w:t>
      </w:r>
      <w:r w:rsidR="00773F7C" w:rsidRPr="008561A0">
        <w:rPr>
          <w:rStyle w:val="FootnoteReference"/>
          <w:rFonts w:eastAsia="Calibri" w:cstheme="minorHAnsi"/>
          <w:color w:val="000000" w:themeColor="text1"/>
        </w:rPr>
        <w:footnoteReference w:id="4"/>
      </w:r>
      <w:r w:rsidR="009F4994" w:rsidRPr="008561A0">
        <w:rPr>
          <w:rFonts w:eastAsia="Calibri" w:cstheme="minorHAnsi"/>
          <w:color w:val="000000" w:themeColor="text1"/>
        </w:rPr>
        <w:t xml:space="preserve"> </w:t>
      </w:r>
      <w:r w:rsidR="006D442D" w:rsidRPr="006D442D">
        <w:rPr>
          <w:rFonts w:ascii="Calibri" w:eastAsia="Calibri" w:hAnsi="Calibri" w:cs="Calibri"/>
          <w:color w:val="000000" w:themeColor="text1"/>
        </w:rPr>
        <w:t xml:space="preserve"> </w:t>
      </w:r>
      <w:r w:rsidR="006D442D">
        <w:rPr>
          <w:rFonts w:ascii="Calibri" w:eastAsia="Calibri" w:hAnsi="Calibri" w:cs="Calibri"/>
          <w:color w:val="000000" w:themeColor="text1"/>
        </w:rPr>
        <w:t>In addition to contributing to public awareness and knowledge about the role played by the University of Edinburgh in the history and legacies of colonialism and slavery, this report and its findings will also help to inform the University’s understanding of the views and opinions of both internal and external communities</w:t>
      </w:r>
      <w:r w:rsidR="00EE61F3">
        <w:rPr>
          <w:rFonts w:ascii="Calibri" w:eastAsia="Calibri" w:hAnsi="Calibri" w:cs="Calibri"/>
          <w:color w:val="000000" w:themeColor="text1"/>
        </w:rPr>
        <w:t>, which may be distinct from the University itself (as a legal entity).</w:t>
      </w:r>
      <w:r w:rsidR="00EE61F3">
        <w:rPr>
          <w:rStyle w:val="FootnoteReference"/>
          <w:rFonts w:ascii="Calibri" w:eastAsia="Calibri" w:hAnsi="Calibri" w:cs="Calibri"/>
          <w:color w:val="000000" w:themeColor="text1"/>
        </w:rPr>
        <w:footnoteReference w:id="5"/>
      </w:r>
      <w:r w:rsidR="00EE61F3">
        <w:rPr>
          <w:rFonts w:ascii="Calibri" w:eastAsia="Calibri" w:hAnsi="Calibri" w:cs="Calibri"/>
          <w:color w:val="000000" w:themeColor="text1"/>
        </w:rPr>
        <w:t xml:space="preserve"> </w:t>
      </w:r>
      <w:r w:rsidR="009F4994" w:rsidRPr="008561A0">
        <w:rPr>
          <w:rFonts w:eastAsia="Calibri" w:cstheme="minorHAnsi"/>
          <w:color w:val="000000" w:themeColor="text1"/>
        </w:rPr>
        <w:t xml:space="preserve">This work sits alongside that being conducted by the </w:t>
      </w:r>
      <w:r w:rsidR="008561A0" w:rsidRPr="008561A0">
        <w:rPr>
          <w:rStyle w:val="normaltextrun"/>
          <w:rFonts w:cstheme="minorHAnsi"/>
          <w:color w:val="000000"/>
          <w:shd w:val="clear" w:color="auto" w:fill="FFFFFF"/>
        </w:rPr>
        <w:t>Policy Group that has reviewed and developed policy recommendations regarding how key figures on campus are recognised</w:t>
      </w:r>
      <w:r w:rsidR="008561A0">
        <w:rPr>
          <w:rStyle w:val="normaltextrun"/>
          <w:rFonts w:cstheme="minorHAnsi"/>
          <w:color w:val="000000"/>
          <w:shd w:val="clear" w:color="auto" w:fill="FFFFFF"/>
        </w:rPr>
        <w:t xml:space="preserve"> by the University</w:t>
      </w:r>
      <w:r w:rsidR="008561A0" w:rsidRPr="008561A0">
        <w:rPr>
          <w:rStyle w:val="normaltextrun"/>
          <w:rFonts w:cstheme="minorHAnsi"/>
          <w:color w:val="000000"/>
          <w:shd w:val="clear" w:color="auto" w:fill="FFFFFF"/>
        </w:rPr>
        <w:t xml:space="preserve">. </w:t>
      </w:r>
      <w:r w:rsidR="008561A0" w:rsidRPr="008561A0">
        <w:rPr>
          <w:rStyle w:val="eop"/>
          <w:rFonts w:cstheme="minorHAnsi"/>
          <w:color w:val="000000"/>
          <w:shd w:val="clear" w:color="auto" w:fill="FFFFFF"/>
        </w:rPr>
        <w:t> </w:t>
      </w:r>
    </w:p>
    <w:p w14:paraId="6CB9D091" w14:textId="77777777" w:rsidR="00773F7C" w:rsidRPr="0017357E" w:rsidRDefault="00773F7C" w:rsidP="00057638">
      <w:pPr>
        <w:spacing w:line="259" w:lineRule="auto"/>
        <w:ind w:firstLine="360"/>
        <w:rPr>
          <w:rFonts w:ascii="Calibri" w:eastAsia="Calibri" w:hAnsi="Calibri" w:cs="Calibri"/>
          <w:color w:val="000000" w:themeColor="text1"/>
        </w:rPr>
      </w:pPr>
    </w:p>
    <w:p w14:paraId="59C41150" w14:textId="6D57A590" w:rsidR="00773F7C" w:rsidRPr="0017357E" w:rsidRDefault="00773F7C" w:rsidP="00057638">
      <w:pPr>
        <w:spacing w:line="259" w:lineRule="auto"/>
        <w:ind w:firstLine="720"/>
        <w:rPr>
          <w:rFonts w:ascii="Calibri" w:eastAsia="Calibri" w:hAnsi="Calibri" w:cs="Calibri"/>
          <w:color w:val="000000" w:themeColor="text1"/>
        </w:rPr>
      </w:pPr>
      <w:r w:rsidRPr="0017357E">
        <w:rPr>
          <w:rFonts w:ascii="Calibri" w:eastAsia="Calibri" w:hAnsi="Calibri" w:cs="Calibri"/>
          <w:color w:val="000000" w:themeColor="text1"/>
        </w:rPr>
        <w:t>The REWG’s investigation has seven aims:</w:t>
      </w:r>
    </w:p>
    <w:p w14:paraId="4591133B" w14:textId="61ECDDE8" w:rsidR="00773F7C" w:rsidRPr="0017357E" w:rsidRDefault="00773F7C" w:rsidP="00057638">
      <w:pPr>
        <w:spacing w:line="259" w:lineRule="auto"/>
        <w:ind w:firstLine="720"/>
        <w:rPr>
          <w:rFonts w:ascii="Calibri" w:eastAsia="Calibri" w:hAnsi="Calibri" w:cs="Calibri"/>
          <w:color w:val="000000" w:themeColor="text1"/>
        </w:rPr>
      </w:pPr>
    </w:p>
    <w:p w14:paraId="72A8B5BA" w14:textId="56776F56" w:rsidR="00773F7C" w:rsidRPr="0017357E" w:rsidRDefault="00773F7C" w:rsidP="00057638">
      <w:pPr>
        <w:pStyle w:val="ListParagraph"/>
        <w:numPr>
          <w:ilvl w:val="0"/>
          <w:numId w:val="4"/>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To reveal</w:t>
      </w:r>
      <w:r w:rsidR="004134E0">
        <w:rPr>
          <w:rFonts w:ascii="Calibri" w:eastAsia="Calibri" w:hAnsi="Calibri" w:cs="Calibri"/>
          <w:color w:val="000000" w:themeColor="text1"/>
        </w:rPr>
        <w:t xml:space="preserve"> the</w:t>
      </w:r>
      <w:r w:rsidRPr="0017357E">
        <w:rPr>
          <w:rFonts w:ascii="Calibri" w:eastAsia="Calibri" w:hAnsi="Calibri" w:cs="Calibri"/>
          <w:color w:val="000000" w:themeColor="text1"/>
        </w:rPr>
        <w:t xml:space="preserve"> </w:t>
      </w:r>
      <w:r w:rsidR="00A27530">
        <w:rPr>
          <w:rFonts w:ascii="Calibri" w:eastAsia="Calibri" w:hAnsi="Calibri" w:cs="Calibri"/>
          <w:color w:val="000000" w:themeColor="text1"/>
        </w:rPr>
        <w:t>University of Edinburgh</w:t>
      </w:r>
      <w:r w:rsidRPr="0017357E">
        <w:rPr>
          <w:rFonts w:ascii="Calibri" w:eastAsia="Calibri" w:hAnsi="Calibri" w:cs="Calibri"/>
          <w:color w:val="000000" w:themeColor="text1"/>
        </w:rPr>
        <w:t>’s role in the historical harms committed against Black, African, African-descended, Caribbean, Asian, Middle Eastern, Indigenous peoples and others linked to the histories of African enslavement</w:t>
      </w:r>
      <w:r w:rsidR="00EB0761">
        <w:rPr>
          <w:rFonts w:ascii="Calibri" w:eastAsia="Calibri" w:hAnsi="Calibri" w:cs="Calibri"/>
          <w:color w:val="000000" w:themeColor="text1"/>
        </w:rPr>
        <w:t>,</w:t>
      </w:r>
      <w:r w:rsidRPr="0017357E">
        <w:rPr>
          <w:rFonts w:ascii="Calibri" w:eastAsia="Calibri" w:hAnsi="Calibri" w:cs="Calibri"/>
          <w:color w:val="000000" w:themeColor="text1"/>
        </w:rPr>
        <w:t xml:space="preserve"> colonialism</w:t>
      </w:r>
      <w:r w:rsidR="00EB0761">
        <w:rPr>
          <w:rFonts w:ascii="Calibri" w:eastAsia="Calibri" w:hAnsi="Calibri" w:cs="Calibri"/>
          <w:color w:val="000000" w:themeColor="text1"/>
        </w:rPr>
        <w:t xml:space="preserve"> and the development of racial thought</w:t>
      </w:r>
      <w:r w:rsidRPr="0017357E">
        <w:rPr>
          <w:rFonts w:ascii="Calibri" w:eastAsia="Calibri" w:hAnsi="Calibri" w:cs="Calibri"/>
          <w:color w:val="000000" w:themeColor="text1"/>
        </w:rPr>
        <w:t>.</w:t>
      </w:r>
    </w:p>
    <w:p w14:paraId="40C33F1D" w14:textId="1AF24960" w:rsidR="00773F7C" w:rsidRPr="0017357E" w:rsidRDefault="00773F7C" w:rsidP="00057638">
      <w:pPr>
        <w:pStyle w:val="ListParagraph"/>
        <w:numPr>
          <w:ilvl w:val="0"/>
          <w:numId w:val="4"/>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lastRenderedPageBreak/>
        <w:t xml:space="preserve">To understand how historical harms and racial thinking continue to exist in the structure and culture of the institution today. </w:t>
      </w:r>
    </w:p>
    <w:p w14:paraId="03F77E75" w14:textId="3EF71F38" w:rsidR="00773F7C" w:rsidRPr="0017357E" w:rsidRDefault="00773F7C" w:rsidP="00057638">
      <w:pPr>
        <w:pStyle w:val="ListParagraph"/>
        <w:numPr>
          <w:ilvl w:val="0"/>
          <w:numId w:val="4"/>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To recognise the presence and contributions of Black, African, African-descended, Caribbean, Asian, Middle Eastern, Indigenous peoples and others to</w:t>
      </w:r>
      <w:r w:rsidR="006D27B7">
        <w:rPr>
          <w:rFonts w:ascii="Calibri" w:eastAsia="Calibri" w:hAnsi="Calibri" w:cs="Calibri"/>
          <w:color w:val="000000" w:themeColor="text1"/>
        </w:rPr>
        <w:t xml:space="preserve"> the</w:t>
      </w:r>
      <w:r w:rsidRPr="0017357E">
        <w:rPr>
          <w:rFonts w:ascii="Calibri" w:eastAsia="Calibri" w:hAnsi="Calibri" w:cs="Calibri"/>
          <w:color w:val="000000" w:themeColor="text1"/>
        </w:rPr>
        <w:t xml:space="preserve"> </w:t>
      </w:r>
      <w:r w:rsidR="00A27530">
        <w:rPr>
          <w:rFonts w:ascii="Calibri" w:eastAsia="Calibri" w:hAnsi="Calibri" w:cs="Calibri"/>
          <w:color w:val="000000" w:themeColor="text1"/>
        </w:rPr>
        <w:t>University of Edinburgh</w:t>
      </w:r>
      <w:r w:rsidRPr="0017357E">
        <w:rPr>
          <w:rFonts w:ascii="Calibri" w:eastAsia="Calibri" w:hAnsi="Calibri" w:cs="Calibri"/>
          <w:color w:val="000000" w:themeColor="text1"/>
        </w:rPr>
        <w:t>’s historical and contemporary intellectual life and development.</w:t>
      </w:r>
    </w:p>
    <w:p w14:paraId="47BA7255" w14:textId="4B32CA05" w:rsidR="00773F7C" w:rsidRPr="0017357E" w:rsidRDefault="00773F7C" w:rsidP="00057638">
      <w:pPr>
        <w:pStyle w:val="ListParagraph"/>
        <w:numPr>
          <w:ilvl w:val="0"/>
          <w:numId w:val="4"/>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To ensure that communities of reparatory justice interest</w:t>
      </w:r>
      <w:r w:rsidR="0006645D">
        <w:rPr>
          <w:rFonts w:ascii="Calibri" w:eastAsia="Calibri" w:hAnsi="Calibri" w:cs="Calibri"/>
          <w:color w:val="000000" w:themeColor="text1"/>
        </w:rPr>
        <w:t>,</w:t>
      </w:r>
      <w:r w:rsidRPr="0017357E">
        <w:rPr>
          <w:rFonts w:ascii="Calibri" w:eastAsia="Calibri" w:hAnsi="Calibri" w:cs="Calibri"/>
          <w:color w:val="000000" w:themeColor="text1"/>
        </w:rPr>
        <w:t xml:space="preserve"> both within and outside of the </w:t>
      </w:r>
      <w:r w:rsidR="008F5163">
        <w:rPr>
          <w:rFonts w:ascii="Calibri" w:eastAsia="Calibri" w:hAnsi="Calibri" w:cs="Calibri"/>
          <w:color w:val="000000" w:themeColor="text1"/>
        </w:rPr>
        <w:t>U</w:t>
      </w:r>
      <w:r w:rsidRPr="0017357E">
        <w:rPr>
          <w:rFonts w:ascii="Calibri" w:eastAsia="Calibri" w:hAnsi="Calibri" w:cs="Calibri"/>
          <w:color w:val="000000" w:themeColor="text1"/>
        </w:rPr>
        <w:t>niversity</w:t>
      </w:r>
      <w:r w:rsidR="0006645D">
        <w:rPr>
          <w:rFonts w:ascii="Calibri" w:eastAsia="Calibri" w:hAnsi="Calibri" w:cs="Calibri"/>
          <w:color w:val="000000" w:themeColor="text1"/>
        </w:rPr>
        <w:t>,</w:t>
      </w:r>
      <w:r w:rsidRPr="0017357E">
        <w:rPr>
          <w:rFonts w:ascii="Calibri" w:eastAsia="Calibri" w:hAnsi="Calibri" w:cs="Calibri"/>
          <w:color w:val="000000" w:themeColor="text1"/>
        </w:rPr>
        <w:t xml:space="preserve"> can engage fully in the work and help shape the research and engagement agenda, priorities and recommendations. </w:t>
      </w:r>
    </w:p>
    <w:p w14:paraId="61A22EDD" w14:textId="2F8AD361" w:rsidR="00773F7C" w:rsidRPr="0017357E" w:rsidRDefault="00773F7C" w:rsidP="00057638">
      <w:pPr>
        <w:pStyle w:val="ListParagraph"/>
        <w:numPr>
          <w:ilvl w:val="0"/>
          <w:numId w:val="4"/>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To engage with wider communities to understand broader perceptions of the </w:t>
      </w:r>
      <w:r w:rsidR="008F5163">
        <w:rPr>
          <w:rFonts w:ascii="Calibri" w:eastAsia="Calibri" w:hAnsi="Calibri" w:cs="Calibri"/>
          <w:color w:val="000000" w:themeColor="text1"/>
        </w:rPr>
        <w:t>U</w:t>
      </w:r>
      <w:r w:rsidRPr="0017357E">
        <w:rPr>
          <w:rFonts w:ascii="Calibri" w:eastAsia="Calibri" w:hAnsi="Calibri" w:cs="Calibri"/>
          <w:color w:val="000000" w:themeColor="text1"/>
        </w:rPr>
        <w:t xml:space="preserve">niversity’s links to the development and dissemination of racial </w:t>
      </w:r>
      <w:r w:rsidR="008F5163">
        <w:rPr>
          <w:rFonts w:ascii="Calibri" w:eastAsia="Calibri" w:hAnsi="Calibri" w:cs="Calibri"/>
          <w:color w:val="000000" w:themeColor="text1"/>
        </w:rPr>
        <w:t>pseudo-</w:t>
      </w:r>
      <w:r w:rsidRPr="0017357E">
        <w:rPr>
          <w:rFonts w:ascii="Calibri" w:eastAsia="Calibri" w:hAnsi="Calibri" w:cs="Calibri"/>
          <w:color w:val="000000" w:themeColor="text1"/>
        </w:rPr>
        <w:t>science</w:t>
      </w:r>
      <w:r w:rsidR="008F5163">
        <w:rPr>
          <w:rFonts w:ascii="Calibri" w:eastAsia="Calibri" w:hAnsi="Calibri" w:cs="Calibri"/>
          <w:color w:val="000000" w:themeColor="text1"/>
        </w:rPr>
        <w:t>s</w:t>
      </w:r>
      <w:r w:rsidRPr="0017357E">
        <w:rPr>
          <w:rFonts w:ascii="Calibri" w:eastAsia="Calibri" w:hAnsi="Calibri" w:cs="Calibri"/>
          <w:color w:val="000000" w:themeColor="text1"/>
        </w:rPr>
        <w:t>, colonialism and enslavement, and develop and explore reparatory justice solutions/actions. This include</w:t>
      </w:r>
      <w:r w:rsidR="006D27B7">
        <w:rPr>
          <w:rFonts w:ascii="Calibri" w:eastAsia="Calibri" w:hAnsi="Calibri" w:cs="Calibri"/>
          <w:color w:val="000000" w:themeColor="text1"/>
        </w:rPr>
        <w:t>s</w:t>
      </w:r>
      <w:r w:rsidRPr="0017357E">
        <w:rPr>
          <w:rFonts w:ascii="Calibri" w:eastAsia="Calibri" w:hAnsi="Calibri" w:cs="Calibri"/>
          <w:color w:val="000000" w:themeColor="text1"/>
        </w:rPr>
        <w:t xml:space="preserve"> inviting and exploring the views of </w:t>
      </w:r>
      <w:r w:rsidR="006D27B7">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sidRPr="0017357E">
        <w:rPr>
          <w:rFonts w:ascii="Calibri" w:eastAsia="Calibri" w:hAnsi="Calibri" w:cs="Calibri"/>
          <w:color w:val="000000" w:themeColor="text1"/>
        </w:rPr>
        <w:t xml:space="preserve">’s community as a whole. </w:t>
      </w:r>
    </w:p>
    <w:p w14:paraId="00AF4AEC" w14:textId="78CF50EC" w:rsidR="00773F7C" w:rsidRPr="0017357E" w:rsidRDefault="00773F7C" w:rsidP="00057638">
      <w:pPr>
        <w:pStyle w:val="ListParagraph"/>
        <w:numPr>
          <w:ilvl w:val="0"/>
          <w:numId w:val="4"/>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To acknowledge any existing work and initiatives within the </w:t>
      </w:r>
      <w:r w:rsidR="008F5163">
        <w:rPr>
          <w:rFonts w:ascii="Calibri" w:eastAsia="Calibri" w:hAnsi="Calibri" w:cs="Calibri"/>
          <w:color w:val="000000" w:themeColor="text1"/>
        </w:rPr>
        <w:t>U</w:t>
      </w:r>
      <w:r w:rsidRPr="0017357E">
        <w:rPr>
          <w:rFonts w:ascii="Calibri" w:eastAsia="Calibri" w:hAnsi="Calibri" w:cs="Calibri"/>
          <w:color w:val="000000" w:themeColor="text1"/>
        </w:rPr>
        <w:t xml:space="preserve">niversity in relation to decoloniality, reparation, equality and diversity. </w:t>
      </w:r>
    </w:p>
    <w:p w14:paraId="657E4166" w14:textId="47E9E582" w:rsidR="00773F7C" w:rsidRPr="0017357E" w:rsidRDefault="00773F7C" w:rsidP="00057638">
      <w:pPr>
        <w:pStyle w:val="ListParagraph"/>
        <w:numPr>
          <w:ilvl w:val="0"/>
          <w:numId w:val="4"/>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To provide a decolonial and reparatory vision for institutional and cultural change that seeks to restore dignity to Black, African, African-descended, Caribbean, Asian, Middle Eastern, Indigenous peoples and others</w:t>
      </w:r>
      <w:r w:rsidR="00BF0316">
        <w:rPr>
          <w:rFonts w:ascii="Calibri" w:eastAsia="Calibri" w:hAnsi="Calibri" w:cs="Calibri"/>
          <w:color w:val="000000" w:themeColor="text1"/>
        </w:rPr>
        <w:t>;</w:t>
      </w:r>
      <w:r w:rsidRPr="0017357E">
        <w:rPr>
          <w:rFonts w:ascii="Calibri" w:eastAsia="Calibri" w:hAnsi="Calibri" w:cs="Calibri"/>
          <w:color w:val="000000" w:themeColor="text1"/>
        </w:rPr>
        <w:t xml:space="preserve"> including clear recommendations for ensuring future accountability and progression towards the goals of reparatory justice, decoloniality and diversification. Importantly, this will contribute to the work of the Race, Equality and Anti-Racist </w:t>
      </w:r>
      <w:r w:rsidR="000871A1" w:rsidRPr="0017357E">
        <w:rPr>
          <w:rFonts w:ascii="Calibri" w:eastAsia="Calibri" w:hAnsi="Calibri" w:cs="Calibri"/>
          <w:color w:val="000000" w:themeColor="text1"/>
        </w:rPr>
        <w:t>Subcommittee</w:t>
      </w:r>
      <w:r w:rsidRPr="0017357E">
        <w:rPr>
          <w:rFonts w:ascii="Calibri" w:eastAsia="Calibri" w:hAnsi="Calibri" w:cs="Calibri"/>
          <w:color w:val="000000" w:themeColor="text1"/>
        </w:rPr>
        <w:t xml:space="preserve"> (REAR), notabl</w:t>
      </w:r>
      <w:r w:rsidR="000871A1">
        <w:rPr>
          <w:rFonts w:ascii="Calibri" w:eastAsia="Calibri" w:hAnsi="Calibri" w:cs="Calibri"/>
          <w:color w:val="000000" w:themeColor="text1"/>
        </w:rPr>
        <w:t>y</w:t>
      </w:r>
      <w:r w:rsidRPr="0017357E">
        <w:rPr>
          <w:rFonts w:ascii="Calibri" w:eastAsia="Calibri" w:hAnsi="Calibri" w:cs="Calibri"/>
          <w:color w:val="000000" w:themeColor="text1"/>
        </w:rPr>
        <w:t xml:space="preserve"> </w:t>
      </w:r>
      <w:r w:rsidRPr="0017357E">
        <w:rPr>
          <w:rFonts w:ascii="Calibri" w:hAnsi="Calibri" w:cs="Calibri"/>
        </w:rPr>
        <w:t>Section 10 on ‘Reparation and Reparatory Justice’ and Section 11 on ‘Interrogating Histories’ from REAR’s original (</w:t>
      </w:r>
      <w:hyperlink r:id="rId12" w:history="1">
        <w:r w:rsidRPr="0017357E">
          <w:rPr>
            <w:rStyle w:val="Hyperlink"/>
            <w:rFonts w:ascii="Calibri" w:hAnsi="Calibri" w:cs="Calibri"/>
          </w:rPr>
          <w:t>2020</w:t>
        </w:r>
      </w:hyperlink>
      <w:r w:rsidRPr="0017357E">
        <w:rPr>
          <w:rFonts w:ascii="Calibri" w:hAnsi="Calibri" w:cs="Calibri"/>
        </w:rPr>
        <w:t>) and updated (</w:t>
      </w:r>
      <w:hyperlink r:id="rId13" w:history="1">
        <w:r w:rsidRPr="0017357E">
          <w:rPr>
            <w:rStyle w:val="Hyperlink"/>
            <w:rFonts w:ascii="Calibri" w:hAnsi="Calibri" w:cs="Calibri"/>
          </w:rPr>
          <w:t>2023</w:t>
        </w:r>
      </w:hyperlink>
      <w:r w:rsidRPr="0017357E">
        <w:rPr>
          <w:rFonts w:ascii="Calibri" w:hAnsi="Calibri" w:cs="Calibri"/>
        </w:rPr>
        <w:t>) Action Plan</w:t>
      </w:r>
      <w:r w:rsidRPr="0017357E">
        <w:rPr>
          <w:rFonts w:ascii="Calibri" w:eastAsia="Calibri" w:hAnsi="Calibri" w:cs="Calibri"/>
          <w:color w:val="000000" w:themeColor="text1"/>
        </w:rPr>
        <w:t>.</w:t>
      </w:r>
      <w:r w:rsidRPr="0017357E">
        <w:rPr>
          <w:rStyle w:val="FootnoteReference"/>
          <w:rFonts w:ascii="Calibri" w:eastAsia="Calibri" w:hAnsi="Calibri" w:cs="Calibri"/>
          <w:color w:val="000000" w:themeColor="text1"/>
        </w:rPr>
        <w:footnoteReference w:id="6"/>
      </w:r>
    </w:p>
    <w:p w14:paraId="7FE5E6ED" w14:textId="3E076670" w:rsidR="00773F7C" w:rsidRPr="0017357E" w:rsidRDefault="00773F7C" w:rsidP="00057638">
      <w:pPr>
        <w:spacing w:line="259" w:lineRule="auto"/>
        <w:rPr>
          <w:rFonts w:ascii="Calibri" w:eastAsia="Calibri" w:hAnsi="Calibri" w:cs="Calibri"/>
          <w:color w:val="000000" w:themeColor="text1"/>
        </w:rPr>
      </w:pPr>
    </w:p>
    <w:p w14:paraId="28F34B13" w14:textId="509F7BA2" w:rsidR="00095492" w:rsidRDefault="00F573F7" w:rsidP="00690C8B">
      <w:pPr>
        <w:pStyle w:val="Heading2"/>
      </w:pPr>
      <w:bookmarkStart w:id="5" w:name="_Toc190939397"/>
      <w:bookmarkStart w:id="6" w:name="_Toc202627080"/>
      <w:r>
        <w:t xml:space="preserve">The </w:t>
      </w:r>
      <w:r w:rsidR="00FA3D1A">
        <w:t>REWG</w:t>
      </w:r>
      <w:bookmarkEnd w:id="5"/>
      <w:bookmarkEnd w:id="6"/>
    </w:p>
    <w:p w14:paraId="5F6366FE" w14:textId="1156CD5F" w:rsidR="00773F7C" w:rsidRPr="0017357E" w:rsidRDefault="00773F7C" w:rsidP="00057638">
      <w:pPr>
        <w:autoSpaceDE w:val="0"/>
        <w:autoSpaceDN w:val="0"/>
        <w:adjustRightInd w:val="0"/>
        <w:spacing w:line="259" w:lineRule="auto"/>
        <w:rPr>
          <w:rFonts w:ascii="Calibri" w:eastAsia="Calibri" w:hAnsi="Calibri" w:cs="Calibri"/>
          <w:color w:val="000000" w:themeColor="text1"/>
        </w:rPr>
      </w:pPr>
      <w:r w:rsidRPr="0017357E">
        <w:rPr>
          <w:rFonts w:ascii="Calibri" w:eastAsia="Calibri" w:hAnsi="Calibri" w:cs="Calibri"/>
          <w:color w:val="000000" w:themeColor="text1"/>
        </w:rPr>
        <w:t>To achieve these aims, the REWG has worked with a wide range of participants, including academics, students, researchers</w:t>
      </w:r>
      <w:r w:rsidR="00F62527">
        <w:rPr>
          <w:rFonts w:ascii="Calibri" w:eastAsia="Calibri" w:hAnsi="Calibri" w:cs="Calibri"/>
          <w:color w:val="000000" w:themeColor="text1"/>
        </w:rPr>
        <w:t>, reparations activists</w:t>
      </w:r>
      <w:r w:rsidR="008C2DB9">
        <w:rPr>
          <w:rFonts w:ascii="Calibri" w:eastAsia="Calibri" w:hAnsi="Calibri" w:cs="Calibri"/>
          <w:color w:val="000000" w:themeColor="text1"/>
        </w:rPr>
        <w:t>, community consultants</w:t>
      </w:r>
      <w:r w:rsidRPr="0017357E">
        <w:rPr>
          <w:rFonts w:ascii="Calibri" w:eastAsia="Calibri" w:hAnsi="Calibri" w:cs="Calibri"/>
          <w:color w:val="000000" w:themeColor="text1"/>
        </w:rPr>
        <w:t xml:space="preserve"> and other relevant professionals, and in direct partnership with affected communities within and beyond </w:t>
      </w:r>
      <w:r w:rsidR="0032764B">
        <w:rPr>
          <w:rFonts w:ascii="Calibri" w:eastAsia="Calibri" w:hAnsi="Calibri" w:cs="Calibri"/>
          <w:color w:val="000000" w:themeColor="text1"/>
        </w:rPr>
        <w:t xml:space="preserve">the </w:t>
      </w:r>
      <w:r w:rsidR="00A27530">
        <w:rPr>
          <w:rFonts w:ascii="Calibri" w:eastAsia="Calibri" w:hAnsi="Calibri" w:cs="Calibri"/>
          <w:color w:val="000000" w:themeColor="text1"/>
        </w:rPr>
        <w:t>University</w:t>
      </w:r>
      <w:r w:rsidRPr="0017357E">
        <w:rPr>
          <w:rFonts w:ascii="Calibri" w:eastAsia="Calibri" w:hAnsi="Calibri" w:cs="Calibri"/>
          <w:color w:val="000000" w:themeColor="text1"/>
        </w:rPr>
        <w:t>. In addition to the Co-Chairs, the REWG’s membership included the following people and roles:</w:t>
      </w:r>
      <w:r w:rsidRPr="0017357E">
        <w:rPr>
          <w:rStyle w:val="FootnoteReference"/>
          <w:rFonts w:ascii="Calibri" w:eastAsia="Calibri" w:hAnsi="Calibri" w:cs="Calibri"/>
          <w:color w:val="000000" w:themeColor="text1"/>
        </w:rPr>
        <w:footnoteReference w:id="7"/>
      </w:r>
      <w:r w:rsidRPr="0017357E">
        <w:rPr>
          <w:rFonts w:ascii="Calibri" w:eastAsia="Calibri" w:hAnsi="Calibri" w:cs="Calibri"/>
          <w:color w:val="000000" w:themeColor="text1"/>
        </w:rPr>
        <w:t xml:space="preserve">  </w:t>
      </w:r>
    </w:p>
    <w:p w14:paraId="635C0681" w14:textId="28F1CF69" w:rsidR="00773F7C" w:rsidRPr="0017357E" w:rsidRDefault="00773F7C" w:rsidP="00057638">
      <w:pPr>
        <w:autoSpaceDE w:val="0"/>
        <w:autoSpaceDN w:val="0"/>
        <w:adjustRightInd w:val="0"/>
        <w:spacing w:line="259" w:lineRule="auto"/>
        <w:rPr>
          <w:rFonts w:ascii="Calibri" w:eastAsia="Calibri" w:hAnsi="Calibri" w:cs="Calibri"/>
          <w:color w:val="000000" w:themeColor="text1"/>
        </w:rPr>
      </w:pPr>
    </w:p>
    <w:p w14:paraId="47A88957" w14:textId="77777777" w:rsidR="00773F7C" w:rsidRPr="0017357E" w:rsidRDefault="00773F7C" w:rsidP="00057638">
      <w:pPr>
        <w:pStyle w:val="ListParagraph"/>
        <w:numPr>
          <w:ilvl w:val="0"/>
          <w:numId w:val="9"/>
        </w:numPr>
        <w:autoSpaceDE w:val="0"/>
        <w:autoSpaceDN w:val="0"/>
        <w:adjustRightInd w:val="0"/>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Research fellows: </w:t>
      </w:r>
    </w:p>
    <w:p w14:paraId="622F6A3C" w14:textId="5BC88F3B" w:rsidR="00773F7C" w:rsidRPr="0017357E" w:rsidRDefault="00451B35"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hyperlink r:id="rId14" w:history="1">
        <w:r w:rsidR="00773F7C" w:rsidRPr="0017357E">
          <w:rPr>
            <w:rStyle w:val="Hyperlink"/>
            <w:rFonts w:ascii="Calibri" w:eastAsia="Calibri" w:hAnsi="Calibri" w:cs="Calibri"/>
          </w:rPr>
          <w:t>Simon Buck</w:t>
        </w:r>
      </w:hyperlink>
      <w:r w:rsidR="00773F7C" w:rsidRPr="0017357E">
        <w:rPr>
          <w:rFonts w:ascii="Calibri" w:eastAsia="Calibri" w:hAnsi="Calibri" w:cs="Calibri"/>
          <w:color w:val="000000" w:themeColor="text1"/>
        </w:rPr>
        <w:t xml:space="preserve"> (</w:t>
      </w:r>
      <w:r w:rsidR="00690C8B">
        <w:rPr>
          <w:rFonts w:ascii="Calibri" w:eastAsia="Calibri" w:hAnsi="Calibri" w:cs="Calibri"/>
          <w:color w:val="000000" w:themeColor="text1"/>
        </w:rPr>
        <w:t xml:space="preserve">The </w:t>
      </w:r>
      <w:r w:rsidR="00A27530">
        <w:rPr>
          <w:rFonts w:ascii="Calibri" w:eastAsia="Calibri" w:hAnsi="Calibri" w:cs="Calibri"/>
          <w:color w:val="000000" w:themeColor="text1"/>
        </w:rPr>
        <w:t xml:space="preserve">University of </w:t>
      </w:r>
      <w:r w:rsidR="00584315">
        <w:rPr>
          <w:rFonts w:ascii="Calibri" w:eastAsia="Calibri" w:hAnsi="Calibri" w:cs="Calibri"/>
          <w:color w:val="000000" w:themeColor="text1"/>
        </w:rPr>
        <w:t>Edinburgh</w:t>
      </w:r>
      <w:r w:rsidR="00584315" w:rsidRPr="0017357E">
        <w:rPr>
          <w:rFonts w:ascii="Calibri" w:eastAsia="Calibri" w:hAnsi="Calibri" w:cs="Calibri"/>
          <w:color w:val="000000" w:themeColor="text1"/>
        </w:rPr>
        <w:t>’s</w:t>
      </w:r>
      <w:r w:rsidR="00584315">
        <w:rPr>
          <w:rFonts w:ascii="Calibri" w:eastAsia="Calibri" w:hAnsi="Calibri" w:cs="Calibri"/>
          <w:color w:val="000000" w:themeColor="text1"/>
        </w:rPr>
        <w:t xml:space="preserve"> financial </w:t>
      </w:r>
      <w:r w:rsidR="00773F7C" w:rsidRPr="0017357E">
        <w:rPr>
          <w:rFonts w:ascii="Calibri" w:eastAsia="Calibri" w:hAnsi="Calibri" w:cs="Calibri"/>
          <w:color w:val="000000" w:themeColor="text1"/>
        </w:rPr>
        <w:t xml:space="preserve">links to </w:t>
      </w:r>
      <w:r w:rsidR="00584315">
        <w:rPr>
          <w:rFonts w:ascii="Calibri" w:eastAsia="Calibri" w:hAnsi="Calibri" w:cs="Calibri"/>
          <w:color w:val="000000" w:themeColor="text1"/>
        </w:rPr>
        <w:t>enslavement and colonial</w:t>
      </w:r>
      <w:r w:rsidR="00C460B6">
        <w:rPr>
          <w:rFonts w:ascii="Calibri" w:eastAsia="Calibri" w:hAnsi="Calibri" w:cs="Calibri"/>
          <w:color w:val="000000" w:themeColor="text1"/>
        </w:rPr>
        <w:t xml:space="preserve"> networks</w:t>
      </w:r>
      <w:r w:rsidR="00773F7C" w:rsidRPr="0017357E">
        <w:rPr>
          <w:rFonts w:ascii="Calibri" w:eastAsia="Calibri" w:hAnsi="Calibri" w:cs="Calibri"/>
          <w:color w:val="000000" w:themeColor="text1"/>
        </w:rPr>
        <w:t>).</w:t>
      </w:r>
    </w:p>
    <w:p w14:paraId="29B7A5CA" w14:textId="2DE4F44F" w:rsidR="00773F7C" w:rsidRPr="0017357E" w:rsidRDefault="00451B35"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hyperlink r:id="rId15" w:history="1">
        <w:r w:rsidR="00773F7C" w:rsidRPr="0017357E">
          <w:rPr>
            <w:rStyle w:val="Hyperlink"/>
            <w:rFonts w:ascii="Calibri" w:eastAsia="Calibri" w:hAnsi="Calibri" w:cs="Calibri"/>
          </w:rPr>
          <w:t>Ian Stewart</w:t>
        </w:r>
      </w:hyperlink>
      <w:r w:rsidR="00773F7C" w:rsidRPr="0017357E">
        <w:rPr>
          <w:rFonts w:ascii="Calibri" w:eastAsia="Calibri" w:hAnsi="Calibri" w:cs="Calibri"/>
          <w:color w:val="000000" w:themeColor="text1"/>
        </w:rPr>
        <w:t xml:space="preserve"> (</w:t>
      </w:r>
      <w:r w:rsidR="00690C8B">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sidR="00773F7C" w:rsidRPr="0017357E">
        <w:rPr>
          <w:rFonts w:ascii="Calibri" w:eastAsia="Calibri" w:hAnsi="Calibri" w:cs="Calibri"/>
          <w:color w:val="000000" w:themeColor="text1"/>
        </w:rPr>
        <w:t>’s links to the development of racial thought</w:t>
      </w:r>
      <w:r w:rsidR="00C460B6">
        <w:rPr>
          <w:rFonts w:ascii="Calibri" w:eastAsia="Calibri" w:hAnsi="Calibri" w:cs="Calibri"/>
          <w:color w:val="000000" w:themeColor="text1"/>
        </w:rPr>
        <w:t xml:space="preserve"> during the Enlightenment</w:t>
      </w:r>
      <w:r w:rsidR="00773F7C" w:rsidRPr="0017357E">
        <w:rPr>
          <w:rFonts w:ascii="Calibri" w:eastAsia="Calibri" w:hAnsi="Calibri" w:cs="Calibri"/>
          <w:color w:val="000000" w:themeColor="text1"/>
        </w:rPr>
        <w:t>).</w:t>
      </w:r>
    </w:p>
    <w:p w14:paraId="0A4E0DB1" w14:textId="73B66B83" w:rsidR="00773F7C" w:rsidRPr="0017357E" w:rsidRDefault="00451B35"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hyperlink r:id="rId16" w:history="1">
        <w:r w:rsidR="00773F7C" w:rsidRPr="0017357E">
          <w:rPr>
            <w:rStyle w:val="Hyperlink"/>
            <w:rFonts w:ascii="Calibri" w:eastAsia="Calibri" w:hAnsi="Calibri" w:cs="Calibri"/>
          </w:rPr>
          <w:t>Yarong Xie</w:t>
        </w:r>
      </w:hyperlink>
      <w:r w:rsidR="00773F7C" w:rsidRPr="0017357E">
        <w:rPr>
          <w:rFonts w:ascii="Calibri" w:eastAsia="Calibri" w:hAnsi="Calibri" w:cs="Calibri"/>
          <w:color w:val="000000" w:themeColor="text1"/>
        </w:rPr>
        <w:t xml:space="preserve"> (</w:t>
      </w:r>
      <w:r w:rsidR="00690C8B">
        <w:rPr>
          <w:rFonts w:ascii="Calibri" w:eastAsia="Calibri" w:hAnsi="Calibri" w:cs="Calibri"/>
          <w:color w:val="000000" w:themeColor="text1"/>
        </w:rPr>
        <w:t>C</w:t>
      </w:r>
      <w:r w:rsidR="00773F7C" w:rsidRPr="0017357E">
        <w:rPr>
          <w:rFonts w:ascii="Calibri" w:eastAsia="Calibri" w:hAnsi="Calibri" w:cs="Calibri"/>
          <w:color w:val="000000" w:themeColor="text1"/>
        </w:rPr>
        <w:t xml:space="preserve">urrent attitudes towards, and experiences of, racism at </w:t>
      </w:r>
      <w:r w:rsidR="00A27530">
        <w:rPr>
          <w:rFonts w:ascii="Calibri" w:eastAsia="Calibri" w:hAnsi="Calibri" w:cs="Calibri"/>
          <w:color w:val="000000" w:themeColor="text1"/>
        </w:rPr>
        <w:t>University of Edinburgh</w:t>
      </w:r>
      <w:r w:rsidR="00773F7C" w:rsidRPr="0017357E">
        <w:rPr>
          <w:rFonts w:ascii="Calibri" w:eastAsia="Calibri" w:hAnsi="Calibri" w:cs="Calibri"/>
          <w:color w:val="000000" w:themeColor="text1"/>
        </w:rPr>
        <w:t>).</w:t>
      </w:r>
    </w:p>
    <w:p w14:paraId="48735E51" w14:textId="5771C5BF" w:rsidR="002372D5" w:rsidRDefault="00A27530" w:rsidP="00057638">
      <w:pPr>
        <w:pStyle w:val="ListParagraph"/>
        <w:numPr>
          <w:ilvl w:val="0"/>
          <w:numId w:val="9"/>
        </w:numPr>
        <w:autoSpaceDE w:val="0"/>
        <w:autoSpaceDN w:val="0"/>
        <w:adjustRightInd w:val="0"/>
        <w:spacing w:line="259" w:lineRule="auto"/>
        <w:rPr>
          <w:rFonts w:ascii="Calibri" w:eastAsia="Calibri" w:hAnsi="Calibri" w:cs="Calibri"/>
          <w:color w:val="000000" w:themeColor="text1"/>
        </w:rPr>
      </w:pPr>
      <w:r>
        <w:rPr>
          <w:rFonts w:ascii="Calibri" w:eastAsia="Calibri" w:hAnsi="Calibri" w:cs="Calibri"/>
          <w:color w:val="000000" w:themeColor="text1"/>
        </w:rPr>
        <w:t>University of Edinburgh</w:t>
      </w:r>
      <w:r w:rsidR="00602272">
        <w:rPr>
          <w:rFonts w:ascii="Calibri" w:eastAsia="Calibri" w:hAnsi="Calibri" w:cs="Calibri"/>
          <w:color w:val="000000" w:themeColor="text1"/>
        </w:rPr>
        <w:t xml:space="preserve"> r</w:t>
      </w:r>
      <w:r w:rsidR="002372D5">
        <w:rPr>
          <w:rFonts w:ascii="Calibri" w:eastAsia="Calibri" w:hAnsi="Calibri" w:cs="Calibri"/>
          <w:color w:val="000000" w:themeColor="text1"/>
        </w:rPr>
        <w:t>esearchers:</w:t>
      </w:r>
    </w:p>
    <w:p w14:paraId="42490811" w14:textId="231F0180" w:rsidR="002372D5" w:rsidRPr="009A3F32" w:rsidRDefault="00451B35"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hyperlink r:id="rId17" w:history="1">
        <w:r w:rsidR="009A3F32" w:rsidRPr="00F474C4">
          <w:rPr>
            <w:rStyle w:val="Hyperlink"/>
            <w:rFonts w:ascii="Calibri" w:eastAsia="Calibri" w:hAnsi="Calibri" w:cs="Calibri"/>
          </w:rPr>
          <w:t xml:space="preserve">Shaira </w:t>
        </w:r>
        <w:r w:rsidR="00F137DA" w:rsidRPr="00F474C4">
          <w:rPr>
            <w:rStyle w:val="Hyperlink"/>
            <w:rFonts w:ascii="Calibri" w:eastAsia="Calibri" w:hAnsi="Calibri" w:cs="Calibri"/>
          </w:rPr>
          <w:t>Vadasaria</w:t>
        </w:r>
      </w:hyperlink>
      <w:r w:rsidR="00F137DA">
        <w:rPr>
          <w:rFonts w:ascii="Calibri" w:eastAsia="Calibri" w:hAnsi="Calibri" w:cs="Calibri"/>
          <w:color w:val="000000" w:themeColor="text1"/>
        </w:rPr>
        <w:t xml:space="preserve"> and </w:t>
      </w:r>
      <w:hyperlink r:id="rId18" w:history="1">
        <w:r w:rsidR="00F137DA" w:rsidRPr="00301583">
          <w:rPr>
            <w:rStyle w:val="Hyperlink"/>
            <w:rFonts w:ascii="Calibri" w:eastAsia="Calibri" w:hAnsi="Calibri" w:cs="Calibri"/>
          </w:rPr>
          <w:t>Nicola Perugini</w:t>
        </w:r>
      </w:hyperlink>
      <w:r w:rsidR="00F137DA">
        <w:rPr>
          <w:rFonts w:ascii="Calibri" w:eastAsia="Calibri" w:hAnsi="Calibri" w:cs="Calibri"/>
          <w:color w:val="000000" w:themeColor="text1"/>
        </w:rPr>
        <w:t xml:space="preserve"> (</w:t>
      </w:r>
      <w:r w:rsidR="00690C8B">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sidR="00F137DA">
        <w:rPr>
          <w:rFonts w:ascii="Calibri" w:eastAsia="Calibri" w:hAnsi="Calibri" w:cs="Calibri"/>
          <w:color w:val="000000" w:themeColor="text1"/>
        </w:rPr>
        <w:t>’s links to Palestine)</w:t>
      </w:r>
    </w:p>
    <w:p w14:paraId="1C5CEC3A" w14:textId="799BFD48" w:rsidR="00773F7C" w:rsidRPr="0017357E" w:rsidRDefault="00773F7C" w:rsidP="00057638">
      <w:pPr>
        <w:pStyle w:val="ListParagraph"/>
        <w:numPr>
          <w:ilvl w:val="0"/>
          <w:numId w:val="9"/>
        </w:numPr>
        <w:autoSpaceDE w:val="0"/>
        <w:autoSpaceDN w:val="0"/>
        <w:adjustRightInd w:val="0"/>
        <w:spacing w:line="259" w:lineRule="auto"/>
        <w:rPr>
          <w:rFonts w:ascii="Calibri" w:eastAsia="Calibri" w:hAnsi="Calibri" w:cs="Calibri"/>
          <w:color w:val="000000" w:themeColor="text1"/>
        </w:rPr>
      </w:pPr>
      <w:r w:rsidRPr="0017357E">
        <w:rPr>
          <w:rFonts w:ascii="Calibri" w:eastAsia="Calibri" w:hAnsi="Calibri" w:cs="Calibri"/>
          <w:color w:val="000000" w:themeColor="text1"/>
        </w:rPr>
        <w:t>Research assistant</w:t>
      </w:r>
      <w:r w:rsidR="00301583">
        <w:rPr>
          <w:rFonts w:ascii="Calibri" w:eastAsia="Calibri" w:hAnsi="Calibri" w:cs="Calibri"/>
          <w:color w:val="000000" w:themeColor="text1"/>
        </w:rPr>
        <w:t>s</w:t>
      </w:r>
      <w:r w:rsidRPr="0017357E">
        <w:rPr>
          <w:rFonts w:ascii="Calibri" w:eastAsia="Calibri" w:hAnsi="Calibri" w:cs="Calibri"/>
          <w:color w:val="000000" w:themeColor="text1"/>
        </w:rPr>
        <w:t>:</w:t>
      </w:r>
    </w:p>
    <w:p w14:paraId="3EE7BAEA" w14:textId="231B1EB5" w:rsidR="00773F7C" w:rsidRPr="0017357E" w:rsidRDefault="00451B35"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hyperlink r:id="rId19" w:history="1">
        <w:r w:rsidR="00773F7C" w:rsidRPr="0017357E">
          <w:rPr>
            <w:rStyle w:val="Hyperlink"/>
            <w:rFonts w:ascii="Calibri" w:eastAsia="Calibri" w:hAnsi="Calibri" w:cs="Calibri"/>
          </w:rPr>
          <w:t>Obasanjo Bolarinwa</w:t>
        </w:r>
      </w:hyperlink>
      <w:r w:rsidR="00773F7C" w:rsidRPr="0017357E">
        <w:rPr>
          <w:rFonts w:ascii="Calibri" w:eastAsia="Calibri" w:hAnsi="Calibri" w:cs="Calibri"/>
          <w:color w:val="000000" w:themeColor="text1"/>
        </w:rPr>
        <w:t xml:space="preserve"> (</w:t>
      </w:r>
      <w:r w:rsidR="00690C8B">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sidR="00771306">
        <w:rPr>
          <w:rFonts w:ascii="Calibri" w:eastAsia="Calibri" w:hAnsi="Calibri" w:cs="Calibri"/>
          <w:color w:val="000000" w:themeColor="text1"/>
        </w:rPr>
        <w:t xml:space="preserve">’s </w:t>
      </w:r>
      <w:r w:rsidR="00773F7C" w:rsidRPr="0017357E">
        <w:rPr>
          <w:rFonts w:ascii="Calibri" w:eastAsia="Calibri" w:hAnsi="Calibri" w:cs="Calibri"/>
          <w:color w:val="000000" w:themeColor="text1"/>
        </w:rPr>
        <w:t>data on racially/ethnically minoritised students and staff).</w:t>
      </w:r>
    </w:p>
    <w:p w14:paraId="32527DC5" w14:textId="77C15D91" w:rsidR="00485B80" w:rsidRDefault="00485B80"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r>
        <w:rPr>
          <w:rFonts w:ascii="Calibri" w:eastAsia="Calibri" w:hAnsi="Calibri" w:cs="Calibri"/>
          <w:color w:val="000000" w:themeColor="text1"/>
        </w:rPr>
        <w:t>Hajar Ibrahim, Henry Dee and Tom Cunningham (</w:t>
      </w:r>
      <w:r w:rsidR="00690C8B">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Pr>
          <w:rFonts w:ascii="Calibri" w:eastAsia="Calibri" w:hAnsi="Calibri" w:cs="Calibri"/>
          <w:color w:val="000000" w:themeColor="text1"/>
        </w:rPr>
        <w:t>’s links to Palestine)</w:t>
      </w:r>
    </w:p>
    <w:p w14:paraId="50B303C4" w14:textId="77777777" w:rsidR="00773F7C" w:rsidRPr="0017357E" w:rsidRDefault="00773F7C" w:rsidP="00057638">
      <w:pPr>
        <w:pStyle w:val="ListParagraph"/>
        <w:numPr>
          <w:ilvl w:val="0"/>
          <w:numId w:val="9"/>
        </w:numPr>
        <w:autoSpaceDE w:val="0"/>
        <w:autoSpaceDN w:val="0"/>
        <w:adjustRightInd w:val="0"/>
        <w:spacing w:line="259" w:lineRule="auto"/>
        <w:rPr>
          <w:rFonts w:ascii="Calibri" w:eastAsia="Calibri" w:hAnsi="Calibri" w:cs="Calibri"/>
          <w:color w:val="000000" w:themeColor="text1"/>
        </w:rPr>
      </w:pPr>
      <w:r w:rsidRPr="0017357E">
        <w:rPr>
          <w:rFonts w:ascii="Calibri" w:eastAsia="Calibri" w:hAnsi="Calibri" w:cs="Calibri"/>
          <w:color w:val="000000" w:themeColor="text1"/>
        </w:rPr>
        <w:t>Academic mentors:</w:t>
      </w:r>
    </w:p>
    <w:p w14:paraId="03CFE2F2" w14:textId="290B5DDA" w:rsidR="00773F7C" w:rsidRPr="0017357E" w:rsidRDefault="00451B35"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hyperlink r:id="rId20" w:history="1">
        <w:r w:rsidR="00773F7C" w:rsidRPr="0017357E">
          <w:rPr>
            <w:rStyle w:val="Hyperlink"/>
            <w:rFonts w:ascii="Calibri" w:eastAsia="Calibri" w:hAnsi="Calibri" w:cs="Calibri"/>
          </w:rPr>
          <w:t>Diana Paton</w:t>
        </w:r>
      </w:hyperlink>
      <w:r w:rsidR="00773F7C" w:rsidRPr="0017357E">
        <w:rPr>
          <w:rFonts w:ascii="Calibri" w:eastAsia="Calibri" w:hAnsi="Calibri" w:cs="Calibri"/>
          <w:color w:val="000000" w:themeColor="text1"/>
        </w:rPr>
        <w:t xml:space="preserve"> (William Robertson Professor of History, </w:t>
      </w:r>
      <w:r w:rsidR="00690C8B">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sidR="00773F7C" w:rsidRPr="0017357E">
        <w:rPr>
          <w:rFonts w:ascii="Calibri" w:eastAsia="Calibri" w:hAnsi="Calibri" w:cs="Calibri"/>
          <w:color w:val="000000" w:themeColor="text1"/>
        </w:rPr>
        <w:t>).</w:t>
      </w:r>
    </w:p>
    <w:p w14:paraId="5DF2007A" w14:textId="2AC2D9ED" w:rsidR="00773F7C" w:rsidRPr="0017357E" w:rsidRDefault="00451B35"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hyperlink r:id="rId21" w:history="1">
        <w:r w:rsidR="00773F7C" w:rsidRPr="0017357E">
          <w:rPr>
            <w:rStyle w:val="Hyperlink"/>
            <w:rFonts w:ascii="Calibri" w:eastAsia="Calibri" w:hAnsi="Calibri" w:cs="Calibri"/>
          </w:rPr>
          <w:t>Daryl Green</w:t>
        </w:r>
      </w:hyperlink>
      <w:r w:rsidR="00773F7C" w:rsidRPr="0017357E">
        <w:rPr>
          <w:rFonts w:ascii="Calibri" w:eastAsia="Calibri" w:hAnsi="Calibri" w:cs="Calibri"/>
          <w:color w:val="000000" w:themeColor="text1"/>
        </w:rPr>
        <w:t xml:space="preserve"> (Head of Heritage Collections and Co-Director of the Centre for Research Collections,</w:t>
      </w:r>
      <w:r w:rsidR="00690C8B">
        <w:rPr>
          <w:rFonts w:ascii="Calibri" w:eastAsia="Calibri" w:hAnsi="Calibri" w:cs="Calibri"/>
          <w:color w:val="000000" w:themeColor="text1"/>
        </w:rPr>
        <w:t xml:space="preserve"> The</w:t>
      </w:r>
      <w:r w:rsidR="00773F7C" w:rsidRPr="0017357E">
        <w:rPr>
          <w:rFonts w:ascii="Calibri" w:eastAsia="Calibri" w:hAnsi="Calibri" w:cs="Calibri"/>
          <w:color w:val="000000" w:themeColor="text1"/>
        </w:rPr>
        <w:t xml:space="preserve"> </w:t>
      </w:r>
      <w:r w:rsidR="00A27530">
        <w:rPr>
          <w:rFonts w:ascii="Calibri" w:eastAsia="Calibri" w:hAnsi="Calibri" w:cs="Calibri"/>
          <w:color w:val="000000" w:themeColor="text1"/>
        </w:rPr>
        <w:t>University of Edinburgh</w:t>
      </w:r>
      <w:r w:rsidR="00773F7C" w:rsidRPr="0017357E">
        <w:rPr>
          <w:rFonts w:ascii="Calibri" w:eastAsia="Calibri" w:hAnsi="Calibri" w:cs="Calibri"/>
          <w:color w:val="000000" w:themeColor="text1"/>
        </w:rPr>
        <w:t>).</w:t>
      </w:r>
    </w:p>
    <w:p w14:paraId="3E13D843" w14:textId="1F63F15E" w:rsidR="00773F7C" w:rsidRPr="0017357E" w:rsidRDefault="00451B35"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hyperlink r:id="rId22" w:history="1">
        <w:r w:rsidR="00773F7C" w:rsidRPr="0017357E">
          <w:rPr>
            <w:rStyle w:val="Hyperlink"/>
            <w:rFonts w:ascii="Calibri" w:eastAsia="Calibri" w:hAnsi="Calibri" w:cs="Calibri"/>
          </w:rPr>
          <w:t>Nasar Meer</w:t>
        </w:r>
      </w:hyperlink>
      <w:r w:rsidR="00773F7C" w:rsidRPr="0017357E">
        <w:rPr>
          <w:rFonts w:ascii="Calibri" w:eastAsia="Calibri" w:hAnsi="Calibri" w:cs="Calibri"/>
          <w:color w:val="000000" w:themeColor="text1"/>
        </w:rPr>
        <w:t xml:space="preserve"> (Professor of Social and Political Science at the University of Glasgow, Honorary Professor at </w:t>
      </w:r>
      <w:r w:rsidR="00A27530">
        <w:rPr>
          <w:rFonts w:ascii="Calibri" w:eastAsia="Calibri" w:hAnsi="Calibri" w:cs="Calibri"/>
          <w:color w:val="000000" w:themeColor="text1"/>
        </w:rPr>
        <w:t>University of Edinburgh</w:t>
      </w:r>
      <w:r w:rsidR="00773F7C" w:rsidRPr="0017357E">
        <w:rPr>
          <w:rFonts w:ascii="Calibri" w:eastAsia="Calibri" w:hAnsi="Calibri" w:cs="Calibri"/>
          <w:color w:val="000000" w:themeColor="text1"/>
        </w:rPr>
        <w:t xml:space="preserve"> and former Director of </w:t>
      </w:r>
      <w:hyperlink r:id="rId23" w:history="1">
        <w:r w:rsidR="00773F7C" w:rsidRPr="0017357E">
          <w:rPr>
            <w:rStyle w:val="Hyperlink"/>
            <w:rFonts w:ascii="Calibri" w:eastAsia="Calibri" w:hAnsi="Calibri" w:cs="Calibri"/>
          </w:rPr>
          <w:t>RaceED</w:t>
        </w:r>
      </w:hyperlink>
      <w:r w:rsidR="00773F7C" w:rsidRPr="0017357E">
        <w:rPr>
          <w:rFonts w:ascii="Calibri" w:eastAsia="Calibri" w:hAnsi="Calibri" w:cs="Calibri"/>
          <w:color w:val="000000" w:themeColor="text1"/>
        </w:rPr>
        <w:t xml:space="preserve">, </w:t>
      </w:r>
      <w:r w:rsidR="00690C8B">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sidR="00773F7C" w:rsidRPr="0017357E">
        <w:rPr>
          <w:rFonts w:ascii="Calibri" w:eastAsia="Calibri" w:hAnsi="Calibri" w:cs="Calibri"/>
          <w:color w:val="000000" w:themeColor="text1"/>
        </w:rPr>
        <w:t>).</w:t>
      </w:r>
    </w:p>
    <w:p w14:paraId="6E0980FF" w14:textId="267E879A" w:rsidR="00773F7C" w:rsidRPr="0017357E" w:rsidRDefault="00773F7C" w:rsidP="00057638">
      <w:pPr>
        <w:pStyle w:val="ListParagraph"/>
        <w:numPr>
          <w:ilvl w:val="0"/>
          <w:numId w:val="9"/>
        </w:numPr>
        <w:autoSpaceDE w:val="0"/>
        <w:autoSpaceDN w:val="0"/>
        <w:adjustRightInd w:val="0"/>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Community </w:t>
      </w:r>
      <w:r w:rsidR="00690C8B">
        <w:rPr>
          <w:rFonts w:ascii="Calibri" w:eastAsia="Calibri" w:hAnsi="Calibri" w:cs="Calibri"/>
          <w:color w:val="000000" w:themeColor="text1"/>
        </w:rPr>
        <w:t>E</w:t>
      </w:r>
      <w:r w:rsidRPr="0017357E">
        <w:rPr>
          <w:rFonts w:ascii="Calibri" w:eastAsia="Calibri" w:hAnsi="Calibri" w:cs="Calibri"/>
          <w:color w:val="000000" w:themeColor="text1"/>
        </w:rPr>
        <w:t xml:space="preserve">ngagement </w:t>
      </w:r>
      <w:r w:rsidR="00690C8B">
        <w:rPr>
          <w:rFonts w:ascii="Calibri" w:eastAsia="Calibri" w:hAnsi="Calibri" w:cs="Calibri"/>
          <w:color w:val="000000" w:themeColor="text1"/>
        </w:rPr>
        <w:t>O</w:t>
      </w:r>
      <w:r w:rsidRPr="0017357E">
        <w:rPr>
          <w:rFonts w:ascii="Calibri" w:eastAsia="Calibri" w:hAnsi="Calibri" w:cs="Calibri"/>
          <w:color w:val="000000" w:themeColor="text1"/>
        </w:rPr>
        <w:t>fficer:</w:t>
      </w:r>
    </w:p>
    <w:p w14:paraId="7DA6B2CA" w14:textId="717EDBBD" w:rsidR="00773F7C" w:rsidRPr="0017357E" w:rsidRDefault="00451B35"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hyperlink r:id="rId24">
        <w:r w:rsidR="00773F7C" w:rsidRPr="06D755CD">
          <w:rPr>
            <w:rStyle w:val="Hyperlink"/>
            <w:rFonts w:ascii="Calibri" w:eastAsia="Calibri" w:hAnsi="Calibri" w:cs="Calibri"/>
          </w:rPr>
          <w:t>Samantha Likonde</w:t>
        </w:r>
      </w:hyperlink>
      <w:r w:rsidR="00773F7C" w:rsidRPr="0017357E">
        <w:rPr>
          <w:rFonts w:ascii="Calibri" w:eastAsia="Calibri" w:hAnsi="Calibri" w:cs="Calibri"/>
          <w:color w:val="000000" w:themeColor="text1"/>
        </w:rPr>
        <w:t xml:space="preserve"> (</w:t>
      </w:r>
      <w:r w:rsidR="00771306">
        <w:rPr>
          <w:rFonts w:ascii="Calibri" w:eastAsia="Calibri" w:hAnsi="Calibri" w:cs="Calibri"/>
          <w:color w:val="000000" w:themeColor="text1"/>
        </w:rPr>
        <w:t xml:space="preserve">lead for the </w:t>
      </w:r>
      <w:r w:rsidR="00773F7C" w:rsidRPr="0017357E">
        <w:rPr>
          <w:rFonts w:ascii="Calibri" w:eastAsia="Calibri" w:hAnsi="Calibri" w:cs="Calibri"/>
          <w:color w:val="000000" w:themeColor="text1"/>
        </w:rPr>
        <w:t xml:space="preserve">community engagement </w:t>
      </w:r>
      <w:r w:rsidR="008C2DB9">
        <w:rPr>
          <w:rFonts w:ascii="Calibri" w:eastAsia="Calibri" w:hAnsi="Calibri" w:cs="Calibri"/>
          <w:color w:val="000000" w:themeColor="text1"/>
        </w:rPr>
        <w:t xml:space="preserve">programme </w:t>
      </w:r>
      <w:r w:rsidR="00773F7C" w:rsidRPr="0017357E">
        <w:rPr>
          <w:rFonts w:ascii="Calibri" w:eastAsia="Calibri" w:hAnsi="Calibri" w:cs="Calibri"/>
          <w:color w:val="000000" w:themeColor="text1"/>
        </w:rPr>
        <w:t>to identify reparatory justice recommendations</w:t>
      </w:r>
      <w:r w:rsidR="00771306">
        <w:rPr>
          <w:rFonts w:ascii="Calibri" w:eastAsia="Calibri" w:hAnsi="Calibri" w:cs="Calibri"/>
          <w:color w:val="000000" w:themeColor="text1"/>
        </w:rPr>
        <w:t xml:space="preserve"> and </w:t>
      </w:r>
      <w:r w:rsidR="001C1489">
        <w:rPr>
          <w:rFonts w:ascii="Calibri" w:eastAsia="Calibri" w:hAnsi="Calibri" w:cs="Calibri"/>
          <w:color w:val="000000" w:themeColor="text1"/>
        </w:rPr>
        <w:t xml:space="preserve">future </w:t>
      </w:r>
      <w:r w:rsidR="00771306">
        <w:rPr>
          <w:rFonts w:ascii="Calibri" w:eastAsia="Calibri" w:hAnsi="Calibri" w:cs="Calibri"/>
          <w:color w:val="000000" w:themeColor="text1"/>
        </w:rPr>
        <w:t>actions</w:t>
      </w:r>
      <w:r w:rsidR="00773F7C" w:rsidRPr="0017357E">
        <w:rPr>
          <w:rFonts w:ascii="Calibri" w:eastAsia="Calibri" w:hAnsi="Calibri" w:cs="Calibri"/>
          <w:color w:val="000000" w:themeColor="text1"/>
        </w:rPr>
        <w:t>).</w:t>
      </w:r>
    </w:p>
    <w:p w14:paraId="0DA8E6B3" w14:textId="2D0E1E8C" w:rsidR="00773F7C" w:rsidRPr="0017357E" w:rsidRDefault="00773F7C" w:rsidP="00057638">
      <w:pPr>
        <w:pStyle w:val="ListParagraph"/>
        <w:numPr>
          <w:ilvl w:val="0"/>
          <w:numId w:val="9"/>
        </w:numPr>
        <w:autoSpaceDE w:val="0"/>
        <w:autoSpaceDN w:val="0"/>
        <w:adjustRightInd w:val="0"/>
        <w:spacing w:line="259" w:lineRule="auto"/>
        <w:rPr>
          <w:rFonts w:ascii="Calibri" w:eastAsia="Calibri" w:hAnsi="Calibri" w:cs="Calibri"/>
          <w:color w:val="000000" w:themeColor="text1"/>
        </w:rPr>
      </w:pPr>
      <w:r w:rsidRPr="0017357E">
        <w:rPr>
          <w:rFonts w:ascii="Calibri" w:eastAsia="Calibri" w:hAnsi="Calibri" w:cs="Calibri"/>
          <w:color w:val="000000" w:themeColor="text1"/>
        </w:rPr>
        <w:t>Community and reparations activists and project consultants:</w:t>
      </w:r>
    </w:p>
    <w:p w14:paraId="24FE2DA8" w14:textId="63EB1525" w:rsidR="00773F7C" w:rsidRPr="0017357E" w:rsidRDefault="00451B35"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hyperlink r:id="rId25" w:history="1">
        <w:r w:rsidR="00773F7C" w:rsidRPr="0017357E">
          <w:rPr>
            <w:rStyle w:val="Hyperlink"/>
            <w:rFonts w:ascii="Calibri" w:eastAsia="Calibri" w:hAnsi="Calibri" w:cs="Calibri"/>
          </w:rPr>
          <w:t>Zaki El-Salahi</w:t>
        </w:r>
      </w:hyperlink>
      <w:r w:rsidR="00773F7C" w:rsidRPr="0017357E">
        <w:rPr>
          <w:rFonts w:ascii="Calibri" w:eastAsia="Calibri" w:hAnsi="Calibri" w:cs="Calibri"/>
          <w:color w:val="000000" w:themeColor="text1"/>
        </w:rPr>
        <w:t xml:space="preserve"> (</w:t>
      </w:r>
      <w:r w:rsidR="00773F7C" w:rsidRPr="0017357E">
        <w:rPr>
          <w:rFonts w:cstheme="minorHAnsi"/>
          <w:color w:val="000000" w:themeColor="text1"/>
        </w:rPr>
        <w:t>Edinburgh Sudanese Community Partnership).</w:t>
      </w:r>
    </w:p>
    <w:p w14:paraId="0456ECEA" w14:textId="4C970E86" w:rsidR="00773F7C" w:rsidRPr="005520E7" w:rsidRDefault="00451B35"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hyperlink r:id="rId26" w:history="1">
        <w:r w:rsidR="00773F7C" w:rsidRPr="0017357E">
          <w:rPr>
            <w:rStyle w:val="Hyperlink"/>
            <w:rFonts w:cstheme="minorHAnsi"/>
          </w:rPr>
          <w:t>Esther Stanford-Xosei</w:t>
        </w:r>
      </w:hyperlink>
      <w:r w:rsidR="00773F7C" w:rsidRPr="0017357E">
        <w:rPr>
          <w:rFonts w:cstheme="minorHAnsi"/>
          <w:color w:val="000000" w:themeColor="text1"/>
        </w:rPr>
        <w:t xml:space="preserve"> (co-founder of Pan-Afrikan Reparations Coalition in Europe, </w:t>
      </w:r>
      <w:hyperlink r:id="rId27" w:history="1">
        <w:r w:rsidR="00773F7C" w:rsidRPr="0017357E">
          <w:rPr>
            <w:rStyle w:val="Hyperlink"/>
            <w:rFonts w:cstheme="minorHAnsi"/>
          </w:rPr>
          <w:t>PARCOE</w:t>
        </w:r>
      </w:hyperlink>
      <w:r w:rsidR="00773F7C" w:rsidRPr="0017357E">
        <w:rPr>
          <w:rFonts w:cstheme="minorHAnsi"/>
          <w:color w:val="000000" w:themeColor="text1"/>
        </w:rPr>
        <w:t xml:space="preserve">, and the International Network of Scholars and Activists for Afrikan Reparations, </w:t>
      </w:r>
      <w:hyperlink r:id="rId28" w:history="1">
        <w:r w:rsidR="00773F7C" w:rsidRPr="0017357E">
          <w:rPr>
            <w:rStyle w:val="Hyperlink"/>
            <w:rFonts w:cstheme="minorHAnsi"/>
          </w:rPr>
          <w:t>INOSAAR</w:t>
        </w:r>
      </w:hyperlink>
      <w:r w:rsidR="00773F7C" w:rsidRPr="0017357E">
        <w:rPr>
          <w:rFonts w:cstheme="minorHAnsi"/>
          <w:color w:val="000000" w:themeColor="text1"/>
        </w:rPr>
        <w:t>).</w:t>
      </w:r>
    </w:p>
    <w:p w14:paraId="5C8E32CD" w14:textId="7BD0F743" w:rsidR="005520E7" w:rsidRPr="0017357E" w:rsidRDefault="005520E7"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r w:rsidRPr="00891F88">
        <w:rPr>
          <w:rFonts w:ascii="Calibri" w:eastAsia="Calibri" w:hAnsi="Calibri" w:cs="Calibri"/>
          <w:color w:val="000000" w:themeColor="text1"/>
        </w:rPr>
        <w:t xml:space="preserve">Jatin Haria (Executive Director, </w:t>
      </w:r>
      <w:hyperlink r:id="rId29" w:history="1">
        <w:r w:rsidRPr="00173348">
          <w:rPr>
            <w:rStyle w:val="Hyperlink"/>
            <w:rFonts w:ascii="Calibri" w:eastAsia="Calibri" w:hAnsi="Calibri" w:cs="Calibri"/>
          </w:rPr>
          <w:t>Coalition for Racial Equality and Rights</w:t>
        </w:r>
      </w:hyperlink>
      <w:r w:rsidRPr="00891F88">
        <w:rPr>
          <w:rFonts w:ascii="Calibri" w:eastAsia="Calibri" w:hAnsi="Calibri" w:cs="Calibri"/>
          <w:color w:val="000000" w:themeColor="text1"/>
        </w:rPr>
        <w:t>, CRER)</w:t>
      </w:r>
      <w:r w:rsidR="00173348">
        <w:rPr>
          <w:rFonts w:ascii="Calibri" w:eastAsia="Calibri" w:hAnsi="Calibri" w:cs="Calibri"/>
          <w:color w:val="000000" w:themeColor="text1"/>
        </w:rPr>
        <w:t xml:space="preserve"> – stepped down in 2022 due to retirement</w:t>
      </w:r>
      <w:r w:rsidRPr="00891F88">
        <w:rPr>
          <w:rFonts w:ascii="Calibri" w:eastAsia="Calibri" w:hAnsi="Calibri" w:cs="Calibri"/>
          <w:color w:val="000000" w:themeColor="text1"/>
        </w:rPr>
        <w:t>.</w:t>
      </w:r>
    </w:p>
    <w:p w14:paraId="02DA56EA" w14:textId="5A14FB9A" w:rsidR="00773F7C" w:rsidRPr="0017357E" w:rsidRDefault="00773F7C"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r w:rsidRPr="0017357E">
        <w:rPr>
          <w:rFonts w:cstheme="minorHAnsi"/>
          <w:color w:val="000000" w:themeColor="text1"/>
        </w:rPr>
        <w:t xml:space="preserve">Silence Chihuri (Fair Justice System for Scotland, </w:t>
      </w:r>
      <w:hyperlink r:id="rId30" w:history="1">
        <w:r w:rsidRPr="0017357E">
          <w:rPr>
            <w:rStyle w:val="Hyperlink"/>
            <w:rFonts w:cstheme="minorHAnsi"/>
          </w:rPr>
          <w:t>FJSS</w:t>
        </w:r>
      </w:hyperlink>
      <w:r w:rsidRPr="0017357E">
        <w:rPr>
          <w:rFonts w:cstheme="minorHAnsi"/>
          <w:color w:val="000000" w:themeColor="text1"/>
        </w:rPr>
        <w:t>).</w:t>
      </w:r>
    </w:p>
    <w:p w14:paraId="3E46F1AB" w14:textId="6A46D868" w:rsidR="00773F7C" w:rsidRPr="0017357E" w:rsidRDefault="00773F7C" w:rsidP="00057638">
      <w:pPr>
        <w:pStyle w:val="ListParagraph"/>
        <w:numPr>
          <w:ilvl w:val="0"/>
          <w:numId w:val="9"/>
        </w:numPr>
        <w:autoSpaceDE w:val="0"/>
        <w:autoSpaceDN w:val="0"/>
        <w:adjustRightInd w:val="0"/>
        <w:spacing w:line="259" w:lineRule="auto"/>
        <w:rPr>
          <w:rFonts w:ascii="Calibri" w:eastAsia="Calibri" w:hAnsi="Calibri" w:cs="Calibri"/>
          <w:color w:val="000000" w:themeColor="text1"/>
        </w:rPr>
      </w:pPr>
      <w:r w:rsidRPr="0017357E">
        <w:rPr>
          <w:rFonts w:ascii="Calibri" w:eastAsia="Calibri" w:hAnsi="Calibri" w:cs="Calibri"/>
          <w:color w:val="000000" w:themeColor="text1"/>
        </w:rPr>
        <w:t>EUSA’s former</w:t>
      </w:r>
      <w:r w:rsidR="00367BC1">
        <w:rPr>
          <w:rFonts w:ascii="Calibri" w:eastAsia="Calibri" w:hAnsi="Calibri" w:cs="Calibri"/>
          <w:color w:val="000000" w:themeColor="text1"/>
        </w:rPr>
        <w:t xml:space="preserve"> and current</w:t>
      </w:r>
      <w:r w:rsidRPr="0017357E">
        <w:rPr>
          <w:rFonts w:ascii="Calibri" w:eastAsia="Calibri" w:hAnsi="Calibri" w:cs="Calibri"/>
          <w:color w:val="000000" w:themeColor="text1"/>
        </w:rPr>
        <w:t xml:space="preserve"> </w:t>
      </w:r>
      <w:hyperlink r:id="rId31" w:history="1">
        <w:r w:rsidRPr="0017357E">
          <w:rPr>
            <w:rStyle w:val="Hyperlink"/>
            <w:rFonts w:ascii="Calibri" w:eastAsia="Calibri" w:hAnsi="Calibri" w:cs="Calibri"/>
          </w:rPr>
          <w:t xml:space="preserve">Black and Minority Liberation </w:t>
        </w:r>
        <w:r w:rsidR="008C2DB9" w:rsidRPr="00F817D8">
          <w:rPr>
            <w:rStyle w:val="Hyperlink"/>
            <w:rFonts w:ascii="Calibri" w:eastAsia="Calibri" w:hAnsi="Calibri" w:cs="Calibri"/>
          </w:rPr>
          <w:t>Officers</w:t>
        </w:r>
      </w:hyperlink>
      <w:r w:rsidRPr="0017357E">
        <w:rPr>
          <w:rFonts w:ascii="Calibri" w:eastAsia="Calibri" w:hAnsi="Calibri" w:cs="Calibri"/>
          <w:color w:val="000000" w:themeColor="text1"/>
        </w:rPr>
        <w:t>, Vansh Bali</w:t>
      </w:r>
      <w:r w:rsidR="00367BC1">
        <w:rPr>
          <w:rFonts w:ascii="Calibri" w:eastAsia="Calibri" w:hAnsi="Calibri" w:cs="Calibri"/>
          <w:color w:val="000000" w:themeColor="text1"/>
        </w:rPr>
        <w:t xml:space="preserve"> and </w:t>
      </w:r>
      <w:r w:rsidR="00367BC1" w:rsidRPr="0017357E">
        <w:rPr>
          <w:rFonts w:ascii="Calibri" w:eastAsia="Calibri" w:hAnsi="Calibri" w:cs="Calibri"/>
          <w:color w:val="000000" w:themeColor="text1"/>
        </w:rPr>
        <w:t>Maryam Yusuf</w:t>
      </w:r>
      <w:r w:rsidR="00367BC1">
        <w:rPr>
          <w:rFonts w:ascii="Calibri" w:eastAsia="Calibri" w:hAnsi="Calibri" w:cs="Calibri"/>
          <w:color w:val="000000" w:themeColor="text1"/>
        </w:rPr>
        <w:t>.</w:t>
      </w:r>
    </w:p>
    <w:p w14:paraId="5ACB18C2" w14:textId="248ED4ED" w:rsidR="00773F7C" w:rsidRPr="0017357E" w:rsidRDefault="00451B35" w:rsidP="00057638">
      <w:pPr>
        <w:pStyle w:val="ListParagraph"/>
        <w:numPr>
          <w:ilvl w:val="0"/>
          <w:numId w:val="9"/>
        </w:numPr>
        <w:autoSpaceDE w:val="0"/>
        <w:autoSpaceDN w:val="0"/>
        <w:adjustRightInd w:val="0"/>
        <w:spacing w:line="259" w:lineRule="auto"/>
        <w:rPr>
          <w:rFonts w:ascii="Calibri" w:eastAsia="Calibri" w:hAnsi="Calibri" w:cs="Calibri"/>
          <w:color w:val="000000" w:themeColor="text1"/>
        </w:rPr>
      </w:pPr>
      <w:hyperlink r:id="rId32">
        <w:r w:rsidR="00773F7C" w:rsidRPr="0017357E">
          <w:rPr>
            <w:rStyle w:val="Hyperlink"/>
            <w:rFonts w:ascii="Calibri" w:eastAsia="Calibri" w:hAnsi="Calibri" w:cs="Calibri"/>
            <w:color w:val="000000" w:themeColor="text1"/>
          </w:rPr>
          <w:t>Community Anchors</w:t>
        </w:r>
      </w:hyperlink>
      <w:r w:rsidR="00773F7C" w:rsidRPr="0017357E">
        <w:rPr>
          <w:rFonts w:ascii="Calibri" w:eastAsia="Calibri" w:hAnsi="Calibri" w:cs="Calibri"/>
          <w:color w:val="000000" w:themeColor="text1"/>
        </w:rPr>
        <w:t xml:space="preserve"> including:</w:t>
      </w:r>
    </w:p>
    <w:p w14:paraId="7A13FE8F" w14:textId="2AC0E550" w:rsidR="00773F7C" w:rsidRPr="0017357E" w:rsidRDefault="00773F7C"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r w:rsidRPr="0017357E">
        <w:rPr>
          <w:rFonts w:ascii="Calibri" w:eastAsia="Calibri" w:hAnsi="Calibri" w:cs="Calibri"/>
          <w:color w:val="000000" w:themeColor="text1"/>
        </w:rPr>
        <w:t>Researchers from</w:t>
      </w:r>
      <w:r w:rsidR="00D665C0">
        <w:rPr>
          <w:rFonts w:ascii="Calibri" w:eastAsia="Calibri" w:hAnsi="Calibri" w:cs="Calibri"/>
          <w:color w:val="000000" w:themeColor="text1"/>
        </w:rPr>
        <w:t xml:space="preserve"> the</w:t>
      </w:r>
      <w:r w:rsidRPr="0017357E">
        <w:rPr>
          <w:rFonts w:ascii="Calibri" w:eastAsia="Calibri" w:hAnsi="Calibri" w:cs="Calibri"/>
          <w:color w:val="000000" w:themeColor="text1"/>
        </w:rPr>
        <w:t xml:space="preserve"> </w:t>
      </w:r>
      <w:r w:rsidR="00A27530">
        <w:rPr>
          <w:rFonts w:ascii="Calibri" w:eastAsia="Calibri" w:hAnsi="Calibri" w:cs="Calibri"/>
          <w:color w:val="000000" w:themeColor="text1"/>
        </w:rPr>
        <w:t>University of Edinburgh</w:t>
      </w:r>
      <w:r w:rsidRPr="0017357E">
        <w:rPr>
          <w:rFonts w:ascii="Calibri" w:eastAsia="Calibri" w:hAnsi="Calibri" w:cs="Calibri"/>
          <w:color w:val="000000" w:themeColor="text1"/>
        </w:rPr>
        <w:t xml:space="preserve">: </w:t>
      </w:r>
      <w:hyperlink r:id="rId33">
        <w:r w:rsidRPr="04D73154">
          <w:rPr>
            <w:rStyle w:val="Hyperlink"/>
            <w:rFonts w:ascii="Calibri" w:eastAsia="Calibri" w:hAnsi="Calibri" w:cs="Calibri"/>
          </w:rPr>
          <w:t>Omolabake Fakunle</w:t>
        </w:r>
      </w:hyperlink>
      <w:r w:rsidRPr="0017357E">
        <w:rPr>
          <w:rFonts w:ascii="Calibri" w:eastAsia="Calibri" w:hAnsi="Calibri" w:cs="Calibri"/>
          <w:color w:val="000000" w:themeColor="text1"/>
        </w:rPr>
        <w:t xml:space="preserve"> (Chancellor’s Fellow, Moray House School of Education and Sport and Lead for EDI Decolonisation within the </w:t>
      </w:r>
      <w:hyperlink r:id="rId34">
        <w:r w:rsidRPr="04D73154">
          <w:rPr>
            <w:rStyle w:val="Hyperlink"/>
            <w:rFonts w:ascii="Calibri" w:eastAsia="Calibri" w:hAnsi="Calibri" w:cs="Calibri"/>
          </w:rPr>
          <w:t>Curriculum Transformation Project</w:t>
        </w:r>
      </w:hyperlink>
      <w:r w:rsidRPr="0017357E">
        <w:rPr>
          <w:rFonts w:ascii="Calibri" w:eastAsia="Calibri" w:hAnsi="Calibri" w:cs="Calibri"/>
          <w:color w:val="000000" w:themeColor="text1"/>
        </w:rPr>
        <w:t xml:space="preserve">); </w:t>
      </w:r>
      <w:hyperlink r:id="rId35">
        <w:r w:rsidRPr="04D73154">
          <w:rPr>
            <w:rStyle w:val="Hyperlink"/>
            <w:rFonts w:ascii="Calibri" w:eastAsia="Calibri" w:hAnsi="Calibri" w:cs="Calibri"/>
          </w:rPr>
          <w:t>Roger Jeffery</w:t>
        </w:r>
      </w:hyperlink>
      <w:r w:rsidRPr="0017357E">
        <w:rPr>
          <w:rFonts w:ascii="Calibri" w:eastAsia="Calibri" w:hAnsi="Calibri" w:cs="Calibri"/>
          <w:color w:val="000000" w:themeColor="text1"/>
        </w:rPr>
        <w:t xml:space="preserve"> (Honorary Professorial Fellow, School of Social and Political Science); and </w:t>
      </w:r>
      <w:hyperlink r:id="rId36">
        <w:r w:rsidRPr="04D73154">
          <w:rPr>
            <w:rStyle w:val="Hyperlink"/>
            <w:rFonts w:ascii="Calibri" w:eastAsia="Calibri" w:hAnsi="Calibri" w:cs="Calibri"/>
          </w:rPr>
          <w:t>Nini Kerr</w:t>
        </w:r>
      </w:hyperlink>
      <w:r w:rsidRPr="0017357E">
        <w:rPr>
          <w:rFonts w:ascii="Calibri" w:eastAsia="Calibri" w:hAnsi="Calibri" w:cs="Calibri"/>
          <w:color w:val="000000" w:themeColor="text1"/>
        </w:rPr>
        <w:t xml:space="preserve"> (</w:t>
      </w:r>
      <w:r w:rsidR="0EA26A32" w:rsidRPr="04D73154">
        <w:rPr>
          <w:rFonts w:ascii="Calibri" w:eastAsia="Calibri" w:hAnsi="Calibri" w:cs="Calibri"/>
          <w:color w:val="000000" w:themeColor="text1"/>
        </w:rPr>
        <w:t xml:space="preserve">Senior </w:t>
      </w:r>
      <w:r w:rsidRPr="0017357E">
        <w:rPr>
          <w:rFonts w:ascii="Calibri" w:eastAsia="Calibri" w:hAnsi="Calibri" w:cs="Calibri"/>
          <w:color w:val="000000" w:themeColor="text1"/>
        </w:rPr>
        <w:t>Lecturer and Psychoanalytic Practitioner, School</w:t>
      </w:r>
      <w:r w:rsidR="029252E7" w:rsidRPr="04D73154">
        <w:rPr>
          <w:rFonts w:ascii="Calibri" w:eastAsia="Calibri" w:hAnsi="Calibri" w:cs="Calibri"/>
          <w:color w:val="000000" w:themeColor="text1"/>
        </w:rPr>
        <w:t xml:space="preserve"> of Health in Social Science</w:t>
      </w:r>
      <w:r w:rsidRPr="0017357E">
        <w:rPr>
          <w:rFonts w:ascii="Calibri" w:eastAsia="Calibri" w:hAnsi="Calibri" w:cs="Calibri"/>
          <w:color w:val="000000" w:themeColor="text1"/>
        </w:rPr>
        <w:t>).</w:t>
      </w:r>
    </w:p>
    <w:p w14:paraId="0A7140C6" w14:textId="4A2B114F" w:rsidR="00773F7C" w:rsidRPr="0017357E" w:rsidRDefault="00773F7C"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r w:rsidRPr="06D755CD">
        <w:rPr>
          <w:rFonts w:ascii="Calibri" w:eastAsia="Calibri" w:hAnsi="Calibri" w:cs="Calibri"/>
          <w:color w:val="000000" w:themeColor="text1"/>
        </w:rPr>
        <w:t>Students voices: Ebo Anyebe (</w:t>
      </w:r>
      <w:r w:rsidRPr="06D755CD">
        <w:rPr>
          <w:rFonts w:ascii="Calibri" w:hAnsi="Calibri" w:cs="Calibri"/>
          <w:color w:val="212121"/>
        </w:rPr>
        <w:t xml:space="preserve">Co-President of the </w:t>
      </w:r>
      <w:hyperlink r:id="rId37">
        <w:r w:rsidRPr="06D755CD">
          <w:rPr>
            <w:rStyle w:val="Hyperlink"/>
            <w:rFonts w:ascii="Calibri" w:hAnsi="Calibri" w:cs="Calibri"/>
          </w:rPr>
          <w:t>African Caribbean Medical Society Edinburgh</w:t>
        </w:r>
      </w:hyperlink>
      <w:r w:rsidRPr="06D755CD">
        <w:rPr>
          <w:rFonts w:ascii="Calibri" w:hAnsi="Calibri" w:cs="Calibri"/>
          <w:color w:val="212121"/>
        </w:rPr>
        <w:t xml:space="preserve">) </w:t>
      </w:r>
      <w:r w:rsidRPr="06D755CD">
        <w:rPr>
          <w:rFonts w:ascii="Calibri" w:eastAsia="Calibri" w:hAnsi="Calibri" w:cs="Calibri"/>
          <w:color w:val="000000" w:themeColor="text1"/>
        </w:rPr>
        <w:t xml:space="preserve">and Abigail Ocansey (Founder of the </w:t>
      </w:r>
      <w:hyperlink r:id="rId38">
        <w:r w:rsidRPr="06D755CD">
          <w:rPr>
            <w:rStyle w:val="Hyperlink"/>
            <w:rFonts w:ascii="Calibri" w:eastAsia="Calibri" w:hAnsi="Calibri" w:cs="Calibri"/>
          </w:rPr>
          <w:t>The Diaspora Project</w:t>
        </w:r>
      </w:hyperlink>
      <w:r w:rsidRPr="06D755CD">
        <w:rPr>
          <w:rFonts w:ascii="Calibri" w:eastAsia="Calibri" w:hAnsi="Calibri" w:cs="Calibri"/>
          <w:color w:val="000000" w:themeColor="text1"/>
        </w:rPr>
        <w:t>).</w:t>
      </w:r>
    </w:p>
    <w:p w14:paraId="59E9D939" w14:textId="2BA0ADC9" w:rsidR="00773F7C" w:rsidRPr="0017357E" w:rsidRDefault="00773F7C" w:rsidP="00057638">
      <w:pPr>
        <w:pStyle w:val="ListParagraph"/>
        <w:numPr>
          <w:ilvl w:val="0"/>
          <w:numId w:val="11"/>
        </w:numPr>
        <w:autoSpaceDE w:val="0"/>
        <w:autoSpaceDN w:val="0"/>
        <w:adjustRightInd w:val="0"/>
        <w:spacing w:line="259" w:lineRule="auto"/>
        <w:rPr>
          <w:rFonts w:ascii="Calibri" w:eastAsia="Calibri" w:hAnsi="Calibri" w:cs="Calibri"/>
          <w:color w:val="000000" w:themeColor="text1"/>
        </w:rPr>
      </w:pPr>
      <w:r w:rsidRPr="0017357E">
        <w:rPr>
          <w:rFonts w:ascii="Calibri" w:eastAsia="Calibri" w:hAnsi="Calibri" w:cs="Calibri"/>
          <w:color w:val="000000" w:themeColor="text1"/>
        </w:rPr>
        <w:t>Community voices: Kobina Amokwandoh (</w:t>
      </w:r>
      <w:hyperlink r:id="rId39">
        <w:r w:rsidRPr="06D755CD">
          <w:rPr>
            <w:rStyle w:val="Hyperlink"/>
            <w:rFonts w:ascii="Calibri" w:eastAsia="Calibri" w:hAnsi="Calibri" w:cs="Calibri"/>
          </w:rPr>
          <w:t>INOSAAR-RepAfrika</w:t>
        </w:r>
      </w:hyperlink>
      <w:r w:rsidRPr="0017357E">
        <w:rPr>
          <w:rFonts w:ascii="Calibri" w:eastAsia="Calibri" w:hAnsi="Calibri" w:cs="Calibri"/>
          <w:color w:val="000000" w:themeColor="text1"/>
        </w:rPr>
        <w:t xml:space="preserve">, Pan-Afrikan Reparations Internationalist Standing Conference, </w:t>
      </w:r>
      <w:hyperlink r:id="rId40">
        <w:r w:rsidRPr="06D755CD">
          <w:rPr>
            <w:rStyle w:val="Hyperlink"/>
            <w:rFonts w:ascii="Calibri" w:eastAsia="Calibri" w:hAnsi="Calibri" w:cs="Calibri"/>
          </w:rPr>
          <w:t>PARISC</w:t>
        </w:r>
      </w:hyperlink>
      <w:r w:rsidR="005B1D41">
        <w:t>,</w:t>
      </w:r>
      <w:r w:rsidRPr="0017357E">
        <w:rPr>
          <w:rFonts w:ascii="Calibri" w:eastAsia="Calibri" w:hAnsi="Calibri" w:cs="Calibri"/>
          <w:color w:val="000000" w:themeColor="text1"/>
        </w:rPr>
        <w:t xml:space="preserve"> and Planet Repairs </w:t>
      </w:r>
      <w:r w:rsidRPr="0017357E">
        <w:rPr>
          <w:rFonts w:ascii="Calibri" w:eastAsia="Calibri" w:hAnsi="Calibri" w:cs="Calibri"/>
          <w:color w:val="000000" w:themeColor="text1"/>
        </w:rPr>
        <w:lastRenderedPageBreak/>
        <w:t xml:space="preserve">Action Learning Educational Revolution, </w:t>
      </w:r>
      <w:hyperlink r:id="rId41">
        <w:r w:rsidRPr="06D755CD">
          <w:rPr>
            <w:rStyle w:val="Hyperlink"/>
            <w:rFonts w:ascii="Calibri" w:eastAsia="Calibri" w:hAnsi="Calibri" w:cs="Calibri"/>
          </w:rPr>
          <w:t>PRALER</w:t>
        </w:r>
      </w:hyperlink>
      <w:r w:rsidRPr="0017357E">
        <w:rPr>
          <w:rFonts w:ascii="Calibri" w:eastAsia="Calibri" w:hAnsi="Calibri" w:cs="Calibri"/>
          <w:color w:val="000000" w:themeColor="text1"/>
        </w:rPr>
        <w:t xml:space="preserve">) and Trishna Singh (Founder and Director of </w:t>
      </w:r>
      <w:hyperlink r:id="rId42">
        <w:r w:rsidRPr="06D755CD">
          <w:rPr>
            <w:rStyle w:val="Hyperlink"/>
            <w:rFonts w:ascii="Calibri" w:eastAsia="Calibri" w:hAnsi="Calibri" w:cs="Calibri"/>
          </w:rPr>
          <w:t>Sikh Sanjog</w:t>
        </w:r>
      </w:hyperlink>
      <w:r w:rsidRPr="0017357E">
        <w:rPr>
          <w:rFonts w:ascii="Calibri" w:eastAsia="Calibri" w:hAnsi="Calibri" w:cs="Calibri"/>
          <w:color w:val="000000" w:themeColor="text1"/>
        </w:rPr>
        <w:t>).</w:t>
      </w:r>
    </w:p>
    <w:p w14:paraId="1C37B72A" w14:textId="28179762" w:rsidR="00773F7C" w:rsidRPr="0017357E" w:rsidRDefault="00773F7C" w:rsidP="00057638">
      <w:pPr>
        <w:autoSpaceDE w:val="0"/>
        <w:autoSpaceDN w:val="0"/>
        <w:adjustRightInd w:val="0"/>
        <w:spacing w:line="259" w:lineRule="auto"/>
        <w:rPr>
          <w:rFonts w:ascii="Calibri" w:eastAsia="Calibri" w:hAnsi="Calibri" w:cs="Calibri"/>
          <w:color w:val="000000" w:themeColor="text1"/>
        </w:rPr>
      </w:pPr>
    </w:p>
    <w:p w14:paraId="6F64C928" w14:textId="6E171398" w:rsidR="00FA3D1A" w:rsidRDefault="00FA3D1A" w:rsidP="00690C8B">
      <w:pPr>
        <w:pStyle w:val="Heading2"/>
      </w:pPr>
      <w:bookmarkStart w:id="7" w:name="_Toc190939398"/>
      <w:bookmarkStart w:id="8" w:name="_Toc202627081"/>
      <w:r>
        <w:t xml:space="preserve">Summary of </w:t>
      </w:r>
      <w:r w:rsidR="002B34F0">
        <w:t xml:space="preserve">the </w:t>
      </w:r>
      <w:r>
        <w:t>Report</w:t>
      </w:r>
      <w:bookmarkEnd w:id="7"/>
      <w:bookmarkEnd w:id="8"/>
    </w:p>
    <w:p w14:paraId="39F696DB" w14:textId="1941A9DF" w:rsidR="00967BDC" w:rsidRDefault="00773F7C" w:rsidP="00057638">
      <w:p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The completion of this report coincides with the end of the </w:t>
      </w:r>
      <w:hyperlink r:id="rId43">
        <w:r w:rsidRPr="0017357E">
          <w:rPr>
            <w:rStyle w:val="Hyperlink"/>
            <w:rFonts w:ascii="Calibri" w:eastAsia="Calibri" w:hAnsi="Calibri" w:cs="Calibri"/>
            <w:color w:val="000000" w:themeColor="text1"/>
          </w:rPr>
          <w:t>UN International Decade for People of Africa Descent</w:t>
        </w:r>
      </w:hyperlink>
      <w:r w:rsidRPr="0017357E">
        <w:rPr>
          <w:rFonts w:ascii="Calibri" w:eastAsia="Calibri" w:hAnsi="Calibri" w:cs="Calibri"/>
          <w:color w:val="000000" w:themeColor="text1"/>
        </w:rPr>
        <w:t xml:space="preserve"> (2015–2024); a decade that was built on the three pillars of recognition, justice and development.</w:t>
      </w:r>
      <w:r w:rsidRPr="0017357E">
        <w:rPr>
          <w:rStyle w:val="FootnoteReference"/>
          <w:rFonts w:ascii="Calibri" w:eastAsia="Calibri" w:hAnsi="Calibri" w:cs="Calibri"/>
          <w:color w:val="000000" w:themeColor="text1"/>
        </w:rPr>
        <w:footnoteReference w:id="8"/>
      </w:r>
      <w:r w:rsidRPr="0017357E">
        <w:rPr>
          <w:rFonts w:ascii="Calibri" w:eastAsia="Calibri" w:hAnsi="Calibri" w:cs="Calibri"/>
          <w:color w:val="000000" w:themeColor="text1"/>
        </w:rPr>
        <w:t xml:space="preserve"> These three pillars provide clear guidance on how states and institutions should be addressing their histor</w:t>
      </w:r>
      <w:r w:rsidR="005B1D41">
        <w:rPr>
          <w:rFonts w:ascii="Calibri" w:eastAsia="Calibri" w:hAnsi="Calibri" w:cs="Calibri"/>
          <w:color w:val="000000" w:themeColor="text1"/>
        </w:rPr>
        <w:t>ies</w:t>
      </w:r>
      <w:r w:rsidRPr="0017357E">
        <w:rPr>
          <w:rFonts w:ascii="Calibri" w:eastAsia="Calibri" w:hAnsi="Calibri" w:cs="Calibri"/>
          <w:color w:val="000000" w:themeColor="text1"/>
        </w:rPr>
        <w:t xml:space="preserve"> and legacies of colonialism and </w:t>
      </w:r>
      <w:r w:rsidR="008258C1" w:rsidRPr="0017357E">
        <w:rPr>
          <w:rFonts w:ascii="Calibri" w:eastAsia="Calibri" w:hAnsi="Calibri" w:cs="Calibri"/>
          <w:color w:val="000000" w:themeColor="text1"/>
        </w:rPr>
        <w:t>enslavement</w:t>
      </w:r>
      <w:r w:rsidR="008258C1">
        <w:rPr>
          <w:rFonts w:ascii="Calibri" w:eastAsia="Calibri" w:hAnsi="Calibri" w:cs="Calibri"/>
          <w:color w:val="000000" w:themeColor="text1"/>
        </w:rPr>
        <w:t>. They</w:t>
      </w:r>
      <w:r w:rsidR="008258C1" w:rsidRPr="0017357E">
        <w:rPr>
          <w:rFonts w:ascii="Calibri" w:eastAsia="Calibri" w:hAnsi="Calibri" w:cs="Calibri"/>
          <w:color w:val="000000" w:themeColor="text1"/>
        </w:rPr>
        <w:t xml:space="preserve"> </w:t>
      </w:r>
      <w:r w:rsidRPr="0017357E">
        <w:rPr>
          <w:rFonts w:ascii="Calibri" w:eastAsia="Calibri" w:hAnsi="Calibri" w:cs="Calibri"/>
          <w:color w:val="000000" w:themeColor="text1"/>
        </w:rPr>
        <w:t>are relevant not just for people of African descent, but for all those who have been racialised and suffered from racism as a result of these histories. The guidance includes</w:t>
      </w:r>
      <w:r w:rsidR="004E1510">
        <w:rPr>
          <w:rFonts w:ascii="Calibri" w:eastAsia="Calibri" w:hAnsi="Calibri" w:cs="Calibri"/>
          <w:color w:val="000000" w:themeColor="text1"/>
        </w:rPr>
        <w:t>:</w:t>
      </w:r>
      <w:r w:rsidRPr="0017357E">
        <w:rPr>
          <w:rFonts w:ascii="Calibri" w:eastAsia="Calibri" w:hAnsi="Calibri" w:cs="Calibri"/>
          <w:color w:val="000000" w:themeColor="text1"/>
        </w:rPr>
        <w:t xml:space="preserve"> calls for research and educational institutions to do far more to recognise and respect African cultures, histories and heritages</w:t>
      </w:r>
      <w:r w:rsidR="004E1510">
        <w:rPr>
          <w:rFonts w:ascii="Calibri" w:eastAsia="Calibri" w:hAnsi="Calibri" w:cs="Calibri"/>
          <w:color w:val="000000" w:themeColor="text1"/>
        </w:rPr>
        <w:t>; calls to</w:t>
      </w:r>
      <w:r w:rsidRPr="0017357E">
        <w:rPr>
          <w:rFonts w:ascii="Calibri" w:eastAsia="Calibri" w:hAnsi="Calibri" w:cs="Calibri"/>
          <w:color w:val="000000" w:themeColor="text1"/>
        </w:rPr>
        <w:t xml:space="preserve"> improve the assessment and monitoring of racism</w:t>
      </w:r>
      <w:r w:rsidR="004E1510">
        <w:rPr>
          <w:rFonts w:ascii="Calibri" w:eastAsia="Calibri" w:hAnsi="Calibri" w:cs="Calibri"/>
          <w:color w:val="000000" w:themeColor="text1"/>
        </w:rPr>
        <w:t>; and</w:t>
      </w:r>
      <w:r w:rsidR="00601BD5">
        <w:rPr>
          <w:rFonts w:ascii="Calibri" w:eastAsia="Calibri" w:hAnsi="Calibri" w:cs="Calibri"/>
          <w:color w:val="000000" w:themeColor="text1"/>
        </w:rPr>
        <w:t xml:space="preserve"> calls to</w:t>
      </w:r>
      <w:r w:rsidRPr="0017357E">
        <w:rPr>
          <w:rFonts w:ascii="Calibri" w:eastAsia="Calibri" w:hAnsi="Calibri" w:cs="Calibri"/>
          <w:color w:val="000000" w:themeColor="text1"/>
        </w:rPr>
        <w:t xml:space="preserve"> acknowledg</w:t>
      </w:r>
      <w:r w:rsidR="00601BD5">
        <w:rPr>
          <w:rFonts w:ascii="Calibri" w:eastAsia="Calibri" w:hAnsi="Calibri" w:cs="Calibri"/>
          <w:color w:val="000000" w:themeColor="text1"/>
        </w:rPr>
        <w:t>e</w:t>
      </w:r>
      <w:r w:rsidRPr="0017357E">
        <w:rPr>
          <w:rFonts w:ascii="Calibri" w:eastAsia="Calibri" w:hAnsi="Calibri" w:cs="Calibri"/>
          <w:color w:val="000000" w:themeColor="text1"/>
        </w:rPr>
        <w:t xml:space="preserve"> and express profound regret for ‘the untold suffering and evils inflicted on millions of men, women and children’ as a result of enslavement, transoceanic trafficking, colonialism, apartheid and genocide, to honour the memory of those who were ‘victims of these tragedies’ and to take ‘appropriate and effective measures to halt and reverse the lasting consequences’ of practices that continue to cause harm.</w:t>
      </w:r>
      <w:r w:rsidR="00600478">
        <w:rPr>
          <w:rStyle w:val="FootnoteReference"/>
          <w:rFonts w:ascii="Calibri" w:eastAsia="Calibri" w:hAnsi="Calibri" w:cs="Calibri"/>
          <w:color w:val="000000" w:themeColor="text1"/>
        </w:rPr>
        <w:footnoteReference w:id="9"/>
      </w:r>
      <w:r w:rsidRPr="0017357E">
        <w:rPr>
          <w:rFonts w:ascii="Calibri" w:eastAsia="Calibri" w:hAnsi="Calibri" w:cs="Calibri"/>
          <w:color w:val="000000" w:themeColor="text1"/>
        </w:rPr>
        <w:t xml:space="preserve"> In line with these principles, this report summarises some of the key findings that have emerged from two years of intense research and engagement work. </w:t>
      </w:r>
    </w:p>
    <w:p w14:paraId="34CAE46B" w14:textId="1E2E76D6" w:rsidR="00773F7C" w:rsidRPr="0017357E" w:rsidRDefault="00773F7C" w:rsidP="00057638">
      <w:pPr>
        <w:spacing w:line="259" w:lineRule="auto"/>
        <w:ind w:firstLine="720"/>
        <w:rPr>
          <w:rFonts w:ascii="Calibri" w:eastAsia="Calibri" w:hAnsi="Calibri" w:cs="Calibri"/>
          <w:color w:val="000000" w:themeColor="text1"/>
        </w:rPr>
      </w:pPr>
      <w:r w:rsidRPr="0017357E">
        <w:rPr>
          <w:rFonts w:ascii="Calibri" w:eastAsia="Calibri" w:hAnsi="Calibri" w:cs="Calibri"/>
          <w:color w:val="000000" w:themeColor="text1"/>
        </w:rPr>
        <w:t xml:space="preserve">With </w:t>
      </w:r>
      <w:r w:rsidR="00690C8B">
        <w:rPr>
          <w:rFonts w:ascii="Calibri" w:eastAsia="Calibri" w:hAnsi="Calibri" w:cs="Calibri"/>
          <w:color w:val="000000" w:themeColor="text1"/>
        </w:rPr>
        <w:t>more than 400</w:t>
      </w:r>
      <w:r w:rsidR="00690C8B" w:rsidRPr="0017357E">
        <w:rPr>
          <w:rFonts w:ascii="Calibri" w:eastAsia="Calibri" w:hAnsi="Calibri" w:cs="Calibri"/>
          <w:color w:val="000000" w:themeColor="text1"/>
        </w:rPr>
        <w:t xml:space="preserve"> </w:t>
      </w:r>
      <w:r w:rsidRPr="0017357E">
        <w:rPr>
          <w:rFonts w:ascii="Calibri" w:eastAsia="Calibri" w:hAnsi="Calibri" w:cs="Calibri"/>
          <w:color w:val="000000" w:themeColor="text1"/>
        </w:rPr>
        <w:t>years of colonial history to interrogate</w:t>
      </w:r>
      <w:r w:rsidR="00FD2837">
        <w:rPr>
          <w:rFonts w:ascii="Calibri" w:eastAsia="Calibri" w:hAnsi="Calibri" w:cs="Calibri"/>
          <w:color w:val="000000" w:themeColor="text1"/>
        </w:rPr>
        <w:t xml:space="preserve"> since the establishment of the University in </w:t>
      </w:r>
      <w:r w:rsidR="001C161A">
        <w:rPr>
          <w:rFonts w:ascii="Calibri" w:eastAsia="Calibri" w:hAnsi="Calibri" w:cs="Calibri"/>
          <w:color w:val="000000" w:themeColor="text1"/>
        </w:rPr>
        <w:t>1583</w:t>
      </w:r>
      <w:r w:rsidRPr="0017357E">
        <w:rPr>
          <w:rFonts w:ascii="Calibri" w:eastAsia="Calibri" w:hAnsi="Calibri" w:cs="Calibri"/>
          <w:color w:val="000000" w:themeColor="text1"/>
        </w:rPr>
        <w:t xml:space="preserve">, this report does not claim to be exhaustive. Rather, it identifies some of the ways that </w:t>
      </w:r>
      <w:r w:rsidR="00E8288B">
        <w:rPr>
          <w:rFonts w:ascii="Calibri" w:eastAsia="Calibri" w:hAnsi="Calibri" w:cs="Calibri"/>
          <w:color w:val="000000" w:themeColor="text1"/>
        </w:rPr>
        <w:t>the</w:t>
      </w:r>
      <w:r w:rsidRPr="0017357E">
        <w:rPr>
          <w:rFonts w:ascii="Calibri" w:eastAsia="Calibri" w:hAnsi="Calibri" w:cs="Calibri"/>
          <w:color w:val="000000" w:themeColor="text1"/>
        </w:rPr>
        <w:t xml:space="preserve"> </w:t>
      </w:r>
      <w:r w:rsidR="00A27530">
        <w:rPr>
          <w:rFonts w:ascii="Calibri" w:eastAsia="Calibri" w:hAnsi="Calibri" w:cs="Calibri"/>
          <w:color w:val="000000" w:themeColor="text1"/>
        </w:rPr>
        <w:t>University of Edinburgh</w:t>
      </w:r>
      <w:r w:rsidR="00FD2837">
        <w:rPr>
          <w:rFonts w:ascii="Calibri" w:eastAsia="Calibri" w:hAnsi="Calibri" w:cs="Calibri"/>
          <w:color w:val="000000" w:themeColor="text1"/>
        </w:rPr>
        <w:t xml:space="preserve"> and its staff and students</w:t>
      </w:r>
      <w:r w:rsidRPr="0017357E">
        <w:rPr>
          <w:rFonts w:ascii="Calibri" w:eastAsia="Calibri" w:hAnsi="Calibri" w:cs="Calibri"/>
          <w:color w:val="000000" w:themeColor="text1"/>
        </w:rPr>
        <w:t xml:space="preserve"> w</w:t>
      </w:r>
      <w:r w:rsidR="00FD2837">
        <w:rPr>
          <w:rFonts w:ascii="Calibri" w:eastAsia="Calibri" w:hAnsi="Calibri" w:cs="Calibri"/>
          <w:color w:val="000000" w:themeColor="text1"/>
        </w:rPr>
        <w:t>ere</w:t>
      </w:r>
      <w:r w:rsidRPr="0017357E">
        <w:rPr>
          <w:rFonts w:ascii="Calibri" w:eastAsia="Calibri" w:hAnsi="Calibri" w:cs="Calibri"/>
          <w:color w:val="000000" w:themeColor="text1"/>
        </w:rPr>
        <w:t xml:space="preserve"> implicated in the practices and systems of enslavement</w:t>
      </w:r>
      <w:r w:rsidR="006B48F2">
        <w:rPr>
          <w:rFonts w:ascii="Calibri" w:eastAsia="Calibri" w:hAnsi="Calibri" w:cs="Calibri"/>
          <w:color w:val="000000" w:themeColor="text1"/>
        </w:rPr>
        <w:t xml:space="preserve"> and </w:t>
      </w:r>
      <w:r w:rsidRPr="0017357E">
        <w:rPr>
          <w:rFonts w:ascii="Calibri" w:eastAsia="Calibri" w:hAnsi="Calibri" w:cs="Calibri"/>
          <w:color w:val="000000" w:themeColor="text1"/>
        </w:rPr>
        <w:t>colonialism</w:t>
      </w:r>
      <w:r w:rsidR="006B48F2">
        <w:rPr>
          <w:rFonts w:ascii="Calibri" w:eastAsia="Calibri" w:hAnsi="Calibri" w:cs="Calibri"/>
          <w:color w:val="000000" w:themeColor="text1"/>
        </w:rPr>
        <w:t xml:space="preserve"> and the</w:t>
      </w:r>
      <w:r w:rsidRPr="0017357E">
        <w:rPr>
          <w:rFonts w:ascii="Calibri" w:eastAsia="Calibri" w:hAnsi="Calibri" w:cs="Calibri"/>
          <w:color w:val="000000" w:themeColor="text1"/>
        </w:rPr>
        <w:t xml:space="preserve"> apartheid and genocide of colonised peoples across the world in Australasia, Asia, Africa, the Middle East and the Americas</w:t>
      </w:r>
      <w:r w:rsidR="005922E9">
        <w:rPr>
          <w:rFonts w:ascii="Calibri" w:eastAsia="Calibri" w:hAnsi="Calibri" w:cs="Calibri"/>
          <w:color w:val="000000" w:themeColor="text1"/>
        </w:rPr>
        <w:t xml:space="preserve">. It </w:t>
      </w:r>
      <w:r w:rsidR="00725A6F">
        <w:rPr>
          <w:rFonts w:ascii="Calibri" w:eastAsia="Calibri" w:hAnsi="Calibri" w:cs="Calibri"/>
          <w:color w:val="000000" w:themeColor="text1"/>
        </w:rPr>
        <w:t xml:space="preserve">also </w:t>
      </w:r>
      <w:r w:rsidR="005922E9">
        <w:rPr>
          <w:rFonts w:ascii="Calibri" w:eastAsia="Calibri" w:hAnsi="Calibri" w:cs="Calibri"/>
          <w:color w:val="000000" w:themeColor="text1"/>
        </w:rPr>
        <w:t>considers</w:t>
      </w:r>
      <w:r w:rsidRPr="0017357E">
        <w:rPr>
          <w:rFonts w:ascii="Calibri" w:eastAsia="Calibri" w:hAnsi="Calibri" w:cs="Calibri"/>
          <w:color w:val="000000" w:themeColor="text1"/>
        </w:rPr>
        <w:t xml:space="preserve"> some of the consequences of these histories today in terms of statistical under-representation and the persistence of institutional</w:t>
      </w:r>
      <w:r w:rsidR="005922E9">
        <w:rPr>
          <w:rFonts w:ascii="Calibri" w:eastAsia="Calibri" w:hAnsi="Calibri" w:cs="Calibri"/>
          <w:color w:val="000000" w:themeColor="text1"/>
        </w:rPr>
        <w:t xml:space="preserve"> and </w:t>
      </w:r>
      <w:r w:rsidRPr="0017357E">
        <w:rPr>
          <w:rFonts w:ascii="Calibri" w:eastAsia="Calibri" w:hAnsi="Calibri" w:cs="Calibri"/>
          <w:color w:val="000000" w:themeColor="text1"/>
        </w:rPr>
        <w:t xml:space="preserve">structural racism. At the same time, it points towards areas for future investigation </w:t>
      </w:r>
      <w:r w:rsidR="00053900">
        <w:rPr>
          <w:rFonts w:ascii="Calibri" w:eastAsia="Calibri" w:hAnsi="Calibri" w:cs="Calibri"/>
          <w:color w:val="000000" w:themeColor="text1"/>
        </w:rPr>
        <w:t>to</w:t>
      </w:r>
      <w:r w:rsidRPr="0017357E">
        <w:rPr>
          <w:rFonts w:ascii="Calibri" w:eastAsia="Calibri" w:hAnsi="Calibri" w:cs="Calibri"/>
          <w:color w:val="000000" w:themeColor="text1"/>
        </w:rPr>
        <w:t xml:space="preserve"> throw more light on this long and complex history, while outlining a clear path to decolonial transformation </w:t>
      </w:r>
      <w:r w:rsidR="00902810">
        <w:rPr>
          <w:rFonts w:ascii="Calibri" w:eastAsia="Calibri" w:hAnsi="Calibri" w:cs="Calibri"/>
          <w:color w:val="000000" w:themeColor="text1"/>
        </w:rPr>
        <w:t>and</w:t>
      </w:r>
      <w:r w:rsidRPr="0017357E">
        <w:rPr>
          <w:rFonts w:ascii="Calibri" w:eastAsia="Calibri" w:hAnsi="Calibri" w:cs="Calibri"/>
          <w:color w:val="000000" w:themeColor="text1"/>
        </w:rPr>
        <w:t xml:space="preserve"> reparatory justice</w:t>
      </w:r>
      <w:r w:rsidR="00902810">
        <w:rPr>
          <w:rFonts w:ascii="Calibri" w:eastAsia="Calibri" w:hAnsi="Calibri" w:cs="Calibri"/>
          <w:color w:val="000000" w:themeColor="text1"/>
        </w:rPr>
        <w:t xml:space="preserve"> </w:t>
      </w:r>
      <w:r w:rsidRPr="0017357E">
        <w:rPr>
          <w:rFonts w:ascii="Calibri" w:eastAsia="Calibri" w:hAnsi="Calibri" w:cs="Calibri"/>
          <w:color w:val="000000" w:themeColor="text1"/>
        </w:rPr>
        <w:t xml:space="preserve">grounded in </w:t>
      </w:r>
      <w:r w:rsidR="00902810">
        <w:rPr>
          <w:rFonts w:ascii="Calibri" w:eastAsia="Calibri" w:hAnsi="Calibri" w:cs="Calibri"/>
          <w:color w:val="000000" w:themeColor="text1"/>
        </w:rPr>
        <w:t xml:space="preserve">our </w:t>
      </w:r>
      <w:hyperlink r:id="rId44">
        <w:r w:rsidR="00902810" w:rsidRPr="06D755CD">
          <w:rPr>
            <w:rStyle w:val="Hyperlink"/>
            <w:rFonts w:ascii="Calibri" w:eastAsia="Calibri" w:hAnsi="Calibri" w:cs="Calibri"/>
          </w:rPr>
          <w:t>Principles of Participation</w:t>
        </w:r>
      </w:hyperlink>
      <w:r w:rsidRPr="06D755CD">
        <w:rPr>
          <w:rFonts w:ascii="Calibri" w:eastAsia="Calibri" w:hAnsi="Calibri" w:cs="Calibri"/>
          <w:color w:val="000000" w:themeColor="text1"/>
        </w:rPr>
        <w:t>.</w:t>
      </w:r>
    </w:p>
    <w:p w14:paraId="27570DF3" w14:textId="68D8D83C" w:rsidR="00773F7C" w:rsidRDefault="00773F7C" w:rsidP="00057638">
      <w:pPr>
        <w:spacing w:line="259" w:lineRule="auto"/>
        <w:ind w:firstLine="720"/>
        <w:rPr>
          <w:rFonts w:ascii="Calibri" w:eastAsia="Calibri" w:hAnsi="Calibri" w:cs="Calibri"/>
          <w:color w:val="000000" w:themeColor="text1"/>
        </w:rPr>
      </w:pPr>
      <w:r w:rsidRPr="0017357E">
        <w:rPr>
          <w:rFonts w:ascii="Calibri" w:eastAsia="Calibri" w:hAnsi="Calibri" w:cs="Calibri"/>
          <w:color w:val="000000" w:themeColor="text1"/>
        </w:rPr>
        <w:t>This report is divided into six sections</w:t>
      </w:r>
      <w:r w:rsidR="00053900">
        <w:rPr>
          <w:rFonts w:ascii="Calibri" w:eastAsia="Calibri" w:hAnsi="Calibri" w:cs="Calibri"/>
          <w:color w:val="000000" w:themeColor="text1"/>
        </w:rPr>
        <w:t xml:space="preserve">. It </w:t>
      </w:r>
      <w:r w:rsidR="00C975EB">
        <w:rPr>
          <w:rFonts w:ascii="Calibri" w:eastAsia="Calibri" w:hAnsi="Calibri" w:cs="Calibri"/>
          <w:color w:val="000000" w:themeColor="text1"/>
        </w:rPr>
        <w:t xml:space="preserve">includes </w:t>
      </w:r>
      <w:r w:rsidR="00E52169">
        <w:rPr>
          <w:rFonts w:ascii="Calibri" w:eastAsia="Calibri" w:hAnsi="Calibri" w:cs="Calibri"/>
          <w:color w:val="000000" w:themeColor="text1"/>
        </w:rPr>
        <w:t>linked</w:t>
      </w:r>
      <w:r w:rsidR="00C975EB">
        <w:rPr>
          <w:rFonts w:ascii="Calibri" w:eastAsia="Calibri" w:hAnsi="Calibri" w:cs="Calibri"/>
          <w:color w:val="000000" w:themeColor="text1"/>
        </w:rPr>
        <w:t xml:space="preserve"> appendices where </w:t>
      </w:r>
      <w:r w:rsidR="00E52169">
        <w:rPr>
          <w:rFonts w:ascii="Calibri" w:eastAsia="Calibri" w:hAnsi="Calibri" w:cs="Calibri"/>
          <w:color w:val="000000" w:themeColor="text1"/>
        </w:rPr>
        <w:t>readers can access</w:t>
      </w:r>
      <w:r w:rsidR="00C975EB">
        <w:rPr>
          <w:rFonts w:ascii="Calibri" w:eastAsia="Calibri" w:hAnsi="Calibri" w:cs="Calibri"/>
          <w:color w:val="000000" w:themeColor="text1"/>
        </w:rPr>
        <w:t xml:space="preserve"> more detail</w:t>
      </w:r>
      <w:r w:rsidR="00E52169">
        <w:rPr>
          <w:rFonts w:ascii="Calibri" w:eastAsia="Calibri" w:hAnsi="Calibri" w:cs="Calibri"/>
          <w:color w:val="000000" w:themeColor="text1"/>
        </w:rPr>
        <w:t>ed reports and information</w:t>
      </w:r>
      <w:r w:rsidR="00C975EB">
        <w:rPr>
          <w:rFonts w:ascii="Calibri" w:eastAsia="Calibri" w:hAnsi="Calibri" w:cs="Calibri"/>
          <w:color w:val="000000" w:themeColor="text1"/>
        </w:rPr>
        <w:t xml:space="preserve"> on </w:t>
      </w:r>
      <w:r w:rsidR="00E52169">
        <w:rPr>
          <w:rFonts w:ascii="Calibri" w:eastAsia="Calibri" w:hAnsi="Calibri" w:cs="Calibri"/>
          <w:color w:val="000000" w:themeColor="text1"/>
        </w:rPr>
        <w:t xml:space="preserve">the </w:t>
      </w:r>
      <w:r w:rsidR="00C975EB">
        <w:rPr>
          <w:rFonts w:ascii="Calibri" w:eastAsia="Calibri" w:hAnsi="Calibri" w:cs="Calibri"/>
          <w:color w:val="000000" w:themeColor="text1"/>
        </w:rPr>
        <w:t xml:space="preserve">areas </w:t>
      </w:r>
      <w:r w:rsidR="00E52169">
        <w:rPr>
          <w:rFonts w:ascii="Calibri" w:eastAsia="Calibri" w:hAnsi="Calibri" w:cs="Calibri"/>
          <w:color w:val="000000" w:themeColor="text1"/>
        </w:rPr>
        <w:t>covered</w:t>
      </w:r>
      <w:r w:rsidRPr="0017357E">
        <w:rPr>
          <w:rFonts w:ascii="Calibri" w:eastAsia="Calibri" w:hAnsi="Calibri" w:cs="Calibri"/>
          <w:color w:val="000000" w:themeColor="text1"/>
        </w:rPr>
        <w:t xml:space="preserve">. </w:t>
      </w:r>
    </w:p>
    <w:p w14:paraId="7EB37226" w14:textId="77777777" w:rsidR="00452C59" w:rsidRPr="0017357E" w:rsidRDefault="00452C59" w:rsidP="00057638">
      <w:pPr>
        <w:spacing w:line="259" w:lineRule="auto"/>
        <w:ind w:firstLine="720"/>
        <w:rPr>
          <w:rFonts w:ascii="Calibri" w:eastAsia="Calibri" w:hAnsi="Calibri" w:cs="Calibri"/>
          <w:color w:val="000000" w:themeColor="text1"/>
        </w:rPr>
      </w:pPr>
    </w:p>
    <w:p w14:paraId="2D2CB19F" w14:textId="61EC5C99" w:rsidR="00773F7C" w:rsidRPr="0017357E" w:rsidRDefault="00541AE0" w:rsidP="00057638">
      <w:pPr>
        <w:pStyle w:val="ListParagraph"/>
        <w:numPr>
          <w:ilvl w:val="0"/>
          <w:numId w:val="35"/>
        </w:numPr>
        <w:spacing w:line="259" w:lineRule="auto"/>
        <w:rPr>
          <w:rFonts w:ascii="Calibri" w:eastAsia="Calibri" w:hAnsi="Calibri" w:cs="Calibri"/>
          <w:color w:val="000000" w:themeColor="text1"/>
        </w:rPr>
      </w:pPr>
      <w:r>
        <w:rPr>
          <w:rFonts w:ascii="Calibri" w:eastAsia="Calibri" w:hAnsi="Calibri" w:cs="Calibri"/>
          <w:color w:val="000000" w:themeColor="text1"/>
        </w:rPr>
        <w:t>‘</w:t>
      </w:r>
      <w:r w:rsidR="0024417D">
        <w:rPr>
          <w:rFonts w:ascii="Calibri" w:eastAsia="Calibri" w:hAnsi="Calibri" w:cs="Calibri"/>
          <w:color w:val="000000" w:themeColor="text1"/>
        </w:rPr>
        <w:t>Part 1: Review of Work in Equivalent Institutions</w:t>
      </w:r>
      <w:r>
        <w:rPr>
          <w:rFonts w:ascii="Calibri" w:eastAsia="Calibri" w:hAnsi="Calibri" w:cs="Calibri"/>
          <w:color w:val="000000" w:themeColor="text1"/>
        </w:rPr>
        <w:t>’</w:t>
      </w:r>
      <w:r w:rsidR="00773F7C" w:rsidRPr="0017357E">
        <w:rPr>
          <w:rFonts w:ascii="Calibri" w:eastAsia="Calibri" w:hAnsi="Calibri" w:cs="Calibri"/>
          <w:color w:val="000000" w:themeColor="text1"/>
        </w:rPr>
        <w:t xml:space="preserve"> begins with a literature review that looks at how the history and legacies of enslavement and colonialism </w:t>
      </w:r>
      <w:r w:rsidR="0024417D">
        <w:rPr>
          <w:rFonts w:ascii="Calibri" w:eastAsia="Calibri" w:hAnsi="Calibri" w:cs="Calibri"/>
          <w:color w:val="000000" w:themeColor="text1"/>
        </w:rPr>
        <w:t xml:space="preserve">have been </w:t>
      </w:r>
      <w:r w:rsidR="00773F7C" w:rsidRPr="0017357E">
        <w:rPr>
          <w:rFonts w:ascii="Calibri" w:eastAsia="Calibri" w:hAnsi="Calibri" w:cs="Calibri"/>
          <w:color w:val="000000" w:themeColor="text1"/>
        </w:rPr>
        <w:t>investigated at comparable UK institutions</w:t>
      </w:r>
      <w:r>
        <w:rPr>
          <w:rFonts w:ascii="Calibri" w:eastAsia="Calibri" w:hAnsi="Calibri" w:cs="Calibri"/>
          <w:color w:val="000000" w:themeColor="text1"/>
        </w:rPr>
        <w:t>.</w:t>
      </w:r>
      <w:r w:rsidR="00773F7C" w:rsidRPr="0017357E">
        <w:rPr>
          <w:rFonts w:ascii="Calibri" w:eastAsia="Calibri" w:hAnsi="Calibri" w:cs="Calibri"/>
          <w:color w:val="000000" w:themeColor="text1"/>
        </w:rPr>
        <w:t xml:space="preserve"> </w:t>
      </w:r>
      <w:r>
        <w:rPr>
          <w:rFonts w:ascii="Calibri" w:eastAsia="Calibri" w:hAnsi="Calibri" w:cs="Calibri"/>
          <w:color w:val="000000" w:themeColor="text1"/>
        </w:rPr>
        <w:t>It</w:t>
      </w:r>
      <w:r w:rsidR="00773F7C" w:rsidRPr="0017357E">
        <w:rPr>
          <w:rFonts w:ascii="Calibri" w:eastAsia="Calibri" w:hAnsi="Calibri" w:cs="Calibri"/>
          <w:color w:val="000000" w:themeColor="text1"/>
        </w:rPr>
        <w:t xml:space="preserve"> </w:t>
      </w:r>
      <w:r w:rsidR="001F61AD">
        <w:rPr>
          <w:rFonts w:ascii="Calibri" w:eastAsia="Calibri" w:hAnsi="Calibri" w:cs="Calibri"/>
          <w:color w:val="000000" w:themeColor="text1"/>
        </w:rPr>
        <w:t>highlights</w:t>
      </w:r>
      <w:r w:rsidR="00773F7C" w:rsidRPr="0017357E">
        <w:rPr>
          <w:rFonts w:ascii="Calibri" w:eastAsia="Calibri" w:hAnsi="Calibri" w:cs="Calibri"/>
          <w:color w:val="000000" w:themeColor="text1"/>
        </w:rPr>
        <w:t xml:space="preserve"> points of similarity and difference </w:t>
      </w:r>
      <w:r w:rsidR="001F61AD">
        <w:rPr>
          <w:rFonts w:ascii="Calibri" w:eastAsia="Calibri" w:hAnsi="Calibri" w:cs="Calibri"/>
          <w:color w:val="000000" w:themeColor="text1"/>
        </w:rPr>
        <w:t>to</w:t>
      </w:r>
      <w:r w:rsidR="00773F7C" w:rsidRPr="0017357E">
        <w:rPr>
          <w:rFonts w:ascii="Calibri" w:eastAsia="Calibri" w:hAnsi="Calibri" w:cs="Calibri"/>
          <w:color w:val="000000" w:themeColor="text1"/>
        </w:rPr>
        <w:t xml:space="preserve"> our approach at Edinburgh.</w:t>
      </w:r>
    </w:p>
    <w:p w14:paraId="619D9430" w14:textId="74FDDE79" w:rsidR="00773F7C" w:rsidRPr="0017357E" w:rsidRDefault="00541AE0" w:rsidP="00057638">
      <w:pPr>
        <w:pStyle w:val="ListParagraph"/>
        <w:numPr>
          <w:ilvl w:val="0"/>
          <w:numId w:val="35"/>
        </w:numPr>
        <w:spacing w:line="259" w:lineRule="auto"/>
        <w:rPr>
          <w:rFonts w:ascii="Calibri" w:eastAsia="Calibri" w:hAnsi="Calibri" w:cs="Calibri"/>
          <w:color w:val="000000" w:themeColor="text1"/>
        </w:rPr>
      </w:pPr>
      <w:r>
        <w:rPr>
          <w:rFonts w:ascii="Calibri" w:eastAsia="Calibri" w:hAnsi="Calibri" w:cs="Calibri"/>
          <w:color w:val="000000" w:themeColor="text1"/>
        </w:rPr>
        <w:t>‘</w:t>
      </w:r>
      <w:r w:rsidR="001F3791">
        <w:rPr>
          <w:rFonts w:ascii="Calibri" w:eastAsia="Calibri" w:hAnsi="Calibri" w:cs="Calibri"/>
          <w:color w:val="000000" w:themeColor="text1"/>
        </w:rPr>
        <w:t xml:space="preserve">Part </w:t>
      </w:r>
      <w:r w:rsidR="008E03CE">
        <w:rPr>
          <w:rFonts w:ascii="Calibri" w:eastAsia="Calibri" w:hAnsi="Calibri" w:cs="Calibri"/>
          <w:color w:val="000000" w:themeColor="text1"/>
        </w:rPr>
        <w:t>2</w:t>
      </w:r>
      <w:r w:rsidR="001F3791">
        <w:rPr>
          <w:rFonts w:ascii="Calibri" w:eastAsia="Calibri" w:hAnsi="Calibri" w:cs="Calibri"/>
          <w:color w:val="000000" w:themeColor="text1"/>
        </w:rPr>
        <w:t>:</w:t>
      </w:r>
      <w:r w:rsidR="00773F7C" w:rsidRPr="0017357E">
        <w:rPr>
          <w:rFonts w:ascii="Calibri" w:eastAsia="Calibri" w:hAnsi="Calibri" w:cs="Calibri"/>
          <w:color w:val="000000" w:themeColor="text1"/>
        </w:rPr>
        <w:t xml:space="preserve"> </w:t>
      </w:r>
      <w:r w:rsidR="001F3791">
        <w:rPr>
          <w:rFonts w:ascii="Calibri" w:eastAsia="Calibri" w:hAnsi="Calibri" w:cs="Calibri"/>
          <w:color w:val="000000" w:themeColor="text1"/>
        </w:rPr>
        <w:t>Historical Links to Enslavement, Colonialism and the Development of Racial Thought</w:t>
      </w:r>
      <w:r>
        <w:rPr>
          <w:rFonts w:ascii="Calibri" w:eastAsia="Calibri" w:hAnsi="Calibri" w:cs="Calibri"/>
          <w:color w:val="000000" w:themeColor="text1"/>
        </w:rPr>
        <w:t>’</w:t>
      </w:r>
      <w:r w:rsidR="001F3791">
        <w:rPr>
          <w:rFonts w:ascii="Calibri" w:eastAsia="Calibri" w:hAnsi="Calibri" w:cs="Calibri"/>
          <w:color w:val="000000" w:themeColor="text1"/>
        </w:rPr>
        <w:t xml:space="preserve"> </w:t>
      </w:r>
      <w:r w:rsidR="00773F7C" w:rsidRPr="0017357E">
        <w:rPr>
          <w:rFonts w:ascii="Calibri" w:eastAsia="Calibri" w:hAnsi="Calibri" w:cs="Calibri"/>
          <w:color w:val="000000" w:themeColor="text1"/>
        </w:rPr>
        <w:t xml:space="preserve">presents the main findings from three </w:t>
      </w:r>
      <w:r>
        <w:rPr>
          <w:rFonts w:ascii="Calibri" w:eastAsia="Calibri" w:hAnsi="Calibri" w:cs="Calibri"/>
          <w:color w:val="000000" w:themeColor="text1"/>
        </w:rPr>
        <w:t>areas</w:t>
      </w:r>
      <w:r w:rsidRPr="0017357E">
        <w:rPr>
          <w:rFonts w:ascii="Calibri" w:eastAsia="Calibri" w:hAnsi="Calibri" w:cs="Calibri"/>
          <w:color w:val="000000" w:themeColor="text1"/>
        </w:rPr>
        <w:t xml:space="preserve"> </w:t>
      </w:r>
      <w:r w:rsidR="00773F7C" w:rsidRPr="0017357E">
        <w:rPr>
          <w:rFonts w:ascii="Calibri" w:eastAsia="Calibri" w:hAnsi="Calibri" w:cs="Calibri"/>
          <w:color w:val="000000" w:themeColor="text1"/>
        </w:rPr>
        <w:t>of historical research</w:t>
      </w:r>
      <w:r w:rsidR="001F3791">
        <w:rPr>
          <w:rFonts w:ascii="Calibri" w:eastAsia="Calibri" w:hAnsi="Calibri" w:cs="Calibri"/>
          <w:color w:val="000000" w:themeColor="text1"/>
        </w:rPr>
        <w:t>. These include:</w:t>
      </w:r>
      <w:r w:rsidR="00773F7C" w:rsidRPr="0017357E">
        <w:rPr>
          <w:rFonts w:ascii="Calibri" w:eastAsia="Calibri" w:hAnsi="Calibri" w:cs="Calibri"/>
          <w:color w:val="000000" w:themeColor="text1"/>
        </w:rPr>
        <w:t xml:space="preserve"> </w:t>
      </w:r>
      <w:r>
        <w:rPr>
          <w:rFonts w:ascii="Calibri" w:eastAsia="Calibri" w:hAnsi="Calibri" w:cs="Calibri"/>
          <w:color w:val="000000" w:themeColor="text1"/>
        </w:rPr>
        <w:t xml:space="preserve">the </w:t>
      </w:r>
      <w:r w:rsidR="00A27530">
        <w:rPr>
          <w:rFonts w:ascii="Calibri" w:eastAsia="Calibri" w:hAnsi="Calibri" w:cs="Calibri"/>
          <w:color w:val="000000" w:themeColor="text1"/>
        </w:rPr>
        <w:t>University</w:t>
      </w:r>
      <w:r w:rsidR="00773F7C" w:rsidRPr="0017357E">
        <w:rPr>
          <w:rFonts w:ascii="Calibri" w:eastAsia="Calibri" w:hAnsi="Calibri" w:cs="Calibri"/>
          <w:color w:val="000000" w:themeColor="text1"/>
        </w:rPr>
        <w:t>’s links to enslavemen</w:t>
      </w:r>
      <w:r w:rsidR="003C2B05">
        <w:rPr>
          <w:rFonts w:ascii="Calibri" w:eastAsia="Calibri" w:hAnsi="Calibri" w:cs="Calibri"/>
          <w:color w:val="000000" w:themeColor="text1"/>
        </w:rPr>
        <w:t xml:space="preserve">t, including </w:t>
      </w:r>
      <w:r>
        <w:rPr>
          <w:rFonts w:ascii="Calibri" w:eastAsia="Calibri" w:hAnsi="Calibri" w:cs="Calibri"/>
          <w:color w:val="000000" w:themeColor="text1"/>
        </w:rPr>
        <w:t xml:space="preserve">its </w:t>
      </w:r>
      <w:r w:rsidR="003C2B05">
        <w:rPr>
          <w:rFonts w:ascii="Calibri" w:eastAsia="Calibri" w:hAnsi="Calibri" w:cs="Calibri"/>
          <w:color w:val="000000" w:themeColor="text1"/>
        </w:rPr>
        <w:t>financial ties</w:t>
      </w:r>
      <w:r w:rsidR="00773F7C" w:rsidRPr="0017357E">
        <w:rPr>
          <w:rFonts w:ascii="Calibri" w:eastAsia="Calibri" w:hAnsi="Calibri" w:cs="Calibri"/>
          <w:color w:val="000000" w:themeColor="text1"/>
        </w:rPr>
        <w:t xml:space="preserve">; the </w:t>
      </w:r>
      <w:r w:rsidR="00773F7C" w:rsidRPr="0017357E">
        <w:rPr>
          <w:rFonts w:ascii="Calibri" w:eastAsia="Calibri" w:hAnsi="Calibri" w:cs="Calibri"/>
          <w:color w:val="000000" w:themeColor="text1"/>
        </w:rPr>
        <w:lastRenderedPageBreak/>
        <w:t>development of racial pseudo-sciences</w:t>
      </w:r>
      <w:r>
        <w:rPr>
          <w:rFonts w:ascii="Calibri" w:eastAsia="Calibri" w:hAnsi="Calibri" w:cs="Calibri"/>
          <w:color w:val="000000" w:themeColor="text1"/>
        </w:rPr>
        <w:t xml:space="preserve"> notably during the Enlightenment</w:t>
      </w:r>
      <w:r w:rsidR="00773F7C" w:rsidRPr="0017357E">
        <w:rPr>
          <w:rFonts w:ascii="Calibri" w:eastAsia="Calibri" w:hAnsi="Calibri" w:cs="Calibri"/>
          <w:color w:val="000000" w:themeColor="text1"/>
        </w:rPr>
        <w:t xml:space="preserve">; and </w:t>
      </w:r>
      <w:r>
        <w:rPr>
          <w:rFonts w:ascii="Calibri" w:eastAsia="Calibri" w:hAnsi="Calibri" w:cs="Calibri"/>
          <w:color w:val="000000" w:themeColor="text1"/>
        </w:rPr>
        <w:t xml:space="preserve">the </w:t>
      </w:r>
      <w:r w:rsidR="00A27530">
        <w:rPr>
          <w:rFonts w:ascii="Calibri" w:eastAsia="Calibri" w:hAnsi="Calibri" w:cs="Calibri"/>
          <w:color w:val="000000" w:themeColor="text1"/>
        </w:rPr>
        <w:t>University</w:t>
      </w:r>
      <w:r w:rsidR="00773F7C" w:rsidRPr="0017357E">
        <w:rPr>
          <w:rFonts w:ascii="Calibri" w:eastAsia="Calibri" w:hAnsi="Calibri" w:cs="Calibri"/>
          <w:color w:val="000000" w:themeColor="text1"/>
        </w:rPr>
        <w:t xml:space="preserve">’s </w:t>
      </w:r>
      <w:r w:rsidR="00A3703D">
        <w:rPr>
          <w:rFonts w:ascii="Calibri" w:eastAsia="Calibri" w:hAnsi="Calibri" w:cs="Calibri"/>
          <w:color w:val="000000" w:themeColor="text1"/>
        </w:rPr>
        <w:t xml:space="preserve">imperial and </w:t>
      </w:r>
      <w:r w:rsidR="00773F7C" w:rsidRPr="0017357E">
        <w:rPr>
          <w:rFonts w:ascii="Calibri" w:eastAsia="Calibri" w:hAnsi="Calibri" w:cs="Calibri"/>
          <w:color w:val="000000" w:themeColor="text1"/>
        </w:rPr>
        <w:t>colonial connections to the Middle East, notably Palestine</w:t>
      </w:r>
      <w:r w:rsidR="004163F3">
        <w:rPr>
          <w:rFonts w:ascii="Calibri" w:eastAsia="Calibri" w:hAnsi="Calibri" w:cs="Calibri"/>
          <w:color w:val="000000" w:themeColor="text1"/>
        </w:rPr>
        <w:t xml:space="preserve">. </w:t>
      </w:r>
    </w:p>
    <w:p w14:paraId="6A76918A" w14:textId="5D125632" w:rsidR="008E03CE" w:rsidRPr="0017357E" w:rsidRDefault="00A3703D" w:rsidP="00057638">
      <w:pPr>
        <w:pStyle w:val="ListParagraph"/>
        <w:numPr>
          <w:ilvl w:val="0"/>
          <w:numId w:val="35"/>
        </w:numPr>
        <w:spacing w:line="259" w:lineRule="auto"/>
        <w:rPr>
          <w:rFonts w:ascii="Calibri" w:eastAsia="Calibri" w:hAnsi="Calibri" w:cs="Calibri"/>
          <w:color w:val="000000" w:themeColor="text1"/>
        </w:rPr>
      </w:pPr>
      <w:r>
        <w:rPr>
          <w:rFonts w:ascii="Calibri" w:eastAsia="Calibri" w:hAnsi="Calibri" w:cs="Calibri"/>
          <w:color w:val="000000" w:themeColor="text1"/>
        </w:rPr>
        <w:t>‘</w:t>
      </w:r>
      <w:r w:rsidR="008E03CE">
        <w:rPr>
          <w:rFonts w:ascii="Calibri" w:eastAsia="Calibri" w:hAnsi="Calibri" w:cs="Calibri"/>
          <w:color w:val="000000" w:themeColor="text1"/>
        </w:rPr>
        <w:t>Part 3:</w:t>
      </w:r>
      <w:r w:rsidR="008E03CE" w:rsidRPr="0017357E">
        <w:rPr>
          <w:rFonts w:ascii="Calibri" w:eastAsia="Calibri" w:hAnsi="Calibri" w:cs="Calibri"/>
          <w:color w:val="000000" w:themeColor="text1"/>
        </w:rPr>
        <w:t xml:space="preserve"> </w:t>
      </w:r>
      <w:r w:rsidR="008E03CE">
        <w:rPr>
          <w:rFonts w:ascii="Calibri" w:eastAsia="Calibri" w:hAnsi="Calibri" w:cs="Calibri"/>
          <w:color w:val="000000" w:themeColor="text1"/>
        </w:rPr>
        <w:t>Current Institutional Picture</w:t>
      </w:r>
      <w:r w:rsidR="0016561C">
        <w:rPr>
          <w:rFonts w:ascii="Calibri" w:eastAsia="Calibri" w:hAnsi="Calibri" w:cs="Calibri"/>
          <w:color w:val="000000" w:themeColor="text1"/>
        </w:rPr>
        <w:t xml:space="preserve"> from Statistical Perspectives</w:t>
      </w:r>
      <w:r>
        <w:rPr>
          <w:rFonts w:ascii="Calibri" w:eastAsia="Calibri" w:hAnsi="Calibri" w:cs="Calibri"/>
          <w:color w:val="000000" w:themeColor="text1"/>
        </w:rPr>
        <w:t>’</w:t>
      </w:r>
      <w:r w:rsidR="008E03CE">
        <w:rPr>
          <w:rFonts w:ascii="Calibri" w:eastAsia="Calibri" w:hAnsi="Calibri" w:cs="Calibri"/>
          <w:color w:val="000000" w:themeColor="text1"/>
        </w:rPr>
        <w:t xml:space="preserve"> </w:t>
      </w:r>
      <w:r w:rsidR="00655AAD">
        <w:rPr>
          <w:rFonts w:ascii="Calibri" w:eastAsia="Calibri" w:hAnsi="Calibri" w:cs="Calibri"/>
          <w:color w:val="000000" w:themeColor="text1"/>
        </w:rPr>
        <w:t>analyses</w:t>
      </w:r>
      <w:r w:rsidR="008E03CE" w:rsidRPr="0017357E">
        <w:rPr>
          <w:rFonts w:ascii="Calibri" w:eastAsia="Calibri" w:hAnsi="Calibri" w:cs="Calibri"/>
          <w:color w:val="000000" w:themeColor="text1"/>
        </w:rPr>
        <w:t xml:space="preserve"> racial and ethnic data </w:t>
      </w:r>
      <w:r w:rsidR="000B1063">
        <w:rPr>
          <w:rFonts w:ascii="Calibri" w:eastAsia="Calibri" w:hAnsi="Calibri" w:cs="Calibri"/>
          <w:color w:val="000000" w:themeColor="text1"/>
        </w:rPr>
        <w:t xml:space="preserve">relating to </w:t>
      </w:r>
      <w:r w:rsidR="00A27530">
        <w:rPr>
          <w:rFonts w:ascii="Calibri" w:eastAsia="Calibri" w:hAnsi="Calibri" w:cs="Calibri"/>
          <w:color w:val="000000" w:themeColor="text1"/>
        </w:rPr>
        <w:t xml:space="preserve">University </w:t>
      </w:r>
      <w:r w:rsidR="008E03CE">
        <w:rPr>
          <w:rFonts w:ascii="Calibri" w:eastAsia="Calibri" w:hAnsi="Calibri" w:cs="Calibri"/>
          <w:color w:val="000000" w:themeColor="text1"/>
        </w:rPr>
        <w:t>staff and students from 2019 to 2023</w:t>
      </w:r>
      <w:r w:rsidR="008E03CE" w:rsidRPr="0017357E">
        <w:rPr>
          <w:rFonts w:ascii="Calibri" w:eastAsia="Calibri" w:hAnsi="Calibri" w:cs="Calibri"/>
          <w:color w:val="000000" w:themeColor="text1"/>
        </w:rPr>
        <w:t xml:space="preserve">. </w:t>
      </w:r>
    </w:p>
    <w:p w14:paraId="7F9163C1" w14:textId="63F054A2" w:rsidR="00773F7C" w:rsidRPr="0017357E" w:rsidRDefault="0016561C" w:rsidP="00057638">
      <w:pPr>
        <w:pStyle w:val="ListParagraph"/>
        <w:numPr>
          <w:ilvl w:val="0"/>
          <w:numId w:val="35"/>
        </w:numPr>
        <w:spacing w:line="259" w:lineRule="auto"/>
        <w:rPr>
          <w:rFonts w:ascii="Calibri" w:eastAsia="Calibri" w:hAnsi="Calibri" w:cs="Calibri"/>
          <w:color w:val="000000" w:themeColor="text1"/>
        </w:rPr>
      </w:pPr>
      <w:r>
        <w:rPr>
          <w:rFonts w:ascii="Calibri" w:eastAsia="Calibri" w:hAnsi="Calibri" w:cs="Calibri"/>
          <w:color w:val="000000" w:themeColor="text1"/>
        </w:rPr>
        <w:t>‘</w:t>
      </w:r>
      <w:r w:rsidR="004163F3">
        <w:rPr>
          <w:rFonts w:ascii="Calibri" w:eastAsia="Calibri" w:hAnsi="Calibri" w:cs="Calibri"/>
          <w:color w:val="000000" w:themeColor="text1"/>
        </w:rPr>
        <w:t>Part 4: Current Situation of Race and Racism</w:t>
      </w:r>
      <w:r>
        <w:rPr>
          <w:rFonts w:ascii="Calibri" w:eastAsia="Calibri" w:hAnsi="Calibri" w:cs="Calibri"/>
          <w:color w:val="000000" w:themeColor="text1"/>
        </w:rPr>
        <w:t>’</w:t>
      </w:r>
      <w:r w:rsidR="004163F3">
        <w:rPr>
          <w:rFonts w:ascii="Calibri" w:eastAsia="Calibri" w:hAnsi="Calibri" w:cs="Calibri"/>
          <w:color w:val="000000" w:themeColor="text1"/>
        </w:rPr>
        <w:t xml:space="preserve"> </w:t>
      </w:r>
      <w:r w:rsidR="00773F7C" w:rsidRPr="0017357E">
        <w:rPr>
          <w:rFonts w:ascii="Calibri" w:eastAsia="Calibri" w:hAnsi="Calibri" w:cs="Calibri"/>
          <w:color w:val="000000" w:themeColor="text1"/>
        </w:rPr>
        <w:t xml:space="preserve">joins the dots between the past </w:t>
      </w:r>
      <w:r w:rsidR="000B1063">
        <w:rPr>
          <w:rFonts w:ascii="Calibri" w:eastAsia="Calibri" w:hAnsi="Calibri" w:cs="Calibri"/>
          <w:color w:val="000000" w:themeColor="text1"/>
        </w:rPr>
        <w:t>and</w:t>
      </w:r>
      <w:r w:rsidR="00773F7C" w:rsidRPr="0017357E">
        <w:rPr>
          <w:rFonts w:ascii="Calibri" w:eastAsia="Calibri" w:hAnsi="Calibri" w:cs="Calibri"/>
          <w:color w:val="000000" w:themeColor="text1"/>
        </w:rPr>
        <w:t xml:space="preserve"> the present by looking </w:t>
      </w:r>
      <w:r w:rsidR="000B1063">
        <w:rPr>
          <w:rFonts w:ascii="Calibri" w:eastAsia="Calibri" w:hAnsi="Calibri" w:cs="Calibri"/>
          <w:color w:val="000000" w:themeColor="text1"/>
        </w:rPr>
        <w:t xml:space="preserve">at </w:t>
      </w:r>
      <w:r w:rsidR="00773F7C" w:rsidRPr="0017357E">
        <w:rPr>
          <w:rFonts w:ascii="Calibri" w:eastAsia="Calibri" w:hAnsi="Calibri" w:cs="Calibri"/>
          <w:color w:val="000000" w:themeColor="text1"/>
        </w:rPr>
        <w:t>the racial climate</w:t>
      </w:r>
      <w:r w:rsidR="004163F3">
        <w:rPr>
          <w:rFonts w:ascii="Calibri" w:eastAsia="Calibri" w:hAnsi="Calibri" w:cs="Calibri"/>
          <w:color w:val="000000" w:themeColor="text1"/>
        </w:rPr>
        <w:t xml:space="preserve"> </w:t>
      </w:r>
      <w:r w:rsidR="00773F7C" w:rsidRPr="0017357E">
        <w:rPr>
          <w:rFonts w:ascii="Calibri" w:eastAsia="Calibri" w:hAnsi="Calibri" w:cs="Calibri"/>
          <w:color w:val="000000" w:themeColor="text1"/>
        </w:rPr>
        <w:t>today</w:t>
      </w:r>
      <w:r w:rsidR="00002A8D">
        <w:rPr>
          <w:rFonts w:ascii="Calibri" w:eastAsia="Calibri" w:hAnsi="Calibri" w:cs="Calibri"/>
          <w:color w:val="000000" w:themeColor="text1"/>
        </w:rPr>
        <w:t>. It</w:t>
      </w:r>
      <w:r w:rsidR="006D7C68">
        <w:rPr>
          <w:rFonts w:ascii="Calibri" w:eastAsia="Calibri" w:hAnsi="Calibri" w:cs="Calibri"/>
          <w:color w:val="000000" w:themeColor="text1"/>
        </w:rPr>
        <w:t xml:space="preserve"> </w:t>
      </w:r>
      <w:r w:rsidR="00773F7C" w:rsidRPr="0017357E">
        <w:rPr>
          <w:rFonts w:ascii="Calibri" w:eastAsia="Calibri" w:hAnsi="Calibri" w:cs="Calibri"/>
          <w:color w:val="000000" w:themeColor="text1"/>
        </w:rPr>
        <w:t>present</w:t>
      </w:r>
      <w:r w:rsidR="006D7C68">
        <w:rPr>
          <w:rFonts w:ascii="Calibri" w:eastAsia="Calibri" w:hAnsi="Calibri" w:cs="Calibri"/>
          <w:color w:val="000000" w:themeColor="text1"/>
        </w:rPr>
        <w:t>s</w:t>
      </w:r>
      <w:r w:rsidR="00773F7C" w:rsidRPr="0017357E">
        <w:rPr>
          <w:rFonts w:ascii="Calibri" w:eastAsia="Calibri" w:hAnsi="Calibri" w:cs="Calibri"/>
          <w:color w:val="000000" w:themeColor="text1"/>
        </w:rPr>
        <w:t xml:space="preserve"> the findings from two </w:t>
      </w:r>
      <w:r w:rsidR="00002A8D">
        <w:rPr>
          <w:rFonts w:ascii="Calibri" w:eastAsia="Calibri" w:hAnsi="Calibri" w:cs="Calibri"/>
          <w:color w:val="000000" w:themeColor="text1"/>
        </w:rPr>
        <w:t>U</w:t>
      </w:r>
      <w:r w:rsidR="00773F7C" w:rsidRPr="0017357E">
        <w:rPr>
          <w:rFonts w:ascii="Calibri" w:eastAsia="Calibri" w:hAnsi="Calibri" w:cs="Calibri"/>
          <w:color w:val="000000" w:themeColor="text1"/>
        </w:rPr>
        <w:t xml:space="preserve">niversity-wide surveys to assess experiences of racism and attitudes towards racism. </w:t>
      </w:r>
    </w:p>
    <w:p w14:paraId="52BE29D8" w14:textId="551D3197" w:rsidR="00773F7C" w:rsidRPr="0017357E" w:rsidRDefault="0016561C" w:rsidP="00057638">
      <w:pPr>
        <w:pStyle w:val="ListParagraph"/>
        <w:numPr>
          <w:ilvl w:val="0"/>
          <w:numId w:val="35"/>
        </w:numPr>
        <w:spacing w:line="259" w:lineRule="auto"/>
        <w:rPr>
          <w:rFonts w:ascii="Calibri" w:eastAsia="Calibri" w:hAnsi="Calibri" w:cs="Calibri"/>
          <w:color w:val="000000" w:themeColor="text1"/>
        </w:rPr>
      </w:pPr>
      <w:r>
        <w:rPr>
          <w:rFonts w:ascii="Calibri" w:eastAsia="Calibri" w:hAnsi="Calibri" w:cs="Calibri"/>
          <w:color w:val="000000" w:themeColor="text1"/>
        </w:rPr>
        <w:t>‘</w:t>
      </w:r>
      <w:r w:rsidR="004163F3">
        <w:rPr>
          <w:rFonts w:ascii="Calibri" w:eastAsia="Calibri" w:hAnsi="Calibri" w:cs="Calibri"/>
          <w:color w:val="000000" w:themeColor="text1"/>
        </w:rPr>
        <w:t>Part 5: Community Engagement</w:t>
      </w:r>
      <w:r>
        <w:rPr>
          <w:rFonts w:ascii="Calibri" w:eastAsia="Calibri" w:hAnsi="Calibri" w:cs="Calibri"/>
          <w:color w:val="000000" w:themeColor="text1"/>
        </w:rPr>
        <w:t>’</w:t>
      </w:r>
      <w:r w:rsidR="004163F3">
        <w:rPr>
          <w:rFonts w:ascii="Calibri" w:eastAsia="Calibri" w:hAnsi="Calibri" w:cs="Calibri"/>
          <w:color w:val="000000" w:themeColor="text1"/>
        </w:rPr>
        <w:t xml:space="preserve"> </w:t>
      </w:r>
      <w:r w:rsidR="00773F7C" w:rsidRPr="0017357E">
        <w:rPr>
          <w:rFonts w:ascii="Calibri" w:eastAsia="Calibri" w:hAnsi="Calibri" w:cs="Calibri"/>
          <w:color w:val="000000" w:themeColor="text1"/>
        </w:rPr>
        <w:t xml:space="preserve">provides an overview of our extensive engagement programme with </w:t>
      </w:r>
      <w:r w:rsidR="003742ED">
        <w:rPr>
          <w:rFonts w:ascii="Calibri" w:eastAsia="Calibri" w:hAnsi="Calibri" w:cs="Calibri"/>
          <w:color w:val="000000" w:themeColor="text1"/>
        </w:rPr>
        <w:t>reparations activists and experts,</w:t>
      </w:r>
      <w:r w:rsidR="00773F7C" w:rsidRPr="0017357E">
        <w:rPr>
          <w:rFonts w:ascii="Calibri" w:eastAsia="Calibri" w:hAnsi="Calibri" w:cs="Calibri"/>
          <w:color w:val="000000" w:themeColor="text1"/>
        </w:rPr>
        <w:t xml:space="preserve"> communities of reparatory justice interest and other interested parties</w:t>
      </w:r>
      <w:r w:rsidR="00002A8D">
        <w:rPr>
          <w:rFonts w:ascii="Calibri" w:eastAsia="Calibri" w:hAnsi="Calibri" w:cs="Calibri"/>
          <w:color w:val="000000" w:themeColor="text1"/>
        </w:rPr>
        <w:t>. These</w:t>
      </w:r>
      <w:r w:rsidR="00773F7C" w:rsidRPr="0017357E">
        <w:rPr>
          <w:rFonts w:ascii="Calibri" w:eastAsia="Calibri" w:hAnsi="Calibri" w:cs="Calibri"/>
          <w:color w:val="000000" w:themeColor="text1"/>
        </w:rPr>
        <w:t xml:space="preserve"> includ</w:t>
      </w:r>
      <w:r w:rsidR="00002A8D">
        <w:rPr>
          <w:rFonts w:ascii="Calibri" w:eastAsia="Calibri" w:hAnsi="Calibri" w:cs="Calibri"/>
          <w:color w:val="000000" w:themeColor="text1"/>
        </w:rPr>
        <w:t>e</w:t>
      </w:r>
      <w:r w:rsidR="00773F7C" w:rsidRPr="0017357E">
        <w:rPr>
          <w:rFonts w:ascii="Calibri" w:eastAsia="Calibri" w:hAnsi="Calibri" w:cs="Calibri"/>
          <w:color w:val="000000" w:themeColor="text1"/>
        </w:rPr>
        <w:t xml:space="preserve"> academics with expertise in the history and racial legacies of </w:t>
      </w:r>
      <w:r w:rsidR="00685E66">
        <w:rPr>
          <w:rFonts w:ascii="Calibri" w:eastAsia="Calibri" w:hAnsi="Calibri" w:cs="Calibri"/>
          <w:color w:val="000000" w:themeColor="text1"/>
        </w:rPr>
        <w:t>enslavement</w:t>
      </w:r>
      <w:r w:rsidR="00685E66" w:rsidRPr="0017357E">
        <w:rPr>
          <w:rFonts w:ascii="Calibri" w:eastAsia="Calibri" w:hAnsi="Calibri" w:cs="Calibri"/>
          <w:color w:val="000000" w:themeColor="text1"/>
        </w:rPr>
        <w:t xml:space="preserve"> </w:t>
      </w:r>
      <w:r w:rsidR="00773F7C" w:rsidRPr="0017357E">
        <w:rPr>
          <w:rFonts w:ascii="Calibri" w:eastAsia="Calibri" w:hAnsi="Calibri" w:cs="Calibri"/>
          <w:color w:val="000000" w:themeColor="text1"/>
        </w:rPr>
        <w:t xml:space="preserve">and colonialism, and other professionals working with decolonising and reparatory practices both within and outside of </w:t>
      </w:r>
      <w:r w:rsidR="0069112C">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sidR="00773F7C" w:rsidRPr="0017357E">
        <w:rPr>
          <w:rFonts w:ascii="Calibri" w:eastAsia="Calibri" w:hAnsi="Calibri" w:cs="Calibri"/>
          <w:color w:val="000000" w:themeColor="text1"/>
        </w:rPr>
        <w:t xml:space="preserve">. </w:t>
      </w:r>
    </w:p>
    <w:p w14:paraId="7B89C10F" w14:textId="3F5E1592" w:rsidR="00773F7C" w:rsidRDefault="0016561C" w:rsidP="00057638">
      <w:pPr>
        <w:pStyle w:val="ListParagraph"/>
        <w:numPr>
          <w:ilvl w:val="0"/>
          <w:numId w:val="35"/>
        </w:numPr>
        <w:spacing w:line="259" w:lineRule="auto"/>
        <w:rPr>
          <w:rFonts w:ascii="Calibri" w:eastAsia="Calibri" w:hAnsi="Calibri" w:cs="Calibri"/>
          <w:color w:val="000000" w:themeColor="text1"/>
        </w:rPr>
      </w:pPr>
      <w:r>
        <w:rPr>
          <w:rFonts w:ascii="Calibri" w:eastAsia="Calibri" w:hAnsi="Calibri" w:cs="Calibri"/>
          <w:color w:val="000000" w:themeColor="text1"/>
        </w:rPr>
        <w:t>‘</w:t>
      </w:r>
      <w:r w:rsidR="0069112C">
        <w:rPr>
          <w:rFonts w:ascii="Calibri" w:eastAsia="Calibri" w:hAnsi="Calibri" w:cs="Calibri"/>
          <w:color w:val="000000" w:themeColor="text1"/>
        </w:rPr>
        <w:t xml:space="preserve">Part 6: Reparatory Justice </w:t>
      </w:r>
      <w:r>
        <w:rPr>
          <w:rFonts w:ascii="Calibri" w:eastAsia="Calibri" w:hAnsi="Calibri" w:cs="Calibri"/>
          <w:color w:val="000000" w:themeColor="text1"/>
        </w:rPr>
        <w:t>Recommendations’</w:t>
      </w:r>
      <w:r w:rsidR="00773F7C" w:rsidRPr="0017357E">
        <w:rPr>
          <w:rFonts w:ascii="Calibri" w:eastAsia="Calibri" w:hAnsi="Calibri" w:cs="Calibri"/>
          <w:color w:val="000000" w:themeColor="text1"/>
        </w:rPr>
        <w:t xml:space="preserve"> concludes </w:t>
      </w:r>
      <w:r w:rsidR="0069112C">
        <w:rPr>
          <w:rFonts w:ascii="Calibri" w:eastAsia="Calibri" w:hAnsi="Calibri" w:cs="Calibri"/>
          <w:color w:val="000000" w:themeColor="text1"/>
        </w:rPr>
        <w:t>th</w:t>
      </w:r>
      <w:r w:rsidR="006E3867">
        <w:rPr>
          <w:rFonts w:ascii="Calibri" w:eastAsia="Calibri" w:hAnsi="Calibri" w:cs="Calibri"/>
          <w:color w:val="000000" w:themeColor="text1"/>
        </w:rPr>
        <w:t>is report</w:t>
      </w:r>
      <w:r w:rsidR="0069112C">
        <w:rPr>
          <w:rFonts w:ascii="Calibri" w:eastAsia="Calibri" w:hAnsi="Calibri" w:cs="Calibri"/>
          <w:color w:val="000000" w:themeColor="text1"/>
        </w:rPr>
        <w:t xml:space="preserve"> </w:t>
      </w:r>
      <w:r w:rsidR="00773F7C" w:rsidRPr="0017357E">
        <w:rPr>
          <w:rFonts w:ascii="Calibri" w:eastAsia="Calibri" w:hAnsi="Calibri" w:cs="Calibri"/>
          <w:color w:val="000000" w:themeColor="text1"/>
        </w:rPr>
        <w:t>with a summary of the main recommendations</w:t>
      </w:r>
      <w:r w:rsidR="00DD0E0D">
        <w:rPr>
          <w:rFonts w:ascii="Calibri" w:eastAsia="Calibri" w:hAnsi="Calibri" w:cs="Calibri"/>
          <w:color w:val="000000" w:themeColor="text1"/>
        </w:rPr>
        <w:t xml:space="preserve"> emerging from our research and public engagement. This</w:t>
      </w:r>
      <w:r w:rsidR="00330B48">
        <w:rPr>
          <w:rFonts w:ascii="Calibri" w:eastAsia="Calibri" w:hAnsi="Calibri" w:cs="Calibri"/>
          <w:color w:val="000000" w:themeColor="text1"/>
        </w:rPr>
        <w:t xml:space="preserve"> includ</w:t>
      </w:r>
      <w:r w:rsidR="00DD0E0D">
        <w:rPr>
          <w:rFonts w:ascii="Calibri" w:eastAsia="Calibri" w:hAnsi="Calibri" w:cs="Calibri"/>
          <w:color w:val="000000" w:themeColor="text1"/>
        </w:rPr>
        <w:t>es</w:t>
      </w:r>
      <w:r w:rsidR="00330B48">
        <w:rPr>
          <w:rFonts w:ascii="Calibri" w:eastAsia="Calibri" w:hAnsi="Calibri" w:cs="Calibri"/>
          <w:color w:val="000000" w:themeColor="text1"/>
        </w:rPr>
        <w:t xml:space="preserve"> a Research and Community Centre for the Study of Racisms, </w:t>
      </w:r>
      <w:r w:rsidR="00C975EB">
        <w:rPr>
          <w:rFonts w:ascii="Calibri" w:eastAsia="Calibri" w:hAnsi="Calibri" w:cs="Calibri"/>
          <w:color w:val="000000" w:themeColor="text1"/>
        </w:rPr>
        <w:t>Colonialism and Anti-Black Violence</w:t>
      </w:r>
      <w:r w:rsidR="00DD0E0D">
        <w:rPr>
          <w:rFonts w:ascii="Calibri" w:eastAsia="Calibri" w:hAnsi="Calibri" w:cs="Calibri"/>
          <w:color w:val="000000" w:themeColor="text1"/>
        </w:rPr>
        <w:t xml:space="preserve"> </w:t>
      </w:r>
      <w:r w:rsidR="006E3867">
        <w:rPr>
          <w:rFonts w:ascii="Calibri" w:eastAsia="Calibri" w:hAnsi="Calibri" w:cs="Calibri"/>
          <w:color w:val="000000" w:themeColor="text1"/>
        </w:rPr>
        <w:t>that will act as a</w:t>
      </w:r>
      <w:r w:rsidR="00DD0E0D">
        <w:rPr>
          <w:rFonts w:ascii="Calibri" w:eastAsia="Calibri" w:hAnsi="Calibri" w:cs="Calibri"/>
          <w:color w:val="000000" w:themeColor="text1"/>
        </w:rPr>
        <w:t xml:space="preserve"> </w:t>
      </w:r>
      <w:r w:rsidR="006E3867">
        <w:rPr>
          <w:rFonts w:ascii="Calibri" w:eastAsia="Calibri" w:hAnsi="Calibri" w:cs="Calibri"/>
          <w:color w:val="000000" w:themeColor="text1"/>
        </w:rPr>
        <w:t xml:space="preserve">focal point for </w:t>
      </w:r>
      <w:r w:rsidR="00685E66" w:rsidRPr="0017357E">
        <w:rPr>
          <w:rFonts w:ascii="Calibri" w:eastAsia="Calibri" w:hAnsi="Calibri" w:cs="Calibri"/>
          <w:color w:val="000000" w:themeColor="text1"/>
        </w:rPr>
        <w:t>addres</w:t>
      </w:r>
      <w:r w:rsidR="006E3867">
        <w:rPr>
          <w:rFonts w:ascii="Calibri" w:eastAsia="Calibri" w:hAnsi="Calibri" w:cs="Calibri"/>
          <w:color w:val="000000" w:themeColor="text1"/>
        </w:rPr>
        <w:t>sing</w:t>
      </w:r>
      <w:r w:rsidR="00685E66" w:rsidRPr="0017357E">
        <w:rPr>
          <w:rFonts w:ascii="Calibri" w:eastAsia="Calibri" w:hAnsi="Calibri" w:cs="Calibri"/>
          <w:color w:val="000000" w:themeColor="text1"/>
        </w:rPr>
        <w:t xml:space="preserve"> </w:t>
      </w:r>
      <w:r w:rsidR="006E3867">
        <w:rPr>
          <w:rFonts w:ascii="Calibri" w:eastAsia="Calibri" w:hAnsi="Calibri" w:cs="Calibri"/>
          <w:color w:val="000000" w:themeColor="text1"/>
        </w:rPr>
        <w:t xml:space="preserve">the </w:t>
      </w:r>
      <w:r w:rsidR="00685E66">
        <w:rPr>
          <w:rFonts w:ascii="Calibri" w:eastAsia="Calibri" w:hAnsi="Calibri" w:cs="Calibri"/>
          <w:color w:val="000000" w:themeColor="text1"/>
        </w:rPr>
        <w:t>University</w:t>
      </w:r>
      <w:r w:rsidR="006E3867">
        <w:rPr>
          <w:rFonts w:ascii="Calibri" w:eastAsia="Calibri" w:hAnsi="Calibri" w:cs="Calibri"/>
          <w:color w:val="000000" w:themeColor="text1"/>
        </w:rPr>
        <w:t>’s</w:t>
      </w:r>
      <w:r w:rsidR="00685E66" w:rsidRPr="0017357E">
        <w:rPr>
          <w:rFonts w:ascii="Calibri" w:eastAsia="Calibri" w:hAnsi="Calibri" w:cs="Calibri"/>
          <w:color w:val="000000" w:themeColor="text1"/>
        </w:rPr>
        <w:t xml:space="preserve"> racial legacies</w:t>
      </w:r>
      <w:r w:rsidR="006E3867">
        <w:rPr>
          <w:rFonts w:ascii="Calibri" w:eastAsia="Calibri" w:hAnsi="Calibri" w:cs="Calibri"/>
          <w:color w:val="000000" w:themeColor="text1"/>
        </w:rPr>
        <w:t xml:space="preserve"> and inspiring future decolonising and reparatory justice action</w:t>
      </w:r>
      <w:r w:rsidR="00685E66" w:rsidRPr="0017357E">
        <w:rPr>
          <w:rFonts w:ascii="Calibri" w:eastAsia="Calibri" w:hAnsi="Calibri" w:cs="Calibri"/>
          <w:color w:val="000000" w:themeColor="text1"/>
        </w:rPr>
        <w:t>.</w:t>
      </w:r>
    </w:p>
    <w:p w14:paraId="3BF06349" w14:textId="77777777" w:rsidR="00452C59" w:rsidRPr="0017357E" w:rsidRDefault="00452C59" w:rsidP="00057638">
      <w:pPr>
        <w:pStyle w:val="ListParagraph"/>
        <w:spacing w:line="259" w:lineRule="auto"/>
        <w:rPr>
          <w:rFonts w:ascii="Calibri" w:eastAsia="Calibri" w:hAnsi="Calibri" w:cs="Calibri"/>
          <w:color w:val="000000" w:themeColor="text1"/>
        </w:rPr>
      </w:pPr>
    </w:p>
    <w:p w14:paraId="1AC484DC" w14:textId="39CB47C6" w:rsidR="002B34F0" w:rsidRDefault="002B34F0" w:rsidP="002C5B24">
      <w:pPr>
        <w:pStyle w:val="Heading2"/>
        <w:rPr>
          <w:rStyle w:val="normaltextrun"/>
          <w:rFonts w:cstheme="minorHAnsi"/>
        </w:rPr>
      </w:pPr>
      <w:bookmarkStart w:id="9" w:name="_Toc190939399"/>
      <w:bookmarkStart w:id="10" w:name="_Toc202627082"/>
      <w:r>
        <w:rPr>
          <w:rStyle w:val="normaltextrun"/>
          <w:rFonts w:cstheme="minorHAnsi"/>
        </w:rPr>
        <w:t>A Word on Language</w:t>
      </w:r>
      <w:bookmarkEnd w:id="9"/>
      <w:bookmarkEnd w:id="10"/>
    </w:p>
    <w:p w14:paraId="44747501" w14:textId="5FC075DB" w:rsidR="005067DE" w:rsidRDefault="009B6D68" w:rsidP="00057638">
      <w:pPr>
        <w:pStyle w:val="paragraph"/>
        <w:spacing w:before="0" w:beforeAutospacing="0" w:after="0" w:afterAutospacing="0" w:line="259" w:lineRule="auto"/>
        <w:textAlignment w:val="baseline"/>
        <w:rPr>
          <w:rStyle w:val="normaltextrun"/>
          <w:rFonts w:asciiTheme="minorHAnsi" w:eastAsiaTheme="majorEastAsia" w:hAnsiTheme="minorHAnsi" w:cstheme="minorBidi"/>
          <w:b/>
          <w:kern w:val="2"/>
          <w:sz w:val="28"/>
          <w:szCs w:val="32"/>
          <w:lang w:eastAsia="en-US"/>
          <w14:ligatures w14:val="standardContextual"/>
        </w:rPr>
      </w:pPr>
      <w:r w:rsidRPr="5881D68B">
        <w:rPr>
          <w:rStyle w:val="normaltextrun"/>
          <w:rFonts w:asciiTheme="minorHAnsi" w:eastAsiaTheme="majorEastAsia" w:hAnsiTheme="minorHAnsi" w:cstheme="minorBidi"/>
        </w:rPr>
        <w:t>The nature of this report means</w:t>
      </w:r>
      <w:r w:rsidR="006E3867" w:rsidRPr="5881D68B">
        <w:rPr>
          <w:rStyle w:val="normaltextrun"/>
          <w:rFonts w:asciiTheme="minorHAnsi" w:eastAsiaTheme="majorEastAsia" w:hAnsiTheme="minorHAnsi" w:cstheme="minorBidi"/>
        </w:rPr>
        <w:t xml:space="preserve"> that</w:t>
      </w:r>
      <w:r w:rsidRPr="5881D68B">
        <w:rPr>
          <w:rStyle w:val="normaltextrun"/>
          <w:rFonts w:asciiTheme="minorHAnsi" w:eastAsiaTheme="majorEastAsia" w:hAnsiTheme="minorHAnsi" w:cstheme="minorBidi"/>
        </w:rPr>
        <w:t xml:space="preserve"> it </w:t>
      </w:r>
      <w:r w:rsidR="00AD3A18" w:rsidRPr="5881D68B">
        <w:rPr>
          <w:rStyle w:val="normaltextrun"/>
          <w:rFonts w:asciiTheme="minorHAnsi" w:eastAsiaTheme="majorEastAsia" w:hAnsiTheme="minorHAnsi" w:cstheme="minorBidi"/>
        </w:rPr>
        <w:t xml:space="preserve">necessarily </w:t>
      </w:r>
      <w:r w:rsidRPr="5881D68B">
        <w:rPr>
          <w:rStyle w:val="normaltextrun"/>
          <w:rFonts w:asciiTheme="minorHAnsi" w:eastAsiaTheme="majorEastAsia" w:hAnsiTheme="minorHAnsi" w:cstheme="minorBidi"/>
        </w:rPr>
        <w:t xml:space="preserve">includes troubling material. </w:t>
      </w:r>
      <w:r w:rsidR="008538FB" w:rsidRPr="5881D68B">
        <w:rPr>
          <w:rStyle w:val="normaltextrun"/>
          <w:rFonts w:asciiTheme="minorHAnsi" w:eastAsiaTheme="majorEastAsia" w:hAnsiTheme="minorHAnsi" w:cstheme="minorBidi"/>
        </w:rPr>
        <w:t>For example, s</w:t>
      </w:r>
      <w:r w:rsidRPr="5881D68B">
        <w:rPr>
          <w:rStyle w:val="normaltextrun"/>
          <w:rFonts w:asciiTheme="minorHAnsi" w:eastAsiaTheme="majorEastAsia" w:hAnsiTheme="minorHAnsi" w:cstheme="minorBidi"/>
        </w:rPr>
        <w:t>ome of the</w:t>
      </w:r>
      <w:r w:rsidR="008538FB" w:rsidRPr="5881D68B">
        <w:rPr>
          <w:rStyle w:val="normaltextrun"/>
          <w:rFonts w:asciiTheme="minorHAnsi" w:eastAsiaTheme="majorEastAsia" w:hAnsiTheme="minorHAnsi" w:cstheme="minorBidi"/>
        </w:rPr>
        <w:t xml:space="preserve"> </w:t>
      </w:r>
      <w:r w:rsidRPr="5881D68B">
        <w:rPr>
          <w:rStyle w:val="normaltextrun"/>
          <w:rFonts w:asciiTheme="minorHAnsi" w:eastAsiaTheme="majorEastAsia" w:hAnsiTheme="minorHAnsi" w:cstheme="minorBidi"/>
        </w:rPr>
        <w:t xml:space="preserve">sources analysed </w:t>
      </w:r>
      <w:r w:rsidR="008538FB" w:rsidRPr="5881D68B">
        <w:rPr>
          <w:rStyle w:val="normaltextrun"/>
          <w:rFonts w:asciiTheme="minorHAnsi" w:eastAsiaTheme="majorEastAsia" w:hAnsiTheme="minorHAnsi" w:cstheme="minorBidi"/>
        </w:rPr>
        <w:t>in the historical section</w:t>
      </w:r>
      <w:r w:rsidR="009A5F34" w:rsidRPr="5881D68B">
        <w:rPr>
          <w:rStyle w:val="normaltextrun"/>
          <w:rFonts w:asciiTheme="minorHAnsi" w:eastAsiaTheme="majorEastAsia" w:hAnsiTheme="minorHAnsi" w:cstheme="minorBidi"/>
        </w:rPr>
        <w:t xml:space="preserve"> (</w:t>
      </w:r>
      <w:r w:rsidR="00907592">
        <w:rPr>
          <w:rStyle w:val="normaltextrun"/>
          <w:rFonts w:asciiTheme="minorHAnsi" w:eastAsiaTheme="majorEastAsia" w:hAnsiTheme="minorHAnsi" w:cstheme="minorBidi"/>
        </w:rPr>
        <w:t>P</w:t>
      </w:r>
      <w:r w:rsidR="009A5F34" w:rsidRPr="5881D68B">
        <w:rPr>
          <w:rStyle w:val="normaltextrun"/>
          <w:rFonts w:asciiTheme="minorHAnsi" w:eastAsiaTheme="majorEastAsia" w:hAnsiTheme="minorHAnsi" w:cstheme="minorBidi"/>
        </w:rPr>
        <w:t xml:space="preserve">art </w:t>
      </w:r>
      <w:r w:rsidR="002B34F0" w:rsidRPr="5881D68B">
        <w:rPr>
          <w:rStyle w:val="normaltextrun"/>
          <w:rFonts w:asciiTheme="minorHAnsi" w:eastAsiaTheme="majorEastAsia" w:hAnsiTheme="minorHAnsi" w:cstheme="minorBidi"/>
        </w:rPr>
        <w:t>2</w:t>
      </w:r>
      <w:r w:rsidR="009A5F34" w:rsidRPr="5881D68B">
        <w:rPr>
          <w:rStyle w:val="normaltextrun"/>
          <w:rFonts w:asciiTheme="minorHAnsi" w:eastAsiaTheme="majorEastAsia" w:hAnsiTheme="minorHAnsi" w:cstheme="minorBidi"/>
        </w:rPr>
        <w:t>)</w:t>
      </w:r>
      <w:r w:rsidR="008538FB" w:rsidRPr="5881D68B">
        <w:rPr>
          <w:rStyle w:val="normaltextrun"/>
          <w:rFonts w:asciiTheme="minorHAnsi" w:eastAsiaTheme="majorEastAsia" w:hAnsiTheme="minorHAnsi" w:cstheme="minorBidi"/>
        </w:rPr>
        <w:t xml:space="preserve"> </w:t>
      </w:r>
      <w:r w:rsidR="00B221DA" w:rsidRPr="5881D68B">
        <w:rPr>
          <w:rStyle w:val="normaltextrun"/>
          <w:rFonts w:asciiTheme="minorHAnsi" w:eastAsiaTheme="majorEastAsia" w:hAnsiTheme="minorHAnsi" w:cstheme="minorBidi"/>
        </w:rPr>
        <w:t xml:space="preserve">refer to </w:t>
      </w:r>
      <w:r w:rsidRPr="5881D68B">
        <w:rPr>
          <w:rStyle w:val="normaltextrun"/>
          <w:rFonts w:asciiTheme="minorHAnsi" w:eastAsiaTheme="majorEastAsia" w:hAnsiTheme="minorHAnsi" w:cstheme="minorBidi"/>
        </w:rPr>
        <w:t xml:space="preserve">racist and genocidal language and ideas, or acts of violence and other modes of domination. </w:t>
      </w:r>
      <w:r w:rsidR="008538FB" w:rsidRPr="5881D68B">
        <w:rPr>
          <w:rStyle w:val="normaltextrun"/>
          <w:rFonts w:asciiTheme="minorHAnsi" w:eastAsiaTheme="majorEastAsia" w:hAnsiTheme="minorHAnsi" w:cstheme="minorBidi"/>
        </w:rPr>
        <w:t>While t</w:t>
      </w:r>
      <w:r w:rsidRPr="5881D68B">
        <w:rPr>
          <w:rStyle w:val="normaltextrun"/>
          <w:rFonts w:asciiTheme="minorHAnsi" w:eastAsiaTheme="majorEastAsia" w:hAnsiTheme="minorHAnsi" w:cstheme="minorBidi"/>
        </w:rPr>
        <w:t xml:space="preserve">he inclusion of </w:t>
      </w:r>
      <w:r w:rsidR="008538FB" w:rsidRPr="5881D68B">
        <w:rPr>
          <w:rStyle w:val="normaltextrun"/>
          <w:rFonts w:asciiTheme="minorHAnsi" w:eastAsiaTheme="majorEastAsia" w:hAnsiTheme="minorHAnsi" w:cstheme="minorBidi"/>
        </w:rPr>
        <w:t>these</w:t>
      </w:r>
      <w:r w:rsidRPr="5881D68B">
        <w:rPr>
          <w:rStyle w:val="normaltextrun"/>
          <w:rFonts w:asciiTheme="minorHAnsi" w:eastAsiaTheme="majorEastAsia" w:hAnsiTheme="minorHAnsi" w:cstheme="minorBidi"/>
        </w:rPr>
        <w:t xml:space="preserve"> detail</w:t>
      </w:r>
      <w:r w:rsidR="008538FB" w:rsidRPr="5881D68B">
        <w:rPr>
          <w:rStyle w:val="normaltextrun"/>
          <w:rFonts w:asciiTheme="minorHAnsi" w:eastAsiaTheme="majorEastAsia" w:hAnsiTheme="minorHAnsi" w:cstheme="minorBidi"/>
        </w:rPr>
        <w:t>s</w:t>
      </w:r>
      <w:r w:rsidRPr="5881D68B">
        <w:rPr>
          <w:rStyle w:val="normaltextrun"/>
          <w:rFonts w:asciiTheme="minorHAnsi" w:eastAsiaTheme="majorEastAsia" w:hAnsiTheme="minorHAnsi" w:cstheme="minorBidi"/>
        </w:rPr>
        <w:t xml:space="preserve"> is common in historical studies</w:t>
      </w:r>
      <w:r w:rsidR="008538FB" w:rsidRPr="5881D68B">
        <w:rPr>
          <w:rStyle w:val="normaltextrun"/>
          <w:rFonts w:asciiTheme="minorHAnsi" w:eastAsiaTheme="majorEastAsia" w:hAnsiTheme="minorHAnsi" w:cstheme="minorBidi"/>
        </w:rPr>
        <w:t xml:space="preserve">, </w:t>
      </w:r>
      <w:r w:rsidR="006C3203" w:rsidRPr="5881D68B">
        <w:rPr>
          <w:rStyle w:val="normaltextrun"/>
          <w:rFonts w:asciiTheme="minorHAnsi" w:eastAsiaTheme="majorEastAsia" w:hAnsiTheme="minorHAnsi" w:cstheme="minorBidi"/>
        </w:rPr>
        <w:t>decisions</w:t>
      </w:r>
      <w:r w:rsidR="008605D1" w:rsidRPr="5881D68B">
        <w:rPr>
          <w:rStyle w:val="normaltextrun"/>
          <w:rFonts w:asciiTheme="minorHAnsi" w:eastAsiaTheme="majorEastAsia" w:hAnsiTheme="minorHAnsi" w:cstheme="minorBidi"/>
        </w:rPr>
        <w:t xml:space="preserve"> </w:t>
      </w:r>
      <w:r w:rsidR="006C3203" w:rsidRPr="5881D68B">
        <w:rPr>
          <w:rStyle w:val="normaltextrun"/>
          <w:rFonts w:asciiTheme="minorHAnsi" w:eastAsiaTheme="majorEastAsia" w:hAnsiTheme="minorHAnsi" w:cstheme="minorBidi"/>
        </w:rPr>
        <w:t>about whether to</w:t>
      </w:r>
      <w:r w:rsidRPr="5881D68B">
        <w:rPr>
          <w:rStyle w:val="normaltextrun"/>
          <w:rFonts w:asciiTheme="minorHAnsi" w:eastAsiaTheme="majorEastAsia" w:hAnsiTheme="minorHAnsi" w:cstheme="minorBidi"/>
        </w:rPr>
        <w:t xml:space="preserve"> include direct quotations </w:t>
      </w:r>
      <w:r w:rsidR="006C3203" w:rsidRPr="5881D68B">
        <w:rPr>
          <w:rStyle w:val="normaltextrun"/>
          <w:rFonts w:asciiTheme="minorHAnsi" w:eastAsiaTheme="majorEastAsia" w:hAnsiTheme="minorHAnsi" w:cstheme="minorBidi"/>
        </w:rPr>
        <w:t xml:space="preserve">with </w:t>
      </w:r>
      <w:r w:rsidRPr="5881D68B">
        <w:rPr>
          <w:rStyle w:val="normaltextrun"/>
          <w:rFonts w:asciiTheme="minorHAnsi" w:eastAsiaTheme="majorEastAsia" w:hAnsiTheme="minorHAnsi" w:cstheme="minorBidi"/>
        </w:rPr>
        <w:t>offensive or disturbing content</w:t>
      </w:r>
      <w:r w:rsidR="00A27596" w:rsidRPr="5881D68B">
        <w:rPr>
          <w:rStyle w:val="normaltextrun"/>
          <w:rFonts w:asciiTheme="minorHAnsi" w:eastAsiaTheme="majorEastAsia" w:hAnsiTheme="minorHAnsi" w:cstheme="minorBidi"/>
        </w:rPr>
        <w:t xml:space="preserve"> has not been taken lightly</w:t>
      </w:r>
      <w:r w:rsidRPr="5881D68B">
        <w:rPr>
          <w:rStyle w:val="normaltextrun"/>
          <w:rFonts w:asciiTheme="minorHAnsi" w:eastAsiaTheme="majorEastAsia" w:hAnsiTheme="minorHAnsi" w:cstheme="minorBidi"/>
        </w:rPr>
        <w:t>. Numerous scholars have underlined how research that draws on the archives of slavery, race-making and colonial domination is irrevocably fraught with ethical as well as methodological concerns.</w:t>
      </w:r>
      <w:r w:rsidR="0086178C" w:rsidRPr="5881D68B">
        <w:rPr>
          <w:rStyle w:val="FootnoteReference"/>
          <w:rFonts w:asciiTheme="minorHAnsi" w:eastAsiaTheme="majorEastAsia" w:hAnsiTheme="minorHAnsi" w:cstheme="minorBidi"/>
        </w:rPr>
        <w:footnoteReference w:id="10"/>
      </w:r>
      <w:r w:rsidRPr="5881D68B">
        <w:rPr>
          <w:rStyle w:val="normaltextrun"/>
          <w:rFonts w:asciiTheme="minorHAnsi" w:eastAsiaTheme="majorEastAsia" w:hAnsiTheme="minorHAnsi" w:cstheme="minorBidi"/>
        </w:rPr>
        <w:t xml:space="preserve"> Economic studies of slavery and colonialism</w:t>
      </w:r>
      <w:r w:rsidR="007D4AC9" w:rsidRPr="5881D68B">
        <w:rPr>
          <w:rStyle w:val="normaltextrun"/>
          <w:rFonts w:asciiTheme="minorHAnsi" w:eastAsiaTheme="majorEastAsia" w:hAnsiTheme="minorHAnsi" w:cstheme="minorBidi"/>
        </w:rPr>
        <w:t>,</w:t>
      </w:r>
      <w:r w:rsidR="000F64DD" w:rsidRPr="5881D68B">
        <w:rPr>
          <w:rStyle w:val="normaltextrun"/>
          <w:rFonts w:asciiTheme="minorHAnsi" w:eastAsiaTheme="majorEastAsia" w:hAnsiTheme="minorHAnsi" w:cstheme="minorBidi"/>
        </w:rPr>
        <w:t xml:space="preserve"> in particular</w:t>
      </w:r>
      <w:r w:rsidR="007D4AC9" w:rsidRPr="5881D68B">
        <w:rPr>
          <w:rStyle w:val="normaltextrun"/>
          <w:rFonts w:asciiTheme="minorHAnsi" w:eastAsiaTheme="majorEastAsia" w:hAnsiTheme="minorHAnsi" w:cstheme="minorBidi"/>
        </w:rPr>
        <w:t>,</w:t>
      </w:r>
      <w:r w:rsidR="000F64DD" w:rsidRPr="5881D68B">
        <w:rPr>
          <w:rStyle w:val="normaltextrun"/>
          <w:rFonts w:asciiTheme="minorHAnsi" w:eastAsiaTheme="majorEastAsia" w:hAnsiTheme="minorHAnsi" w:cstheme="minorBidi"/>
        </w:rPr>
        <w:t xml:space="preserve"> can</w:t>
      </w:r>
      <w:r w:rsidRPr="5881D68B">
        <w:rPr>
          <w:rStyle w:val="normaltextrun"/>
          <w:rFonts w:asciiTheme="minorHAnsi" w:eastAsiaTheme="majorEastAsia" w:hAnsiTheme="minorHAnsi" w:cstheme="minorBidi"/>
        </w:rPr>
        <w:t xml:space="preserve"> be perceived as lacking compassion for</w:t>
      </w:r>
      <w:r w:rsidR="008D3349" w:rsidRPr="5881D68B">
        <w:rPr>
          <w:rStyle w:val="normaltextrun"/>
          <w:rFonts w:asciiTheme="minorHAnsi" w:eastAsiaTheme="majorEastAsia" w:hAnsiTheme="minorHAnsi" w:cstheme="minorBidi"/>
        </w:rPr>
        <w:t xml:space="preserve"> </w:t>
      </w:r>
      <w:r w:rsidRPr="5881D68B">
        <w:rPr>
          <w:rStyle w:val="normaltextrun"/>
          <w:rFonts w:asciiTheme="minorHAnsi" w:eastAsiaTheme="majorEastAsia" w:hAnsiTheme="minorHAnsi" w:cstheme="minorBidi"/>
        </w:rPr>
        <w:t>human suffering</w:t>
      </w:r>
      <w:r w:rsidR="008605D1" w:rsidRPr="5881D68B">
        <w:rPr>
          <w:rStyle w:val="normaltextrun"/>
          <w:rFonts w:asciiTheme="minorHAnsi" w:eastAsiaTheme="majorEastAsia" w:hAnsiTheme="minorHAnsi" w:cstheme="minorBidi"/>
        </w:rPr>
        <w:t xml:space="preserve"> and thereby marginalising </w:t>
      </w:r>
      <w:r w:rsidR="00303EF9" w:rsidRPr="5881D68B">
        <w:rPr>
          <w:rStyle w:val="normaltextrun"/>
          <w:rFonts w:asciiTheme="minorHAnsi" w:eastAsiaTheme="majorEastAsia" w:hAnsiTheme="minorHAnsi" w:cstheme="minorBidi"/>
        </w:rPr>
        <w:t>histories of trauma</w:t>
      </w:r>
      <w:r w:rsidR="000F64DD" w:rsidRPr="5881D68B">
        <w:rPr>
          <w:rStyle w:val="normaltextrun"/>
          <w:rFonts w:asciiTheme="minorHAnsi" w:eastAsiaTheme="majorEastAsia" w:hAnsiTheme="minorHAnsi" w:cstheme="minorBidi"/>
        </w:rPr>
        <w:t>.</w:t>
      </w:r>
      <w:r w:rsidRPr="5881D68B">
        <w:rPr>
          <w:rStyle w:val="normaltextrun"/>
          <w:rFonts w:asciiTheme="minorHAnsi" w:eastAsiaTheme="majorEastAsia" w:hAnsiTheme="minorHAnsi" w:cstheme="minorBidi"/>
        </w:rPr>
        <w:t xml:space="preserve"> </w:t>
      </w:r>
      <w:r w:rsidR="008605D1" w:rsidRPr="5881D68B">
        <w:rPr>
          <w:rStyle w:val="normaltextrun"/>
          <w:rFonts w:asciiTheme="minorHAnsi" w:eastAsiaTheme="majorEastAsia" w:hAnsiTheme="minorHAnsi" w:cstheme="minorBidi"/>
        </w:rPr>
        <w:t>Such</w:t>
      </w:r>
      <w:r w:rsidRPr="5881D68B">
        <w:rPr>
          <w:rStyle w:val="normaltextrun"/>
          <w:rFonts w:asciiTheme="minorHAnsi" w:eastAsiaTheme="majorEastAsia" w:hAnsiTheme="minorHAnsi" w:cstheme="minorBidi"/>
        </w:rPr>
        <w:t xml:space="preserve"> research</w:t>
      </w:r>
      <w:r w:rsidR="008D3349" w:rsidRPr="5881D68B">
        <w:rPr>
          <w:rStyle w:val="normaltextrun"/>
          <w:rFonts w:asciiTheme="minorHAnsi" w:eastAsiaTheme="majorEastAsia" w:hAnsiTheme="minorHAnsi" w:cstheme="minorBidi"/>
        </w:rPr>
        <w:t xml:space="preserve"> runs the</w:t>
      </w:r>
      <w:r w:rsidRPr="5881D68B">
        <w:rPr>
          <w:rStyle w:val="normaltextrun"/>
          <w:rFonts w:asciiTheme="minorHAnsi" w:eastAsiaTheme="majorEastAsia" w:hAnsiTheme="minorHAnsi" w:cstheme="minorBidi"/>
        </w:rPr>
        <w:t xml:space="preserve"> risk</w:t>
      </w:r>
      <w:r w:rsidR="008D3349" w:rsidRPr="5881D68B">
        <w:rPr>
          <w:rStyle w:val="normaltextrun"/>
          <w:rFonts w:asciiTheme="minorHAnsi" w:eastAsiaTheme="majorEastAsia" w:hAnsiTheme="minorHAnsi" w:cstheme="minorBidi"/>
        </w:rPr>
        <w:t xml:space="preserve"> of</w:t>
      </w:r>
      <w:r w:rsidRPr="5881D68B">
        <w:rPr>
          <w:rStyle w:val="normaltextrun"/>
          <w:rFonts w:asciiTheme="minorHAnsi" w:eastAsiaTheme="majorEastAsia" w:hAnsiTheme="minorHAnsi" w:cstheme="minorBidi"/>
        </w:rPr>
        <w:t xml:space="preserve"> unintentionally reinforcing the same racial logics that legitimised the </w:t>
      </w:r>
      <w:r w:rsidR="00615AC5" w:rsidRPr="5881D68B">
        <w:rPr>
          <w:rStyle w:val="normaltextrun"/>
          <w:rFonts w:asciiTheme="minorHAnsi" w:eastAsiaTheme="majorEastAsia" w:hAnsiTheme="minorHAnsi" w:cstheme="minorBidi"/>
        </w:rPr>
        <w:t xml:space="preserve">dehumanisation of people by transforming them </w:t>
      </w:r>
      <w:r w:rsidRPr="5881D68B">
        <w:rPr>
          <w:rStyle w:val="normaltextrun"/>
          <w:rFonts w:asciiTheme="minorHAnsi" w:eastAsiaTheme="majorEastAsia" w:hAnsiTheme="minorHAnsi" w:cstheme="minorBidi"/>
        </w:rPr>
        <w:t>into property</w:t>
      </w:r>
      <w:r w:rsidR="008D3349" w:rsidRPr="5881D68B">
        <w:rPr>
          <w:rStyle w:val="normaltextrun"/>
          <w:rFonts w:asciiTheme="minorHAnsi" w:eastAsiaTheme="majorEastAsia" w:hAnsiTheme="minorHAnsi" w:cstheme="minorBidi"/>
        </w:rPr>
        <w:t xml:space="preserve"> </w:t>
      </w:r>
      <w:r w:rsidR="005F5C1E" w:rsidRPr="5881D68B">
        <w:rPr>
          <w:rStyle w:val="normaltextrun"/>
          <w:rFonts w:asciiTheme="minorHAnsi" w:eastAsiaTheme="majorEastAsia" w:hAnsiTheme="minorHAnsi" w:cstheme="minorBidi"/>
        </w:rPr>
        <w:t>as measurable</w:t>
      </w:r>
      <w:r w:rsidRPr="5881D68B">
        <w:rPr>
          <w:rStyle w:val="normaltextrun"/>
          <w:rFonts w:asciiTheme="minorHAnsi" w:eastAsiaTheme="majorEastAsia" w:hAnsiTheme="minorHAnsi" w:cstheme="minorBidi"/>
        </w:rPr>
        <w:t xml:space="preserve"> units of labour</w:t>
      </w:r>
      <w:r w:rsidR="007D4AC9" w:rsidRPr="5881D68B">
        <w:rPr>
          <w:rStyle w:val="normaltextrun"/>
          <w:rFonts w:asciiTheme="minorHAnsi" w:eastAsiaTheme="majorEastAsia" w:hAnsiTheme="minorHAnsi" w:cstheme="minorBidi"/>
        </w:rPr>
        <w:t>. While unsettling</w:t>
      </w:r>
      <w:r w:rsidRPr="5881D68B">
        <w:rPr>
          <w:rStyle w:val="normaltextrun"/>
          <w:rFonts w:asciiTheme="minorHAnsi" w:eastAsiaTheme="majorEastAsia" w:hAnsiTheme="minorHAnsi" w:cstheme="minorBidi"/>
        </w:rPr>
        <w:t xml:space="preserve">, </w:t>
      </w:r>
      <w:r w:rsidR="008E057D" w:rsidRPr="5881D68B">
        <w:rPr>
          <w:rStyle w:val="normaltextrun"/>
          <w:rFonts w:asciiTheme="minorHAnsi" w:eastAsiaTheme="majorEastAsia" w:hAnsiTheme="minorHAnsi" w:cstheme="minorBidi"/>
        </w:rPr>
        <w:t xml:space="preserve">it is nonetheless important to </w:t>
      </w:r>
      <w:r w:rsidRPr="5881D68B">
        <w:rPr>
          <w:rStyle w:val="normaltextrun"/>
          <w:rFonts w:asciiTheme="minorHAnsi" w:eastAsiaTheme="majorEastAsia" w:hAnsiTheme="minorHAnsi" w:cstheme="minorBidi"/>
        </w:rPr>
        <w:t>investigat</w:t>
      </w:r>
      <w:r w:rsidR="008E057D" w:rsidRPr="5881D68B">
        <w:rPr>
          <w:rStyle w:val="normaltextrun"/>
          <w:rFonts w:asciiTheme="minorHAnsi" w:eastAsiaTheme="majorEastAsia" w:hAnsiTheme="minorHAnsi" w:cstheme="minorBidi"/>
        </w:rPr>
        <w:t>e</w:t>
      </w:r>
      <w:r w:rsidRPr="5881D68B">
        <w:rPr>
          <w:rStyle w:val="normaltextrun"/>
          <w:rFonts w:asciiTheme="minorHAnsi" w:eastAsiaTheme="majorEastAsia" w:hAnsiTheme="minorHAnsi" w:cstheme="minorBidi"/>
        </w:rPr>
        <w:t xml:space="preserve"> exactly what </w:t>
      </w:r>
      <w:r w:rsidR="00303EF9" w:rsidRPr="5881D68B">
        <w:rPr>
          <w:rStyle w:val="normaltextrun"/>
          <w:rFonts w:asciiTheme="minorHAnsi" w:eastAsiaTheme="majorEastAsia" w:hAnsiTheme="minorHAnsi" w:cstheme="minorBidi"/>
        </w:rPr>
        <w:t xml:space="preserve">the </w:t>
      </w:r>
      <w:r w:rsidR="00A27530" w:rsidRPr="5881D68B">
        <w:rPr>
          <w:rStyle w:val="normaltextrun"/>
          <w:rFonts w:asciiTheme="minorHAnsi" w:eastAsiaTheme="majorEastAsia" w:hAnsiTheme="minorHAnsi" w:cstheme="minorBidi"/>
        </w:rPr>
        <w:t>University</w:t>
      </w:r>
      <w:r w:rsidR="00303EF9" w:rsidRPr="5881D68B">
        <w:rPr>
          <w:rStyle w:val="normaltextrun"/>
          <w:rFonts w:asciiTheme="minorHAnsi" w:eastAsiaTheme="majorEastAsia" w:hAnsiTheme="minorHAnsi" w:cstheme="minorBidi"/>
        </w:rPr>
        <w:t>’s</w:t>
      </w:r>
      <w:r w:rsidR="00A27530" w:rsidRPr="5881D68B">
        <w:rPr>
          <w:rStyle w:val="normaltextrun"/>
          <w:rFonts w:asciiTheme="minorHAnsi" w:eastAsiaTheme="majorEastAsia" w:hAnsiTheme="minorHAnsi" w:cstheme="minorBidi"/>
        </w:rPr>
        <w:t xml:space="preserve"> </w:t>
      </w:r>
      <w:r w:rsidR="008605D1" w:rsidRPr="5881D68B">
        <w:rPr>
          <w:rStyle w:val="normaltextrun"/>
          <w:rFonts w:asciiTheme="minorHAnsi" w:eastAsiaTheme="majorEastAsia" w:hAnsiTheme="minorHAnsi" w:cstheme="minorBidi"/>
        </w:rPr>
        <w:t xml:space="preserve">professors, alumni, chancellors, principals, </w:t>
      </w:r>
      <w:r w:rsidRPr="5881D68B">
        <w:rPr>
          <w:rStyle w:val="normaltextrun"/>
          <w:rFonts w:asciiTheme="minorHAnsi" w:eastAsiaTheme="majorEastAsia" w:hAnsiTheme="minorHAnsi" w:cstheme="minorBidi"/>
        </w:rPr>
        <w:t>benefactors and their associates and representatives said and did</w:t>
      </w:r>
      <w:r w:rsidR="00303EF9" w:rsidRPr="5881D68B">
        <w:rPr>
          <w:rStyle w:val="normaltextrun"/>
          <w:rFonts w:asciiTheme="minorHAnsi" w:eastAsiaTheme="majorEastAsia" w:hAnsiTheme="minorHAnsi" w:cstheme="minorBidi"/>
        </w:rPr>
        <w:t>. This</w:t>
      </w:r>
      <w:r w:rsidR="008E057D" w:rsidRPr="5881D68B">
        <w:rPr>
          <w:rStyle w:val="normaltextrun"/>
          <w:rFonts w:asciiTheme="minorHAnsi" w:eastAsiaTheme="majorEastAsia" w:hAnsiTheme="minorHAnsi" w:cstheme="minorBidi"/>
        </w:rPr>
        <w:t xml:space="preserve"> </w:t>
      </w:r>
      <w:r w:rsidR="00303774" w:rsidRPr="5881D68B">
        <w:rPr>
          <w:rStyle w:val="normaltextrun"/>
          <w:rFonts w:asciiTheme="minorHAnsi" w:eastAsiaTheme="majorEastAsia" w:hAnsiTheme="minorHAnsi" w:cstheme="minorBidi"/>
        </w:rPr>
        <w:t xml:space="preserve">represents a </w:t>
      </w:r>
      <w:r w:rsidRPr="5881D68B">
        <w:rPr>
          <w:rStyle w:val="normaltextrun"/>
          <w:rFonts w:asciiTheme="minorHAnsi" w:eastAsiaTheme="majorEastAsia" w:hAnsiTheme="minorHAnsi" w:cstheme="minorBidi"/>
        </w:rPr>
        <w:t xml:space="preserve">reliable route </w:t>
      </w:r>
      <w:r w:rsidR="00303774" w:rsidRPr="5881D68B">
        <w:rPr>
          <w:rStyle w:val="normaltextrun"/>
          <w:rFonts w:asciiTheme="minorHAnsi" w:eastAsiaTheme="majorEastAsia" w:hAnsiTheme="minorHAnsi" w:cstheme="minorBidi"/>
        </w:rPr>
        <w:t>to</w:t>
      </w:r>
      <w:r w:rsidRPr="5881D68B">
        <w:rPr>
          <w:rStyle w:val="normaltextrun"/>
          <w:rFonts w:asciiTheme="minorHAnsi" w:eastAsiaTheme="majorEastAsia" w:hAnsiTheme="minorHAnsi" w:cstheme="minorBidi"/>
        </w:rPr>
        <w:t xml:space="preserve"> understanding the institution’s </w:t>
      </w:r>
      <w:r w:rsidR="008E057D" w:rsidRPr="5881D68B">
        <w:rPr>
          <w:rStyle w:val="normaltextrun"/>
          <w:rFonts w:asciiTheme="minorHAnsi" w:eastAsiaTheme="majorEastAsia" w:hAnsiTheme="minorHAnsi" w:cstheme="minorBidi"/>
        </w:rPr>
        <w:t>l</w:t>
      </w:r>
      <w:r w:rsidRPr="5881D68B">
        <w:rPr>
          <w:rStyle w:val="normaltextrun"/>
          <w:rFonts w:asciiTheme="minorHAnsi" w:eastAsiaTheme="majorEastAsia" w:hAnsiTheme="minorHAnsi" w:cstheme="minorBidi"/>
        </w:rPr>
        <w:t>inks to enslavement</w:t>
      </w:r>
      <w:r w:rsidR="008E057D" w:rsidRPr="5881D68B">
        <w:rPr>
          <w:rStyle w:val="normaltextrun"/>
          <w:rFonts w:asciiTheme="minorHAnsi" w:eastAsiaTheme="majorEastAsia" w:hAnsiTheme="minorHAnsi" w:cstheme="minorBidi"/>
        </w:rPr>
        <w:t>,</w:t>
      </w:r>
      <w:r w:rsidRPr="5881D68B">
        <w:rPr>
          <w:rStyle w:val="normaltextrun"/>
          <w:rFonts w:asciiTheme="minorHAnsi" w:eastAsiaTheme="majorEastAsia" w:hAnsiTheme="minorHAnsi" w:cstheme="minorBidi"/>
        </w:rPr>
        <w:t xml:space="preserve"> colonialism</w:t>
      </w:r>
      <w:r w:rsidR="008E057D" w:rsidRPr="5881D68B">
        <w:rPr>
          <w:rStyle w:val="normaltextrun"/>
          <w:rFonts w:asciiTheme="minorHAnsi" w:eastAsiaTheme="majorEastAsia" w:hAnsiTheme="minorHAnsi" w:cstheme="minorBidi"/>
        </w:rPr>
        <w:t xml:space="preserve"> and</w:t>
      </w:r>
      <w:r w:rsidR="008605D1" w:rsidRPr="5881D68B">
        <w:rPr>
          <w:rStyle w:val="normaltextrun"/>
          <w:rFonts w:asciiTheme="minorHAnsi" w:eastAsiaTheme="majorEastAsia" w:hAnsiTheme="minorHAnsi" w:cstheme="minorBidi"/>
        </w:rPr>
        <w:t xml:space="preserve"> the development of </w:t>
      </w:r>
      <w:r w:rsidR="008E057D" w:rsidRPr="5881D68B">
        <w:rPr>
          <w:rStyle w:val="normaltextrun"/>
          <w:rFonts w:asciiTheme="minorHAnsi" w:eastAsiaTheme="majorEastAsia" w:hAnsiTheme="minorHAnsi" w:cstheme="minorBidi"/>
        </w:rPr>
        <w:t>racial thought</w:t>
      </w:r>
      <w:r w:rsidRPr="5881D68B">
        <w:rPr>
          <w:rStyle w:val="normaltextrun"/>
          <w:rFonts w:asciiTheme="minorHAnsi" w:eastAsiaTheme="majorEastAsia" w:hAnsiTheme="minorHAnsi" w:cstheme="minorBidi"/>
        </w:rPr>
        <w:t xml:space="preserve">. Importantly, the inclusion of such detail helps us to situate historical subjects within their </w:t>
      </w:r>
      <w:r w:rsidRPr="5881D68B">
        <w:rPr>
          <w:rStyle w:val="normaltextrun"/>
          <w:rFonts w:asciiTheme="minorHAnsi" w:eastAsiaTheme="majorEastAsia" w:hAnsiTheme="minorHAnsi" w:cstheme="minorBidi"/>
        </w:rPr>
        <w:lastRenderedPageBreak/>
        <w:t>proper context, particularly the racial and imperial ideologies of the times and societies in which they lived</w:t>
      </w:r>
      <w:r w:rsidR="008605D1" w:rsidRPr="5881D68B">
        <w:rPr>
          <w:rStyle w:val="normaltextrun"/>
          <w:rFonts w:asciiTheme="minorHAnsi" w:eastAsiaTheme="majorEastAsia" w:hAnsiTheme="minorHAnsi" w:cstheme="minorBidi"/>
        </w:rPr>
        <w:t xml:space="preserve"> and worked</w:t>
      </w:r>
      <w:r w:rsidRPr="5881D68B">
        <w:rPr>
          <w:rStyle w:val="normaltextrun"/>
          <w:rFonts w:asciiTheme="minorHAnsi" w:eastAsiaTheme="majorEastAsia" w:hAnsiTheme="minorHAnsi" w:cstheme="minorBidi"/>
        </w:rPr>
        <w:t>. The approach taken here has</w:t>
      </w:r>
      <w:r w:rsidR="00AE718D" w:rsidRPr="5881D68B">
        <w:rPr>
          <w:rStyle w:val="normaltextrun"/>
          <w:rFonts w:asciiTheme="minorHAnsi" w:eastAsiaTheme="majorEastAsia" w:hAnsiTheme="minorHAnsi" w:cstheme="minorBidi"/>
        </w:rPr>
        <w:t xml:space="preserve"> therefore</w:t>
      </w:r>
      <w:r w:rsidRPr="5881D68B">
        <w:rPr>
          <w:rStyle w:val="normaltextrun"/>
          <w:rFonts w:asciiTheme="minorHAnsi" w:eastAsiaTheme="majorEastAsia" w:hAnsiTheme="minorHAnsi" w:cstheme="minorBidi"/>
        </w:rPr>
        <w:t xml:space="preserve"> been to look at sources on a case-by-case basis </w:t>
      </w:r>
      <w:r w:rsidR="008605D1" w:rsidRPr="5881D68B">
        <w:rPr>
          <w:rStyle w:val="normaltextrun"/>
          <w:rFonts w:asciiTheme="minorHAnsi" w:eastAsiaTheme="majorEastAsia" w:hAnsiTheme="minorHAnsi" w:cstheme="minorBidi"/>
        </w:rPr>
        <w:t xml:space="preserve">and </w:t>
      </w:r>
      <w:r w:rsidRPr="5881D68B">
        <w:rPr>
          <w:rStyle w:val="normaltextrun"/>
          <w:rFonts w:asciiTheme="minorHAnsi" w:eastAsiaTheme="majorEastAsia" w:hAnsiTheme="minorHAnsi" w:cstheme="minorBidi"/>
        </w:rPr>
        <w:t xml:space="preserve">assess the relative value which their reproduction might have towards </w:t>
      </w:r>
      <w:r w:rsidR="00AE718D" w:rsidRPr="5881D68B">
        <w:rPr>
          <w:rStyle w:val="normaltextrun"/>
          <w:rFonts w:asciiTheme="minorHAnsi" w:eastAsiaTheme="majorEastAsia" w:hAnsiTheme="minorHAnsi" w:cstheme="minorBidi"/>
        </w:rPr>
        <w:t>the</w:t>
      </w:r>
      <w:r w:rsidRPr="5881D68B">
        <w:rPr>
          <w:rStyle w:val="normaltextrun"/>
          <w:rFonts w:asciiTheme="minorHAnsi" w:eastAsiaTheme="majorEastAsia" w:hAnsiTheme="minorHAnsi" w:cstheme="minorBidi"/>
        </w:rPr>
        <w:t xml:space="preserve"> overall analysis. </w:t>
      </w:r>
    </w:p>
    <w:p w14:paraId="0FB8927E" w14:textId="50C9A666" w:rsidR="00773F7C" w:rsidRPr="005067DE" w:rsidRDefault="009B6D68" w:rsidP="00057638">
      <w:pPr>
        <w:pStyle w:val="paragraph"/>
        <w:spacing w:before="0" w:beforeAutospacing="0" w:after="0" w:afterAutospacing="0" w:line="259" w:lineRule="auto"/>
        <w:ind w:firstLine="720"/>
        <w:textAlignment w:val="baseline"/>
        <w:rPr>
          <w:rFonts w:asciiTheme="minorHAnsi" w:eastAsiaTheme="majorEastAsia" w:hAnsiTheme="minorHAnsi" w:cstheme="minorHAnsi"/>
        </w:rPr>
      </w:pPr>
      <w:r w:rsidRPr="009B6D68">
        <w:rPr>
          <w:rStyle w:val="normaltextrun"/>
          <w:rFonts w:asciiTheme="minorHAnsi" w:eastAsiaTheme="majorEastAsia" w:hAnsiTheme="minorHAnsi" w:cstheme="minorHAnsi"/>
        </w:rPr>
        <w:t xml:space="preserve">Truth-telling, though vital to the task of explaining both our past and present, is never without its complications; not least for those who continue to live with the ongoing legacies of </w:t>
      </w:r>
      <w:r w:rsidR="00AE718D">
        <w:rPr>
          <w:rStyle w:val="normaltextrun"/>
          <w:rFonts w:asciiTheme="minorHAnsi" w:eastAsiaTheme="majorEastAsia" w:hAnsiTheme="minorHAnsi" w:cstheme="minorHAnsi"/>
        </w:rPr>
        <w:t>enslavement</w:t>
      </w:r>
      <w:r w:rsidRPr="009B6D68">
        <w:rPr>
          <w:rStyle w:val="normaltextrun"/>
          <w:rFonts w:asciiTheme="minorHAnsi" w:eastAsiaTheme="majorEastAsia" w:hAnsiTheme="minorHAnsi" w:cstheme="minorHAnsi"/>
        </w:rPr>
        <w:t xml:space="preserve"> and colonialism in the present. </w:t>
      </w:r>
      <w:r w:rsidR="005067DE">
        <w:rPr>
          <w:rStyle w:val="normaltextrun"/>
          <w:rFonts w:asciiTheme="minorHAnsi" w:eastAsiaTheme="majorEastAsia" w:hAnsiTheme="minorHAnsi" w:cstheme="minorHAnsi"/>
        </w:rPr>
        <w:t xml:space="preserve">But </w:t>
      </w:r>
      <w:r w:rsidR="005067DE">
        <w:rPr>
          <w:rFonts w:ascii="Calibri" w:eastAsia="Calibri" w:hAnsi="Calibri" w:cs="Calibri"/>
          <w:color w:val="000000" w:themeColor="text1"/>
        </w:rPr>
        <w:t>the</w:t>
      </w:r>
      <w:r w:rsidR="00773F7C" w:rsidRPr="0017357E">
        <w:rPr>
          <w:rFonts w:ascii="Calibri" w:eastAsia="Calibri" w:hAnsi="Calibri" w:cs="Calibri"/>
          <w:color w:val="000000" w:themeColor="text1"/>
        </w:rPr>
        <w:t xml:space="preserve"> purpose of the Decolonised Transformations Project has been to generate the evidence needed to identify a clear path for</w:t>
      </w:r>
      <w:r w:rsidR="00303EF9">
        <w:rPr>
          <w:rFonts w:ascii="Calibri" w:eastAsia="Calibri" w:hAnsi="Calibri" w:cs="Calibri"/>
          <w:color w:val="000000" w:themeColor="text1"/>
        </w:rPr>
        <w:t xml:space="preserve"> the</w:t>
      </w:r>
      <w:r w:rsidR="00773F7C" w:rsidRPr="0017357E">
        <w:rPr>
          <w:rFonts w:ascii="Calibri" w:eastAsia="Calibri" w:hAnsi="Calibri" w:cs="Calibri"/>
          <w:color w:val="000000" w:themeColor="text1"/>
        </w:rPr>
        <w:t xml:space="preserve"> </w:t>
      </w:r>
      <w:r w:rsidR="00A27530">
        <w:rPr>
          <w:rFonts w:ascii="Calibri" w:eastAsia="Calibri" w:hAnsi="Calibri" w:cs="Calibri"/>
          <w:color w:val="000000" w:themeColor="text1"/>
        </w:rPr>
        <w:t>University of Edinburgh</w:t>
      </w:r>
      <w:r w:rsidR="00773F7C" w:rsidRPr="0017357E">
        <w:rPr>
          <w:rFonts w:ascii="Calibri" w:eastAsia="Calibri" w:hAnsi="Calibri" w:cs="Calibri"/>
          <w:color w:val="000000" w:themeColor="text1"/>
        </w:rPr>
        <w:t xml:space="preserve"> to begin acknowledging, addressing and repairing its</w:t>
      </w:r>
      <w:r w:rsidR="00303EF9">
        <w:rPr>
          <w:rFonts w:ascii="Calibri" w:eastAsia="Calibri" w:hAnsi="Calibri" w:cs="Calibri"/>
          <w:color w:val="000000" w:themeColor="text1"/>
        </w:rPr>
        <w:t xml:space="preserve"> imperial</w:t>
      </w:r>
      <w:r w:rsidR="00773F7C" w:rsidRPr="0017357E">
        <w:rPr>
          <w:rFonts w:ascii="Calibri" w:eastAsia="Calibri" w:hAnsi="Calibri" w:cs="Calibri"/>
          <w:color w:val="000000" w:themeColor="text1"/>
        </w:rPr>
        <w:t xml:space="preserve"> legacies. Throughout this process, we have recognised that any meaningful decolonial and reparatory approach leading to</w:t>
      </w:r>
      <w:r w:rsidR="00303EF9">
        <w:rPr>
          <w:rFonts w:ascii="Calibri" w:eastAsia="Calibri" w:hAnsi="Calibri" w:cs="Calibri"/>
          <w:color w:val="000000" w:themeColor="text1"/>
        </w:rPr>
        <w:t xml:space="preserve"> recommendations and then</w:t>
      </w:r>
      <w:r w:rsidR="00773F7C" w:rsidRPr="0017357E">
        <w:rPr>
          <w:rFonts w:ascii="Calibri" w:eastAsia="Calibri" w:hAnsi="Calibri" w:cs="Calibri"/>
          <w:color w:val="000000" w:themeColor="text1"/>
        </w:rPr>
        <w:t xml:space="preserve"> action is predicated on a full and proper engagement with communities of reparatory justice interest in dialogue with the wider </w:t>
      </w:r>
      <w:r w:rsidR="002E7130">
        <w:rPr>
          <w:rFonts w:ascii="Calibri" w:eastAsia="Calibri" w:hAnsi="Calibri" w:cs="Calibri"/>
          <w:color w:val="000000" w:themeColor="text1"/>
        </w:rPr>
        <w:t>U</w:t>
      </w:r>
      <w:r w:rsidR="00773F7C" w:rsidRPr="0017357E">
        <w:rPr>
          <w:rFonts w:ascii="Calibri" w:eastAsia="Calibri" w:hAnsi="Calibri" w:cs="Calibri"/>
          <w:color w:val="000000" w:themeColor="text1"/>
        </w:rPr>
        <w:t xml:space="preserve">niversity community. Ultimately, </w:t>
      </w:r>
      <w:r w:rsidR="00A82E47">
        <w:rPr>
          <w:rFonts w:ascii="Calibri" w:eastAsia="Calibri" w:hAnsi="Calibri" w:cs="Calibri"/>
          <w:color w:val="000000" w:themeColor="text1"/>
        </w:rPr>
        <w:t>this review aims</w:t>
      </w:r>
      <w:r w:rsidR="00773F7C" w:rsidRPr="0017357E">
        <w:rPr>
          <w:rFonts w:ascii="Calibri" w:eastAsia="Calibri" w:hAnsi="Calibri" w:cs="Calibri"/>
          <w:color w:val="000000" w:themeColor="text1"/>
        </w:rPr>
        <w:t xml:space="preserve"> to provide a pathway for cultural change within </w:t>
      </w:r>
      <w:r w:rsidR="002E7130">
        <w:rPr>
          <w:rFonts w:ascii="Calibri" w:eastAsia="Calibri" w:hAnsi="Calibri" w:cs="Calibri"/>
          <w:color w:val="000000" w:themeColor="text1"/>
        </w:rPr>
        <w:t>our</w:t>
      </w:r>
      <w:r w:rsidR="00773F7C" w:rsidRPr="0017357E">
        <w:rPr>
          <w:rFonts w:ascii="Calibri" w:eastAsia="Calibri" w:hAnsi="Calibri" w:cs="Calibri"/>
          <w:color w:val="000000" w:themeColor="text1"/>
        </w:rPr>
        <w:t xml:space="preserve"> institution</w:t>
      </w:r>
      <w:r w:rsidR="002E7130">
        <w:rPr>
          <w:rFonts w:ascii="Calibri" w:eastAsia="Calibri" w:hAnsi="Calibri" w:cs="Calibri"/>
          <w:color w:val="000000" w:themeColor="text1"/>
        </w:rPr>
        <w:t>; one that is</w:t>
      </w:r>
      <w:r w:rsidR="00773F7C" w:rsidRPr="0017357E">
        <w:rPr>
          <w:rFonts w:ascii="Calibri" w:eastAsia="Calibri" w:hAnsi="Calibri" w:cs="Calibri"/>
          <w:color w:val="000000" w:themeColor="text1"/>
        </w:rPr>
        <w:t xml:space="preserve"> premised on accountability and progression towards the goals of reparatory justice, decoloniality and diversification. </w:t>
      </w:r>
    </w:p>
    <w:p w14:paraId="70EDFED2" w14:textId="5F3CAD20" w:rsidR="00773F7C" w:rsidRPr="0017357E" w:rsidRDefault="00773F7C" w:rsidP="00057638">
      <w:pPr>
        <w:spacing w:line="259" w:lineRule="auto"/>
        <w:ind w:firstLine="720"/>
        <w:rPr>
          <w:rFonts w:ascii="Calibri" w:eastAsia="Calibri" w:hAnsi="Calibri" w:cs="Calibri"/>
          <w:color w:val="000000" w:themeColor="text1"/>
        </w:rPr>
      </w:pPr>
    </w:p>
    <w:p w14:paraId="781EF050" w14:textId="4A696525" w:rsidR="00773F7C" w:rsidRPr="0017357E" w:rsidRDefault="00773F7C" w:rsidP="00016E93">
      <w:pPr>
        <w:spacing w:line="259" w:lineRule="auto"/>
        <w:rPr>
          <w:rFonts w:ascii="Calibri" w:eastAsia="Calibri" w:hAnsi="Calibri" w:cs="Calibri"/>
          <w:color w:val="000000" w:themeColor="text1"/>
        </w:rPr>
      </w:pPr>
      <w:r w:rsidRPr="0017357E">
        <w:rPr>
          <w:rFonts w:ascii="Calibri" w:eastAsia="Calibri" w:hAnsi="Calibri" w:cs="Calibri"/>
          <w:color w:val="000000" w:themeColor="text1"/>
        </w:rPr>
        <w:br w:type="page"/>
      </w:r>
    </w:p>
    <w:p w14:paraId="34E1D64B" w14:textId="579BF57E" w:rsidR="00773F7C" w:rsidRPr="00DE72A7" w:rsidRDefault="00A3703D" w:rsidP="00DE72A7">
      <w:pPr>
        <w:pStyle w:val="Heading1"/>
      </w:pPr>
      <w:bookmarkStart w:id="11" w:name="_Toc157238063"/>
      <w:bookmarkStart w:id="12" w:name="_Toc190939400"/>
      <w:bookmarkStart w:id="13" w:name="_Toc202627083"/>
      <w:r w:rsidRPr="00DE72A7">
        <w:lastRenderedPageBreak/>
        <w:t xml:space="preserve">Part 1: </w:t>
      </w:r>
      <w:r w:rsidR="00394F68" w:rsidRPr="00DE72A7">
        <w:t xml:space="preserve">Review of </w:t>
      </w:r>
      <w:bookmarkEnd w:id="11"/>
      <w:r w:rsidR="00394F68" w:rsidRPr="00DE72A7">
        <w:t>Work in Equivalent Institutions</w:t>
      </w:r>
      <w:bookmarkEnd w:id="12"/>
      <w:bookmarkEnd w:id="13"/>
    </w:p>
    <w:p w14:paraId="3CD67BAD" w14:textId="52D924AA" w:rsidR="00773F7C" w:rsidRPr="0017357E" w:rsidRDefault="00773F7C" w:rsidP="00016E93">
      <w:pPr>
        <w:spacing w:line="259" w:lineRule="auto"/>
        <w:rPr>
          <w:rFonts w:ascii="Calibri" w:eastAsia="Calibri" w:hAnsi="Calibri" w:cs="Calibri"/>
          <w:color w:val="000000" w:themeColor="text1"/>
        </w:rPr>
      </w:pPr>
    </w:p>
    <w:p w14:paraId="05F7BC2E" w14:textId="482EEF1B" w:rsidR="00773F7C" w:rsidRPr="0017357E" w:rsidRDefault="00773F7C" w:rsidP="00016E93">
      <w:pPr>
        <w:spacing w:line="259" w:lineRule="auto"/>
        <w:jc w:val="both"/>
        <w:rPr>
          <w:rFonts w:ascii="Calibri" w:eastAsia="Calibri" w:hAnsi="Calibri" w:cs="Calibri"/>
          <w:color w:val="000000" w:themeColor="text1"/>
        </w:rPr>
      </w:pPr>
    </w:p>
    <w:p w14:paraId="2EFEDA64" w14:textId="518FE7D1" w:rsidR="00773F7C" w:rsidRPr="00095492" w:rsidRDefault="00773F7C" w:rsidP="00057638">
      <w:pPr>
        <w:spacing w:line="259" w:lineRule="auto"/>
        <w:rPr>
          <w:rFonts w:ascii="Calibri" w:eastAsia="Calibri" w:hAnsi="Calibri" w:cs="Calibri"/>
          <w:color w:val="000000" w:themeColor="text1"/>
          <w:vertAlign w:val="superscript"/>
        </w:rPr>
      </w:pPr>
      <w:r w:rsidRPr="0017357E">
        <w:rPr>
          <w:rFonts w:ascii="Calibri" w:eastAsia="Calibri" w:hAnsi="Calibri" w:cs="Calibri"/>
          <w:color w:val="000000" w:themeColor="text1"/>
        </w:rPr>
        <w:t xml:space="preserve">The move to bring about deep institutional reflection and change within the higher education sector has been propelled by many years of campaigning by grassroots communities of reparatory justice interest, students-led organisations, scholar-activists and willing academics. Within </w:t>
      </w:r>
      <w:r w:rsidR="0017076D">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sidRPr="0017357E">
        <w:rPr>
          <w:rFonts w:ascii="Calibri" w:eastAsia="Calibri" w:hAnsi="Calibri" w:cs="Calibri"/>
          <w:color w:val="000000" w:themeColor="text1"/>
        </w:rPr>
        <w:t xml:space="preserve">, examples include the student-led </w:t>
      </w:r>
      <w:hyperlink r:id="rId45">
        <w:r w:rsidRPr="0017357E">
          <w:rPr>
            <w:rStyle w:val="Hyperlink"/>
            <w:rFonts w:ascii="Calibri" w:eastAsia="Calibri" w:hAnsi="Calibri" w:cs="Calibri"/>
            <w:color w:val="000000" w:themeColor="text1"/>
          </w:rPr>
          <w:t>BlackEd Movement</w:t>
        </w:r>
      </w:hyperlink>
      <w:r w:rsidRPr="0017357E">
        <w:rPr>
          <w:rFonts w:ascii="Calibri" w:eastAsia="Calibri" w:hAnsi="Calibri" w:cs="Calibri"/>
          <w:color w:val="000000" w:themeColor="text1"/>
        </w:rPr>
        <w:t xml:space="preserve">, networks such as the </w:t>
      </w:r>
      <w:hyperlink r:id="rId46">
        <w:r w:rsidRPr="0017357E">
          <w:rPr>
            <w:rStyle w:val="Hyperlink"/>
            <w:rFonts w:ascii="Calibri" w:eastAsia="Calibri" w:hAnsi="Calibri" w:cs="Calibri"/>
            <w:color w:val="000000" w:themeColor="text1"/>
          </w:rPr>
          <w:t>International Network of Scholars and Activists for Afrikan Reparations</w:t>
        </w:r>
      </w:hyperlink>
      <w:r w:rsidRPr="0017357E">
        <w:rPr>
          <w:rFonts w:ascii="Calibri" w:eastAsia="Calibri" w:hAnsi="Calibri" w:cs="Calibri"/>
          <w:color w:val="000000" w:themeColor="text1"/>
        </w:rPr>
        <w:t xml:space="preserve"> (INOSAAR) which held the first conference on reparations for African enslavement at </w:t>
      </w:r>
      <w:r w:rsidR="00A27530">
        <w:rPr>
          <w:rFonts w:ascii="Calibri" w:eastAsia="Calibri" w:hAnsi="Calibri" w:cs="Calibri"/>
          <w:color w:val="000000" w:themeColor="text1"/>
        </w:rPr>
        <w:t>University of Edinburgh</w:t>
      </w:r>
      <w:r w:rsidRPr="0017357E">
        <w:rPr>
          <w:rFonts w:ascii="Calibri" w:eastAsia="Calibri" w:hAnsi="Calibri" w:cs="Calibri"/>
          <w:color w:val="000000" w:themeColor="text1"/>
        </w:rPr>
        <w:t xml:space="preserve"> in 2015, and staff groups such as the </w:t>
      </w:r>
      <w:hyperlink r:id="rId47">
        <w:r w:rsidRPr="0017357E">
          <w:rPr>
            <w:rStyle w:val="Hyperlink"/>
            <w:rFonts w:ascii="Calibri" w:eastAsia="Calibri" w:hAnsi="Calibri" w:cs="Calibri"/>
            <w:color w:val="000000" w:themeColor="text1"/>
          </w:rPr>
          <w:t>Edinburgh Race Equality Network</w:t>
        </w:r>
      </w:hyperlink>
      <w:r w:rsidRPr="0017357E">
        <w:rPr>
          <w:rFonts w:ascii="Calibri" w:eastAsia="Calibri" w:hAnsi="Calibri" w:cs="Calibri"/>
          <w:color w:val="000000" w:themeColor="text1"/>
        </w:rPr>
        <w:t xml:space="preserve"> (EREN) and </w:t>
      </w:r>
      <w:hyperlink r:id="rId48">
        <w:r w:rsidRPr="0017357E">
          <w:rPr>
            <w:rStyle w:val="Hyperlink"/>
            <w:rFonts w:ascii="Calibri" w:eastAsia="Calibri" w:hAnsi="Calibri" w:cs="Calibri"/>
            <w:color w:val="000000" w:themeColor="text1"/>
          </w:rPr>
          <w:t>RaceEd</w:t>
        </w:r>
      </w:hyperlink>
      <w:r w:rsidRPr="0017357E">
        <w:rPr>
          <w:rFonts w:ascii="Calibri" w:eastAsia="Calibri" w:hAnsi="Calibri" w:cs="Calibri"/>
          <w:color w:val="000000" w:themeColor="text1"/>
        </w:rPr>
        <w:t>.</w:t>
      </w:r>
      <w:r w:rsidRPr="0017357E">
        <w:rPr>
          <w:rStyle w:val="FootnoteReference"/>
          <w:rFonts w:ascii="Calibri" w:eastAsia="Calibri" w:hAnsi="Calibri" w:cs="Calibri"/>
          <w:color w:val="000000" w:themeColor="text1"/>
        </w:rPr>
        <w:footnoteReference w:id="11"/>
      </w:r>
      <w:r w:rsidR="00095492">
        <w:rPr>
          <w:rFonts w:ascii="Calibri" w:eastAsia="Calibri" w:hAnsi="Calibri" w:cs="Calibri"/>
          <w:color w:val="000000" w:themeColor="text1"/>
        </w:rPr>
        <w:t xml:space="preserve"> </w:t>
      </w:r>
      <w:r w:rsidRPr="0017357E">
        <w:rPr>
          <w:rFonts w:ascii="Calibri" w:eastAsia="Calibri" w:hAnsi="Calibri" w:cs="Calibri"/>
          <w:color w:val="000000" w:themeColor="text1"/>
        </w:rPr>
        <w:t xml:space="preserve">Coalitions such as these are part of a broader movement to push UK higher education institutions (HEIs) towards paying closer attention to their historical involvement in </w:t>
      </w:r>
      <w:r w:rsidR="00DA0395">
        <w:rPr>
          <w:rFonts w:ascii="Calibri" w:eastAsia="Calibri" w:hAnsi="Calibri" w:cs="Calibri"/>
          <w:color w:val="000000" w:themeColor="text1"/>
        </w:rPr>
        <w:t>enslavement</w:t>
      </w:r>
      <w:r w:rsidRPr="0017357E">
        <w:rPr>
          <w:rFonts w:ascii="Calibri" w:eastAsia="Calibri" w:hAnsi="Calibri" w:cs="Calibri"/>
          <w:color w:val="000000" w:themeColor="text1"/>
        </w:rPr>
        <w:t xml:space="preserve"> and colonialism. This has led many to ask about the kinds of actions needed to address the longstanding effects of these histories on racially/ethnically minoritised communities today. As outline</w:t>
      </w:r>
      <w:r w:rsidR="00DA0395">
        <w:rPr>
          <w:rFonts w:ascii="Calibri" w:eastAsia="Calibri" w:hAnsi="Calibri" w:cs="Calibri"/>
          <w:color w:val="000000" w:themeColor="text1"/>
        </w:rPr>
        <w:t>d</w:t>
      </w:r>
      <w:r w:rsidRPr="0017357E">
        <w:rPr>
          <w:rFonts w:ascii="Calibri" w:eastAsia="Calibri" w:hAnsi="Calibri" w:cs="Calibri"/>
          <w:color w:val="000000" w:themeColor="text1"/>
        </w:rPr>
        <w:t xml:space="preserve"> in the literature review below, there are many possible approaches that have been taken by HEIs and other public institutions. </w:t>
      </w:r>
      <w:r w:rsidR="008E6822">
        <w:rPr>
          <w:rFonts w:ascii="Calibri" w:eastAsia="Calibri" w:hAnsi="Calibri" w:cs="Calibri"/>
          <w:color w:val="000000" w:themeColor="text1"/>
        </w:rPr>
        <w:t>Th</w:t>
      </w:r>
      <w:r w:rsidR="00DA0395">
        <w:rPr>
          <w:rFonts w:ascii="Calibri" w:eastAsia="Calibri" w:hAnsi="Calibri" w:cs="Calibri"/>
          <w:color w:val="000000" w:themeColor="text1"/>
        </w:rPr>
        <w:t>ese</w:t>
      </w:r>
      <w:r w:rsidR="008E6822">
        <w:rPr>
          <w:rFonts w:ascii="Calibri" w:eastAsia="Calibri" w:hAnsi="Calibri" w:cs="Calibri"/>
          <w:color w:val="000000" w:themeColor="text1"/>
        </w:rPr>
        <w:t xml:space="preserve"> ha</w:t>
      </w:r>
      <w:r w:rsidR="00DA0395">
        <w:rPr>
          <w:rFonts w:ascii="Calibri" w:eastAsia="Calibri" w:hAnsi="Calibri" w:cs="Calibri"/>
          <w:color w:val="000000" w:themeColor="text1"/>
        </w:rPr>
        <w:t>ve</w:t>
      </w:r>
      <w:r w:rsidR="00891EB4">
        <w:rPr>
          <w:rFonts w:ascii="Calibri" w:eastAsia="Calibri" w:hAnsi="Calibri" w:cs="Calibri"/>
          <w:color w:val="000000" w:themeColor="text1"/>
        </w:rPr>
        <w:t xml:space="preserve"> both</w:t>
      </w:r>
      <w:r w:rsidR="008E6822">
        <w:rPr>
          <w:rFonts w:ascii="Calibri" w:eastAsia="Calibri" w:hAnsi="Calibri" w:cs="Calibri"/>
          <w:color w:val="000000" w:themeColor="text1"/>
        </w:rPr>
        <w:t xml:space="preserve"> informed our work</w:t>
      </w:r>
      <w:r w:rsidR="00891EB4">
        <w:rPr>
          <w:rFonts w:ascii="Calibri" w:eastAsia="Calibri" w:hAnsi="Calibri" w:cs="Calibri"/>
          <w:color w:val="000000" w:themeColor="text1"/>
        </w:rPr>
        <w:t xml:space="preserve"> and</w:t>
      </w:r>
      <w:r w:rsidR="008E6822">
        <w:rPr>
          <w:rFonts w:ascii="Calibri" w:eastAsia="Calibri" w:hAnsi="Calibri" w:cs="Calibri"/>
          <w:color w:val="000000" w:themeColor="text1"/>
        </w:rPr>
        <w:t xml:space="preserve"> allow</w:t>
      </w:r>
      <w:r w:rsidR="00891EB4">
        <w:rPr>
          <w:rFonts w:ascii="Calibri" w:eastAsia="Calibri" w:hAnsi="Calibri" w:cs="Calibri"/>
          <w:color w:val="000000" w:themeColor="text1"/>
        </w:rPr>
        <w:t>ed</w:t>
      </w:r>
      <w:r w:rsidR="008E6822">
        <w:rPr>
          <w:rFonts w:ascii="Calibri" w:eastAsia="Calibri" w:hAnsi="Calibri" w:cs="Calibri"/>
          <w:color w:val="000000" w:themeColor="text1"/>
        </w:rPr>
        <w:t xml:space="preserve"> the REWG to </w:t>
      </w:r>
      <w:r w:rsidR="007A70B1">
        <w:rPr>
          <w:rFonts w:ascii="Calibri" w:eastAsia="Calibri" w:hAnsi="Calibri" w:cs="Calibri"/>
          <w:color w:val="000000" w:themeColor="text1"/>
        </w:rPr>
        <w:t xml:space="preserve">develop its own </w:t>
      </w:r>
      <w:r w:rsidR="00675525">
        <w:rPr>
          <w:rFonts w:ascii="Calibri" w:eastAsia="Calibri" w:hAnsi="Calibri" w:cs="Calibri"/>
          <w:color w:val="000000" w:themeColor="text1"/>
        </w:rPr>
        <w:t xml:space="preserve">unique </w:t>
      </w:r>
      <w:r w:rsidR="007A70B1">
        <w:rPr>
          <w:rFonts w:ascii="Calibri" w:eastAsia="Calibri" w:hAnsi="Calibri" w:cs="Calibri"/>
          <w:color w:val="000000" w:themeColor="text1"/>
        </w:rPr>
        <w:t>way of working</w:t>
      </w:r>
      <w:r w:rsidR="00D05F39">
        <w:rPr>
          <w:rFonts w:ascii="Calibri" w:eastAsia="Calibri" w:hAnsi="Calibri" w:cs="Calibri"/>
          <w:color w:val="000000" w:themeColor="text1"/>
        </w:rPr>
        <w:t xml:space="preserve">, with a strong emphasis on </w:t>
      </w:r>
      <w:r w:rsidRPr="0017357E">
        <w:rPr>
          <w:rFonts w:ascii="Calibri" w:eastAsia="Calibri" w:hAnsi="Calibri" w:cs="Calibri"/>
          <w:color w:val="000000" w:themeColor="text1"/>
        </w:rPr>
        <w:t>connecting</w:t>
      </w:r>
      <w:r w:rsidR="00CF5B15">
        <w:rPr>
          <w:rFonts w:ascii="Calibri" w:eastAsia="Calibri" w:hAnsi="Calibri" w:cs="Calibri"/>
          <w:color w:val="000000" w:themeColor="text1"/>
        </w:rPr>
        <w:t xml:space="preserve"> the</w:t>
      </w:r>
      <w:r w:rsidR="00C02F37">
        <w:rPr>
          <w:rFonts w:ascii="Calibri" w:eastAsia="Calibri" w:hAnsi="Calibri" w:cs="Calibri"/>
          <w:color w:val="000000" w:themeColor="text1"/>
        </w:rPr>
        <w:t xml:space="preserve"> research to </w:t>
      </w:r>
      <w:r w:rsidR="00997725">
        <w:rPr>
          <w:rFonts w:ascii="Calibri" w:eastAsia="Calibri" w:hAnsi="Calibri" w:cs="Calibri"/>
          <w:color w:val="000000" w:themeColor="text1"/>
        </w:rPr>
        <w:t xml:space="preserve">community </w:t>
      </w:r>
      <w:r w:rsidR="00C02F37">
        <w:rPr>
          <w:rFonts w:ascii="Calibri" w:eastAsia="Calibri" w:hAnsi="Calibri" w:cs="Calibri"/>
          <w:color w:val="000000" w:themeColor="text1"/>
        </w:rPr>
        <w:t>engagement</w:t>
      </w:r>
      <w:r w:rsidR="00CF5B15">
        <w:rPr>
          <w:rFonts w:ascii="Calibri" w:eastAsia="Calibri" w:hAnsi="Calibri" w:cs="Calibri"/>
          <w:color w:val="000000" w:themeColor="text1"/>
        </w:rPr>
        <w:t xml:space="preserve"> and centring </w:t>
      </w:r>
      <w:r w:rsidRPr="0017357E">
        <w:rPr>
          <w:rFonts w:ascii="Calibri" w:eastAsia="Calibri" w:hAnsi="Calibri" w:cs="Calibri"/>
          <w:color w:val="000000" w:themeColor="text1"/>
        </w:rPr>
        <w:t xml:space="preserve">the needs of communities of reparatory justice interest </w:t>
      </w:r>
      <w:r w:rsidR="00997725">
        <w:rPr>
          <w:rFonts w:ascii="Calibri" w:eastAsia="Calibri" w:hAnsi="Calibri" w:cs="Calibri"/>
          <w:color w:val="000000" w:themeColor="text1"/>
        </w:rPr>
        <w:t>to find a pathway towards</w:t>
      </w:r>
      <w:r w:rsidRPr="0017357E">
        <w:rPr>
          <w:rFonts w:ascii="Calibri" w:eastAsia="Calibri" w:hAnsi="Calibri" w:cs="Calibri"/>
          <w:color w:val="000000" w:themeColor="text1"/>
        </w:rPr>
        <w:t xml:space="preserve"> institutional transformation. </w:t>
      </w:r>
    </w:p>
    <w:p w14:paraId="4D31799E" w14:textId="7B51DDBD" w:rsidR="00773F7C" w:rsidRPr="0017357E" w:rsidRDefault="00773F7C" w:rsidP="00057638">
      <w:pPr>
        <w:spacing w:line="259" w:lineRule="auto"/>
        <w:rPr>
          <w:rFonts w:ascii="Calibri" w:eastAsia="Calibri" w:hAnsi="Calibri" w:cs="Calibri"/>
          <w:color w:val="000000" w:themeColor="text1"/>
        </w:rPr>
      </w:pPr>
    </w:p>
    <w:p w14:paraId="189489D3" w14:textId="29C69CE3" w:rsidR="00773F7C" w:rsidRPr="0017357E" w:rsidRDefault="00773F7C" w:rsidP="002C5B24">
      <w:pPr>
        <w:pStyle w:val="Heading2"/>
      </w:pPr>
      <w:bookmarkStart w:id="14" w:name="_Toc157238064"/>
      <w:bookmarkStart w:id="15" w:name="_Toc190939401"/>
      <w:bookmarkStart w:id="16" w:name="_Toc202627084"/>
      <w:r w:rsidRPr="0017357E">
        <w:t>Work at Comparable Institutions</w:t>
      </w:r>
      <w:bookmarkEnd w:id="14"/>
      <w:bookmarkEnd w:id="15"/>
      <w:bookmarkEnd w:id="16"/>
    </w:p>
    <w:p w14:paraId="157CDDAB" w14:textId="38EBD215" w:rsidR="0078478A" w:rsidRDefault="23AC28C4" w:rsidP="00057638">
      <w:p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Over the past </w:t>
      </w:r>
      <w:r w:rsidR="00DA0395">
        <w:rPr>
          <w:rFonts w:ascii="Calibri" w:eastAsia="Calibri" w:hAnsi="Calibri" w:cs="Calibri"/>
          <w:color w:val="000000" w:themeColor="text1"/>
        </w:rPr>
        <w:t xml:space="preserve">few </w:t>
      </w:r>
      <w:r w:rsidRPr="0017357E">
        <w:rPr>
          <w:rFonts w:ascii="Calibri" w:eastAsia="Calibri" w:hAnsi="Calibri" w:cs="Calibri"/>
          <w:color w:val="000000" w:themeColor="text1"/>
        </w:rPr>
        <w:t xml:space="preserve">years, UK </w:t>
      </w:r>
      <w:r w:rsidR="0033549F">
        <w:rPr>
          <w:rFonts w:ascii="Calibri" w:eastAsia="Calibri" w:hAnsi="Calibri" w:cs="Calibri"/>
          <w:color w:val="000000" w:themeColor="text1"/>
        </w:rPr>
        <w:t>higher education institutions (HEIs)</w:t>
      </w:r>
      <w:r w:rsidR="0033549F" w:rsidRPr="0017357E">
        <w:rPr>
          <w:rFonts w:ascii="Calibri" w:eastAsia="Calibri" w:hAnsi="Calibri" w:cs="Calibri"/>
          <w:color w:val="000000" w:themeColor="text1"/>
        </w:rPr>
        <w:t xml:space="preserve"> </w:t>
      </w:r>
      <w:r w:rsidRPr="0017357E">
        <w:rPr>
          <w:rFonts w:ascii="Calibri" w:eastAsia="Calibri" w:hAnsi="Calibri" w:cs="Calibri"/>
          <w:color w:val="000000" w:themeColor="text1"/>
        </w:rPr>
        <w:t xml:space="preserve">have begun the long overdue task of investigating their links to </w:t>
      </w:r>
      <w:r w:rsidR="00DA0395">
        <w:rPr>
          <w:rFonts w:ascii="Calibri" w:eastAsia="Calibri" w:hAnsi="Calibri" w:cs="Calibri"/>
          <w:color w:val="000000" w:themeColor="text1"/>
        </w:rPr>
        <w:t>enslavement</w:t>
      </w:r>
      <w:r w:rsidR="00DA0395" w:rsidRPr="0017357E">
        <w:rPr>
          <w:rFonts w:ascii="Calibri" w:eastAsia="Calibri" w:hAnsi="Calibri" w:cs="Calibri"/>
          <w:color w:val="000000" w:themeColor="text1"/>
        </w:rPr>
        <w:t xml:space="preserve"> </w:t>
      </w:r>
      <w:r w:rsidRPr="0017357E">
        <w:rPr>
          <w:rFonts w:ascii="Calibri" w:eastAsia="Calibri" w:hAnsi="Calibri" w:cs="Calibri"/>
          <w:color w:val="000000" w:themeColor="text1"/>
        </w:rPr>
        <w:t xml:space="preserve">and colonialism. Whereas chattel </w:t>
      </w:r>
      <w:r w:rsidR="00BF4CA5">
        <w:rPr>
          <w:rFonts w:ascii="Calibri" w:eastAsia="Calibri" w:hAnsi="Calibri" w:cs="Calibri"/>
          <w:color w:val="000000" w:themeColor="text1"/>
        </w:rPr>
        <w:t>enslavement</w:t>
      </w:r>
      <w:r w:rsidRPr="0017357E">
        <w:rPr>
          <w:rFonts w:ascii="Calibri" w:eastAsia="Calibri" w:hAnsi="Calibri" w:cs="Calibri"/>
          <w:color w:val="000000" w:themeColor="text1"/>
        </w:rPr>
        <w:t xml:space="preserve"> </w:t>
      </w:r>
      <w:r w:rsidR="00BF4CA5">
        <w:rPr>
          <w:rFonts w:ascii="Calibri" w:eastAsia="Calibri" w:hAnsi="Calibri" w:cs="Calibri"/>
          <w:color w:val="000000" w:themeColor="text1"/>
        </w:rPr>
        <w:t xml:space="preserve">has been </w:t>
      </w:r>
      <w:r w:rsidRPr="0017357E">
        <w:rPr>
          <w:rFonts w:ascii="Calibri" w:eastAsia="Calibri" w:hAnsi="Calibri" w:cs="Calibri"/>
          <w:color w:val="000000" w:themeColor="text1"/>
        </w:rPr>
        <w:t xml:space="preserve">acknowledged </w:t>
      </w:r>
      <w:r w:rsidR="00BF4CA5">
        <w:rPr>
          <w:rFonts w:ascii="Calibri" w:eastAsia="Calibri" w:hAnsi="Calibri" w:cs="Calibri"/>
          <w:color w:val="000000" w:themeColor="text1"/>
        </w:rPr>
        <w:t xml:space="preserve">by many HEIs </w:t>
      </w:r>
      <w:r w:rsidRPr="0017357E">
        <w:rPr>
          <w:rFonts w:ascii="Calibri" w:eastAsia="Calibri" w:hAnsi="Calibri" w:cs="Calibri"/>
          <w:color w:val="000000" w:themeColor="text1"/>
        </w:rPr>
        <w:t xml:space="preserve">as </w:t>
      </w:r>
      <w:r w:rsidR="00BF4CA5">
        <w:rPr>
          <w:rFonts w:ascii="Calibri" w:eastAsia="Calibri" w:hAnsi="Calibri" w:cs="Calibri"/>
          <w:color w:val="000000" w:themeColor="text1"/>
        </w:rPr>
        <w:t xml:space="preserve">having left a </w:t>
      </w:r>
      <w:r w:rsidRPr="0017357E">
        <w:rPr>
          <w:rFonts w:ascii="Calibri" w:eastAsia="Calibri" w:hAnsi="Calibri" w:cs="Calibri"/>
          <w:color w:val="000000" w:themeColor="text1"/>
        </w:rPr>
        <w:t>permanent stain on American</w:t>
      </w:r>
      <w:r w:rsidR="000F57A8">
        <w:rPr>
          <w:rFonts w:ascii="Calibri" w:eastAsia="Calibri" w:hAnsi="Calibri" w:cs="Calibri"/>
          <w:color w:val="000000" w:themeColor="text1"/>
        </w:rPr>
        <w:t xml:space="preserve"> society</w:t>
      </w:r>
      <w:r w:rsidRPr="0017357E">
        <w:rPr>
          <w:rFonts w:ascii="Calibri" w:eastAsia="Calibri" w:hAnsi="Calibri" w:cs="Calibri"/>
          <w:color w:val="000000" w:themeColor="text1"/>
        </w:rPr>
        <w:t xml:space="preserve">, </w:t>
      </w:r>
      <w:r w:rsidR="00BF4CA5">
        <w:rPr>
          <w:rFonts w:ascii="Calibri" w:eastAsia="Calibri" w:hAnsi="Calibri" w:cs="Calibri"/>
          <w:color w:val="000000" w:themeColor="text1"/>
        </w:rPr>
        <w:t>equivalent institutions</w:t>
      </w:r>
      <w:r w:rsidRPr="0017357E">
        <w:rPr>
          <w:rFonts w:ascii="Calibri" w:eastAsia="Calibri" w:hAnsi="Calibri" w:cs="Calibri"/>
          <w:color w:val="000000" w:themeColor="text1"/>
        </w:rPr>
        <w:t xml:space="preserve"> in Britain have </w:t>
      </w:r>
      <w:r w:rsidR="00BF4CA5">
        <w:rPr>
          <w:rFonts w:ascii="Calibri" w:eastAsia="Calibri" w:hAnsi="Calibri" w:cs="Calibri"/>
          <w:color w:val="000000" w:themeColor="text1"/>
        </w:rPr>
        <w:t xml:space="preserve">been slower to recognise </w:t>
      </w:r>
      <w:r w:rsidRPr="0017357E">
        <w:rPr>
          <w:rFonts w:ascii="Calibri" w:eastAsia="Calibri" w:hAnsi="Calibri" w:cs="Calibri"/>
          <w:color w:val="000000" w:themeColor="text1"/>
        </w:rPr>
        <w:t xml:space="preserve">these same atrocities. In 2003, Brown University followed a mandate from its then president </w:t>
      </w:r>
      <w:r w:rsidRPr="7652D584">
        <w:rPr>
          <w:rFonts w:eastAsia="Calibri"/>
          <w:color w:val="000000" w:themeColor="text1"/>
        </w:rPr>
        <w:t>to ‘</w:t>
      </w:r>
      <w:r w:rsidRPr="7652D584">
        <w:rPr>
          <w:color w:val="000000" w:themeColor="text1"/>
        </w:rPr>
        <w:t>investigate and issue a public report on the University’s historical relationship to slavery and the transatlantic slave trade’</w:t>
      </w:r>
      <w:r w:rsidRPr="7652D584">
        <w:rPr>
          <w:rFonts w:eastAsia="Calibri"/>
          <w:color w:val="000000" w:themeColor="text1"/>
        </w:rPr>
        <w:t>.</w:t>
      </w:r>
      <w:r w:rsidR="00773F7C" w:rsidRPr="7652D584">
        <w:rPr>
          <w:rStyle w:val="FootnoteReference"/>
          <w:rFonts w:eastAsia="Calibri"/>
          <w:color w:val="000000" w:themeColor="text1"/>
        </w:rPr>
        <w:footnoteReference w:id="12"/>
      </w:r>
      <w:r w:rsidRPr="7652D584">
        <w:rPr>
          <w:rFonts w:eastAsia="Calibri"/>
          <w:color w:val="000000" w:themeColor="text1"/>
        </w:rPr>
        <w:t xml:space="preserve"> </w:t>
      </w:r>
      <w:r w:rsidRPr="0017357E">
        <w:rPr>
          <w:rFonts w:ascii="Calibri" w:eastAsia="Calibri" w:hAnsi="Calibri" w:cs="Calibri"/>
          <w:color w:val="000000" w:themeColor="text1"/>
        </w:rPr>
        <w:t xml:space="preserve">Following the initiative set by Brown, other US universities and colleges began investigating their ties to slavery, including </w:t>
      </w:r>
      <w:hyperlink r:id="rId49">
        <w:r w:rsidRPr="0017357E">
          <w:rPr>
            <w:rStyle w:val="Hyperlink"/>
            <w:rFonts w:ascii="Calibri" w:eastAsia="Calibri" w:hAnsi="Calibri" w:cs="Calibri"/>
            <w:color w:val="000000" w:themeColor="text1"/>
          </w:rPr>
          <w:t>William and Mary</w:t>
        </w:r>
      </w:hyperlink>
      <w:r w:rsidRPr="0017357E">
        <w:rPr>
          <w:rFonts w:ascii="Calibri" w:eastAsia="Calibri" w:hAnsi="Calibri" w:cs="Calibri"/>
          <w:color w:val="000000" w:themeColor="text1"/>
        </w:rPr>
        <w:t xml:space="preserve"> (2009), </w:t>
      </w:r>
      <w:hyperlink r:id="rId50">
        <w:r w:rsidRPr="0017357E">
          <w:rPr>
            <w:rStyle w:val="Hyperlink"/>
            <w:rFonts w:ascii="Calibri" w:eastAsia="Calibri" w:hAnsi="Calibri" w:cs="Calibri"/>
            <w:color w:val="000000" w:themeColor="text1"/>
          </w:rPr>
          <w:t>Georgetown</w:t>
        </w:r>
      </w:hyperlink>
      <w:r w:rsidRPr="0017357E">
        <w:rPr>
          <w:rFonts w:ascii="Calibri" w:eastAsia="Calibri" w:hAnsi="Calibri" w:cs="Calibri"/>
          <w:color w:val="000000" w:themeColor="text1"/>
        </w:rPr>
        <w:t xml:space="preserve"> (2016) and more recently </w:t>
      </w:r>
      <w:hyperlink r:id="rId51">
        <w:r w:rsidRPr="0017357E">
          <w:rPr>
            <w:rStyle w:val="Hyperlink"/>
            <w:rFonts w:ascii="Calibri" w:eastAsia="Calibri" w:hAnsi="Calibri" w:cs="Calibri"/>
            <w:color w:val="000000" w:themeColor="text1"/>
          </w:rPr>
          <w:t>Harvard</w:t>
        </w:r>
      </w:hyperlink>
      <w:r w:rsidRPr="0017357E">
        <w:rPr>
          <w:rFonts w:ascii="Calibri" w:eastAsia="Calibri" w:hAnsi="Calibri" w:cs="Calibri"/>
          <w:color w:val="000000" w:themeColor="text1"/>
        </w:rPr>
        <w:t xml:space="preserve"> (2022).</w:t>
      </w:r>
      <w:r w:rsidR="008B4972">
        <w:rPr>
          <w:rFonts w:ascii="Calibri" w:eastAsia="Calibri" w:hAnsi="Calibri" w:cs="Calibri"/>
          <w:color w:val="000000" w:themeColor="text1"/>
        </w:rPr>
        <w:t xml:space="preserve"> In addition to investigating slavery-linked donations, these reports focus </w:t>
      </w:r>
      <w:r w:rsidR="008B4972" w:rsidRPr="0017357E">
        <w:rPr>
          <w:rFonts w:ascii="Calibri" w:eastAsia="Calibri" w:hAnsi="Calibri" w:cs="Calibri"/>
          <w:color w:val="000000" w:themeColor="text1"/>
        </w:rPr>
        <w:t>on the</w:t>
      </w:r>
      <w:r w:rsidR="008B4972">
        <w:rPr>
          <w:rFonts w:ascii="Calibri" w:eastAsia="Calibri" w:hAnsi="Calibri" w:cs="Calibri"/>
          <w:color w:val="000000" w:themeColor="text1"/>
        </w:rPr>
        <w:t xml:space="preserve"> exploitation of enslaved Black labourers</w:t>
      </w:r>
      <w:r w:rsidR="008B4972" w:rsidRPr="0017357E">
        <w:rPr>
          <w:rFonts w:ascii="Calibri" w:eastAsia="Calibri" w:hAnsi="Calibri" w:cs="Calibri"/>
          <w:color w:val="000000" w:themeColor="text1"/>
        </w:rPr>
        <w:t xml:space="preserve"> </w:t>
      </w:r>
      <w:r w:rsidR="008B4972">
        <w:rPr>
          <w:rFonts w:ascii="Calibri" w:eastAsia="Calibri" w:hAnsi="Calibri" w:cs="Calibri"/>
          <w:color w:val="000000" w:themeColor="text1"/>
        </w:rPr>
        <w:t>who</w:t>
      </w:r>
      <w:r w:rsidR="008B4972" w:rsidRPr="0017357E">
        <w:rPr>
          <w:rFonts w:ascii="Calibri" w:eastAsia="Calibri" w:hAnsi="Calibri" w:cs="Calibri"/>
          <w:color w:val="000000" w:themeColor="text1"/>
        </w:rPr>
        <w:t xml:space="preserve"> </w:t>
      </w:r>
      <w:r w:rsidR="008B4972">
        <w:rPr>
          <w:rFonts w:ascii="Calibri" w:eastAsia="Calibri" w:hAnsi="Calibri" w:cs="Calibri"/>
          <w:color w:val="000000" w:themeColor="text1"/>
        </w:rPr>
        <w:t xml:space="preserve">physically </w:t>
      </w:r>
      <w:r w:rsidR="008B4972" w:rsidRPr="0017357E">
        <w:rPr>
          <w:rFonts w:ascii="Calibri" w:eastAsia="Calibri" w:hAnsi="Calibri" w:cs="Calibri"/>
          <w:color w:val="000000" w:themeColor="text1"/>
        </w:rPr>
        <w:t>buil</w:t>
      </w:r>
      <w:r w:rsidR="008B4972">
        <w:rPr>
          <w:rFonts w:ascii="Calibri" w:eastAsia="Calibri" w:hAnsi="Calibri" w:cs="Calibri"/>
          <w:color w:val="000000" w:themeColor="text1"/>
        </w:rPr>
        <w:t>t the</w:t>
      </w:r>
      <w:r w:rsidR="008B4972" w:rsidRPr="0017357E">
        <w:rPr>
          <w:rFonts w:ascii="Calibri" w:eastAsia="Calibri" w:hAnsi="Calibri" w:cs="Calibri"/>
          <w:color w:val="000000" w:themeColor="text1"/>
        </w:rPr>
        <w:t xml:space="preserve"> campuses and</w:t>
      </w:r>
      <w:r w:rsidR="008B4972">
        <w:rPr>
          <w:rFonts w:ascii="Calibri" w:eastAsia="Calibri" w:hAnsi="Calibri" w:cs="Calibri"/>
          <w:color w:val="000000" w:themeColor="text1"/>
        </w:rPr>
        <w:t xml:space="preserve"> were used to</w:t>
      </w:r>
      <w:r w:rsidR="008B4972" w:rsidRPr="0017357E">
        <w:rPr>
          <w:rFonts w:ascii="Calibri" w:eastAsia="Calibri" w:hAnsi="Calibri" w:cs="Calibri"/>
          <w:color w:val="000000" w:themeColor="text1"/>
        </w:rPr>
        <w:t xml:space="preserve"> fund</w:t>
      </w:r>
      <w:r w:rsidR="008B4972">
        <w:rPr>
          <w:rFonts w:ascii="Calibri" w:eastAsia="Calibri" w:hAnsi="Calibri" w:cs="Calibri"/>
          <w:color w:val="000000" w:themeColor="text1"/>
        </w:rPr>
        <w:t xml:space="preserve"> the</w:t>
      </w:r>
      <w:r w:rsidR="008B4972" w:rsidRPr="0017357E">
        <w:rPr>
          <w:rFonts w:ascii="Calibri" w:eastAsia="Calibri" w:hAnsi="Calibri" w:cs="Calibri"/>
          <w:color w:val="000000" w:themeColor="text1"/>
        </w:rPr>
        <w:t xml:space="preserve"> salaries</w:t>
      </w:r>
      <w:r w:rsidR="008B4972">
        <w:rPr>
          <w:rFonts w:ascii="Calibri" w:eastAsia="Calibri" w:hAnsi="Calibri" w:cs="Calibri"/>
          <w:color w:val="000000" w:themeColor="text1"/>
        </w:rPr>
        <w:t xml:space="preserve"> of staff members</w:t>
      </w:r>
      <w:r w:rsidR="008B4972" w:rsidRPr="0017357E">
        <w:rPr>
          <w:rFonts w:ascii="Calibri" w:eastAsia="Calibri" w:hAnsi="Calibri" w:cs="Calibri"/>
          <w:color w:val="000000" w:themeColor="text1"/>
        </w:rPr>
        <w:t>.</w:t>
      </w:r>
      <w:r w:rsidR="008B4972" w:rsidRPr="0017357E">
        <w:rPr>
          <w:rStyle w:val="FootnoteReference"/>
          <w:rFonts w:ascii="Calibri" w:hAnsi="Calibri" w:cs="Calibri"/>
          <w:color w:val="000000" w:themeColor="text1"/>
        </w:rPr>
        <w:footnoteReference w:id="13"/>
      </w:r>
      <w:r w:rsidR="008B4972">
        <w:rPr>
          <w:rFonts w:ascii="Calibri" w:eastAsia="Calibri" w:hAnsi="Calibri" w:cs="Calibri"/>
          <w:color w:val="000000" w:themeColor="text1"/>
        </w:rPr>
        <w:t xml:space="preserve"> </w:t>
      </w:r>
    </w:p>
    <w:p w14:paraId="55965DDC" w14:textId="754D92E8" w:rsidR="00D4052A" w:rsidRDefault="008B4972" w:rsidP="00057638">
      <w:pPr>
        <w:spacing w:line="259" w:lineRule="auto"/>
        <w:ind w:firstLine="720"/>
        <w:rPr>
          <w:rFonts w:ascii="Calibri" w:eastAsia="Calibri" w:hAnsi="Calibri" w:cs="Calibri"/>
          <w:color w:val="000000" w:themeColor="text1"/>
        </w:rPr>
      </w:pPr>
      <w:r>
        <w:rPr>
          <w:rFonts w:ascii="Calibri" w:eastAsia="Calibri" w:hAnsi="Calibri" w:cs="Calibri"/>
          <w:color w:val="000000" w:themeColor="text1"/>
        </w:rPr>
        <w:lastRenderedPageBreak/>
        <w:t>To pull these initiatives together, i</w:t>
      </w:r>
      <w:r w:rsidR="23AC28C4" w:rsidRPr="0017357E">
        <w:rPr>
          <w:rFonts w:ascii="Calibri" w:eastAsia="Calibri" w:hAnsi="Calibri" w:cs="Calibri"/>
          <w:color w:val="000000" w:themeColor="text1"/>
        </w:rPr>
        <w:t xml:space="preserve">n 2016, the University of Virginia created the </w:t>
      </w:r>
      <w:hyperlink r:id="rId52">
        <w:r w:rsidR="23AC28C4" w:rsidRPr="0017357E">
          <w:rPr>
            <w:rStyle w:val="Hyperlink"/>
            <w:rFonts w:ascii="Calibri" w:eastAsia="Calibri" w:hAnsi="Calibri" w:cs="Calibri"/>
            <w:color w:val="000000" w:themeColor="text1"/>
          </w:rPr>
          <w:t>Universities Studying Slavery (USS)</w:t>
        </w:r>
      </w:hyperlink>
      <w:r w:rsidR="23AC28C4" w:rsidRPr="0017357E">
        <w:rPr>
          <w:rFonts w:ascii="Calibri" w:eastAsia="Calibri" w:hAnsi="Calibri" w:cs="Calibri"/>
          <w:color w:val="000000" w:themeColor="text1"/>
        </w:rPr>
        <w:t xml:space="preserve"> consortium, which is dedicated to sharing ‘</w:t>
      </w:r>
      <w:hyperlink r:id="rId53" w:history="1">
        <w:r w:rsidR="23AC28C4" w:rsidRPr="0017357E">
          <w:rPr>
            <w:rStyle w:val="Hyperlink"/>
            <w:rFonts w:ascii="Calibri" w:eastAsia="Calibri" w:hAnsi="Calibri" w:cs="Calibri"/>
            <w:color w:val="000000" w:themeColor="text1"/>
          </w:rPr>
          <w:t>best practices and guiding principles in truth-telling educational projects focused on human bondage and the legacies of racism in their histories’</w:t>
        </w:r>
      </w:hyperlink>
      <w:r w:rsidR="23AC28C4" w:rsidRPr="0017357E">
        <w:rPr>
          <w:rFonts w:ascii="Calibri" w:eastAsia="Calibri" w:hAnsi="Calibri" w:cs="Calibri"/>
          <w:color w:val="000000" w:themeColor="text1"/>
        </w:rPr>
        <w:t>.</w:t>
      </w:r>
      <w:r w:rsidR="00773F7C" w:rsidRPr="0017357E">
        <w:rPr>
          <w:rStyle w:val="FootnoteReference"/>
          <w:rFonts w:ascii="Calibri" w:hAnsi="Calibri" w:cs="Calibri"/>
          <w:color w:val="000000" w:themeColor="text1"/>
        </w:rPr>
        <w:footnoteReference w:id="14"/>
      </w:r>
      <w:r w:rsidR="23AC28C4" w:rsidRPr="0017357E">
        <w:rPr>
          <w:rFonts w:ascii="Calibri" w:eastAsia="Calibri" w:hAnsi="Calibri" w:cs="Calibri"/>
          <w:color w:val="000000" w:themeColor="text1"/>
        </w:rPr>
        <w:t xml:space="preserve"> Today, this consortium </w:t>
      </w:r>
      <w:r w:rsidR="002C5B24">
        <w:rPr>
          <w:rFonts w:ascii="Calibri" w:eastAsia="Calibri" w:hAnsi="Calibri" w:cs="Calibri"/>
          <w:color w:val="000000" w:themeColor="text1"/>
        </w:rPr>
        <w:t>comprises</w:t>
      </w:r>
      <w:r w:rsidR="23AC28C4" w:rsidRPr="0017357E">
        <w:rPr>
          <w:rFonts w:ascii="Calibri" w:eastAsia="Calibri" w:hAnsi="Calibri" w:cs="Calibri"/>
          <w:color w:val="000000" w:themeColor="text1"/>
        </w:rPr>
        <w:t xml:space="preserve"> ‘</w:t>
      </w:r>
      <w:r w:rsidR="002C5B24">
        <w:rPr>
          <w:rFonts w:ascii="Calibri" w:eastAsia="Calibri" w:hAnsi="Calibri" w:cs="Calibri"/>
          <w:color w:val="000000" w:themeColor="text1"/>
        </w:rPr>
        <w:t>more than 100</w:t>
      </w:r>
      <w:r w:rsidR="23AC28C4" w:rsidRPr="0017357E">
        <w:rPr>
          <w:rFonts w:ascii="Calibri" w:eastAsia="Calibri" w:hAnsi="Calibri" w:cs="Calibri"/>
          <w:color w:val="000000" w:themeColor="text1"/>
        </w:rPr>
        <w:t xml:space="preserve"> institutions of higher learning in the United States, Canada, Colombia, Scotland, Ireland, and England’.</w:t>
      </w:r>
      <w:r w:rsidR="00AB0677">
        <w:rPr>
          <w:rStyle w:val="FootnoteReference"/>
          <w:rFonts w:ascii="Calibri" w:eastAsia="Calibri" w:hAnsi="Calibri" w:cs="Calibri"/>
          <w:color w:val="000000" w:themeColor="text1"/>
        </w:rPr>
        <w:footnoteReference w:id="15"/>
      </w:r>
      <w:r w:rsidR="008D328F">
        <w:rPr>
          <w:rFonts w:ascii="Calibri" w:eastAsia="Calibri" w:hAnsi="Calibri" w:cs="Calibri"/>
          <w:color w:val="000000" w:themeColor="text1"/>
        </w:rPr>
        <w:t xml:space="preserve"> </w:t>
      </w:r>
      <w:r w:rsidR="00773F7C" w:rsidRPr="0017357E">
        <w:rPr>
          <w:rFonts w:ascii="Calibri" w:eastAsia="Calibri" w:hAnsi="Calibri" w:cs="Calibri"/>
          <w:color w:val="000000" w:themeColor="text1"/>
        </w:rPr>
        <w:t xml:space="preserve">Of </w:t>
      </w:r>
      <w:r w:rsidR="0078478A">
        <w:rPr>
          <w:rFonts w:ascii="Calibri" w:eastAsia="Calibri" w:hAnsi="Calibri" w:cs="Calibri"/>
          <w:color w:val="000000" w:themeColor="text1"/>
        </w:rPr>
        <w:t>its members</w:t>
      </w:r>
      <w:r w:rsidR="00773F7C" w:rsidRPr="0017357E">
        <w:rPr>
          <w:rFonts w:ascii="Calibri" w:eastAsia="Calibri" w:hAnsi="Calibri" w:cs="Calibri"/>
          <w:color w:val="000000" w:themeColor="text1"/>
        </w:rPr>
        <w:t>, the University of Glasgow was the first UK university to</w:t>
      </w:r>
      <w:r w:rsidR="0078478A">
        <w:rPr>
          <w:rFonts w:ascii="Calibri" w:eastAsia="Calibri" w:hAnsi="Calibri" w:cs="Calibri"/>
          <w:color w:val="000000" w:themeColor="text1"/>
        </w:rPr>
        <w:t xml:space="preserve"> begin</w:t>
      </w:r>
      <w:r w:rsidR="00773F7C" w:rsidRPr="0017357E">
        <w:rPr>
          <w:rFonts w:ascii="Calibri" w:eastAsia="Calibri" w:hAnsi="Calibri" w:cs="Calibri"/>
          <w:color w:val="000000" w:themeColor="text1"/>
        </w:rPr>
        <w:t xml:space="preserve"> investigat</w:t>
      </w:r>
      <w:r w:rsidR="0078478A">
        <w:rPr>
          <w:rFonts w:ascii="Calibri" w:eastAsia="Calibri" w:hAnsi="Calibri" w:cs="Calibri"/>
          <w:color w:val="000000" w:themeColor="text1"/>
        </w:rPr>
        <w:t>ing</w:t>
      </w:r>
      <w:r w:rsidR="00773F7C" w:rsidRPr="0017357E">
        <w:rPr>
          <w:rFonts w:ascii="Calibri" w:eastAsia="Calibri" w:hAnsi="Calibri" w:cs="Calibri"/>
          <w:color w:val="000000" w:themeColor="text1"/>
        </w:rPr>
        <w:t xml:space="preserve"> it</w:t>
      </w:r>
      <w:r w:rsidR="008D328F">
        <w:rPr>
          <w:rFonts w:ascii="Calibri" w:eastAsia="Calibri" w:hAnsi="Calibri" w:cs="Calibri"/>
          <w:color w:val="000000" w:themeColor="text1"/>
        </w:rPr>
        <w:t>s</w:t>
      </w:r>
      <w:r w:rsidR="00773F7C" w:rsidRPr="0017357E">
        <w:rPr>
          <w:rFonts w:ascii="Calibri" w:eastAsia="Calibri" w:hAnsi="Calibri" w:cs="Calibri"/>
          <w:color w:val="000000" w:themeColor="text1"/>
        </w:rPr>
        <w:t xml:space="preserve"> historical links to slavery</w:t>
      </w:r>
      <w:r w:rsidR="00DE5A8C">
        <w:rPr>
          <w:rFonts w:ascii="Calibri" w:eastAsia="Calibri" w:hAnsi="Calibri" w:cs="Calibri"/>
          <w:color w:val="000000" w:themeColor="text1"/>
        </w:rPr>
        <w:t>,</w:t>
      </w:r>
      <w:r w:rsidR="00773F7C" w:rsidRPr="0017357E">
        <w:rPr>
          <w:rFonts w:ascii="Calibri" w:eastAsia="Calibri" w:hAnsi="Calibri" w:cs="Calibri"/>
          <w:color w:val="000000" w:themeColor="text1"/>
        </w:rPr>
        <w:t xml:space="preserve"> releas</w:t>
      </w:r>
      <w:r w:rsidR="00DE5A8C">
        <w:rPr>
          <w:rFonts w:ascii="Calibri" w:eastAsia="Calibri" w:hAnsi="Calibri" w:cs="Calibri"/>
          <w:color w:val="000000" w:themeColor="text1"/>
        </w:rPr>
        <w:t>ing its</w:t>
      </w:r>
      <w:r w:rsidR="00773F7C" w:rsidRPr="0017357E">
        <w:rPr>
          <w:rFonts w:ascii="Calibri" w:eastAsia="Calibri" w:hAnsi="Calibri" w:cs="Calibri"/>
          <w:color w:val="000000" w:themeColor="text1"/>
        </w:rPr>
        <w:t xml:space="preserve"> </w:t>
      </w:r>
      <w:hyperlink r:id="rId54">
        <w:r w:rsidR="00773F7C" w:rsidRPr="0017357E">
          <w:rPr>
            <w:rStyle w:val="Hyperlink"/>
            <w:rFonts w:ascii="Calibri" w:eastAsia="Calibri" w:hAnsi="Calibri" w:cs="Calibri"/>
            <w:color w:val="000000" w:themeColor="text1"/>
          </w:rPr>
          <w:t>report</w:t>
        </w:r>
      </w:hyperlink>
      <w:r w:rsidR="00773F7C" w:rsidRPr="0017357E">
        <w:rPr>
          <w:rFonts w:ascii="Calibri" w:eastAsia="Calibri" w:hAnsi="Calibri" w:cs="Calibri"/>
          <w:color w:val="000000" w:themeColor="text1"/>
        </w:rPr>
        <w:t xml:space="preserve"> </w:t>
      </w:r>
      <w:r w:rsidR="00DE5A8C">
        <w:rPr>
          <w:rFonts w:ascii="Calibri" w:eastAsia="Calibri" w:hAnsi="Calibri" w:cs="Calibri"/>
          <w:color w:val="000000" w:themeColor="text1"/>
        </w:rPr>
        <w:t>in 2018</w:t>
      </w:r>
      <w:r w:rsidR="00773F7C" w:rsidRPr="0017357E">
        <w:rPr>
          <w:rFonts w:ascii="Calibri" w:eastAsia="Calibri" w:hAnsi="Calibri" w:cs="Calibri"/>
          <w:color w:val="000000" w:themeColor="text1"/>
        </w:rPr>
        <w:t>.</w:t>
      </w:r>
      <w:r w:rsidR="00773F7C" w:rsidRPr="0017357E">
        <w:rPr>
          <w:rStyle w:val="FootnoteReference"/>
          <w:rFonts w:ascii="Calibri" w:hAnsi="Calibri" w:cs="Calibri"/>
          <w:color w:val="000000" w:themeColor="text1"/>
        </w:rPr>
        <w:footnoteReference w:id="16"/>
      </w:r>
      <w:r w:rsidR="00773F7C" w:rsidRPr="0017357E">
        <w:rPr>
          <w:rFonts w:ascii="Calibri" w:eastAsia="Calibri" w:hAnsi="Calibri" w:cs="Calibri"/>
          <w:color w:val="000000" w:themeColor="text1"/>
        </w:rPr>
        <w:t xml:space="preserve"> This followed in the wake of growing institutional interest in the history of slavery in the UK, such as work at the </w:t>
      </w:r>
      <w:hyperlink r:id="rId55">
        <w:r w:rsidR="00773F7C" w:rsidRPr="0017357E">
          <w:rPr>
            <w:rStyle w:val="Hyperlink"/>
            <w:rFonts w:ascii="Calibri" w:eastAsia="Calibri" w:hAnsi="Calibri" w:cs="Calibri"/>
            <w:color w:val="000000" w:themeColor="text1"/>
          </w:rPr>
          <w:t>University of Liverpool</w:t>
        </w:r>
      </w:hyperlink>
      <w:r w:rsidR="00773F7C" w:rsidRPr="0017357E">
        <w:rPr>
          <w:rFonts w:ascii="Calibri" w:eastAsia="Calibri" w:hAnsi="Calibri" w:cs="Calibri"/>
          <w:color w:val="000000" w:themeColor="text1"/>
        </w:rPr>
        <w:t xml:space="preserve"> (from 2006</w:t>
      </w:r>
      <w:r w:rsidR="00DE5A8C">
        <w:rPr>
          <w:rFonts w:ascii="Calibri" w:eastAsia="Calibri" w:hAnsi="Calibri" w:cs="Calibri"/>
          <w:color w:val="000000" w:themeColor="text1"/>
        </w:rPr>
        <w:t xml:space="preserve"> onwards</w:t>
      </w:r>
      <w:r w:rsidR="00773F7C" w:rsidRPr="0017357E">
        <w:rPr>
          <w:rFonts w:ascii="Calibri" w:eastAsia="Calibri" w:hAnsi="Calibri" w:cs="Calibri"/>
          <w:color w:val="000000" w:themeColor="text1"/>
        </w:rPr>
        <w:t xml:space="preserve">) and </w:t>
      </w:r>
      <w:hyperlink r:id="rId56">
        <w:r w:rsidR="00773F7C" w:rsidRPr="0017357E">
          <w:rPr>
            <w:rStyle w:val="Hyperlink"/>
            <w:rFonts w:ascii="Calibri" w:eastAsia="Calibri" w:hAnsi="Calibri" w:cs="Calibri"/>
            <w:color w:val="000000" w:themeColor="text1"/>
          </w:rPr>
          <w:t>University College London</w:t>
        </w:r>
      </w:hyperlink>
      <w:r w:rsidR="00773F7C" w:rsidRPr="0017357E">
        <w:rPr>
          <w:rFonts w:ascii="Calibri" w:eastAsia="Calibri" w:hAnsi="Calibri" w:cs="Calibri"/>
          <w:color w:val="000000" w:themeColor="text1"/>
        </w:rPr>
        <w:t xml:space="preserve"> (from 2012</w:t>
      </w:r>
      <w:r w:rsidR="00DE5A8C">
        <w:rPr>
          <w:rFonts w:ascii="Calibri" w:eastAsia="Calibri" w:hAnsi="Calibri" w:cs="Calibri"/>
          <w:color w:val="000000" w:themeColor="text1"/>
        </w:rPr>
        <w:t xml:space="preserve"> onwards</w:t>
      </w:r>
      <w:r w:rsidR="00773F7C" w:rsidRPr="0017357E">
        <w:rPr>
          <w:rFonts w:ascii="Calibri" w:eastAsia="Calibri" w:hAnsi="Calibri" w:cs="Calibri"/>
          <w:color w:val="000000" w:themeColor="text1"/>
        </w:rPr>
        <w:t>).</w:t>
      </w:r>
      <w:r w:rsidR="00773F7C" w:rsidRPr="0017357E">
        <w:rPr>
          <w:rStyle w:val="FootnoteReference"/>
          <w:rFonts w:ascii="Calibri" w:hAnsi="Calibri" w:cs="Calibri"/>
          <w:color w:val="000000" w:themeColor="text1"/>
        </w:rPr>
        <w:footnoteReference w:id="17"/>
      </w:r>
      <w:r w:rsidR="008E07CA">
        <w:rPr>
          <w:rFonts w:ascii="Calibri" w:eastAsia="Calibri" w:hAnsi="Calibri" w:cs="Calibri"/>
          <w:color w:val="000000" w:themeColor="text1"/>
        </w:rPr>
        <w:t xml:space="preserve"> Glasgow was followed by the University of Oxford, which</w:t>
      </w:r>
      <w:r w:rsidR="008E07CA" w:rsidRPr="0017357E">
        <w:rPr>
          <w:rFonts w:ascii="Calibri" w:eastAsia="Calibri" w:hAnsi="Calibri" w:cs="Calibri"/>
          <w:color w:val="000000" w:themeColor="text1"/>
        </w:rPr>
        <w:t xml:space="preserve"> </w:t>
      </w:r>
      <w:r w:rsidR="008E07CA">
        <w:rPr>
          <w:rFonts w:ascii="Calibri" w:eastAsia="Calibri" w:hAnsi="Calibri" w:cs="Calibri"/>
          <w:color w:val="000000" w:themeColor="text1"/>
        </w:rPr>
        <w:t xml:space="preserve">created its </w:t>
      </w:r>
      <w:r w:rsidR="008E07CA" w:rsidRPr="0017357E">
        <w:rPr>
          <w:rFonts w:ascii="Calibri" w:eastAsia="Calibri" w:hAnsi="Calibri" w:cs="Calibri"/>
          <w:color w:val="000000" w:themeColor="text1"/>
        </w:rPr>
        <w:t xml:space="preserve">working group on colonialism in 2016 to </w:t>
      </w:r>
      <w:r w:rsidR="008E07CA" w:rsidRPr="7652D584">
        <w:rPr>
          <w:rFonts w:eastAsia="Calibri"/>
          <w:color w:val="000000" w:themeColor="text1"/>
        </w:rPr>
        <w:t>explore ‘</w:t>
      </w:r>
      <w:r w:rsidR="008E07CA" w:rsidRPr="7652D584">
        <w:rPr>
          <w:color w:val="000000" w:themeColor="text1"/>
        </w:rPr>
        <w:t xml:space="preserve">the University’s historic ties with Great Britain’s colonial past and the ways in which the University’s colonial legacies reflect on the present, and our </w:t>
      </w:r>
      <w:r w:rsidR="008E07CA" w:rsidRPr="47117EBE">
        <w:rPr>
          <w:color w:val="000000" w:themeColor="text1"/>
        </w:rPr>
        <w:t>vision of the University’s future’</w:t>
      </w:r>
      <w:r w:rsidR="008E07CA" w:rsidRPr="47117EBE">
        <w:rPr>
          <w:rFonts w:eastAsia="Calibri"/>
          <w:color w:val="000000" w:themeColor="text1"/>
        </w:rPr>
        <w:t>.</w:t>
      </w:r>
      <w:r w:rsidR="008E07CA" w:rsidRPr="47117EBE">
        <w:rPr>
          <w:rStyle w:val="FootnoteReference"/>
          <w:rFonts w:eastAsia="Calibri"/>
          <w:color w:val="000000" w:themeColor="text1"/>
        </w:rPr>
        <w:footnoteReference w:id="18"/>
      </w:r>
      <w:r w:rsidR="008E07CA" w:rsidRPr="47117EBE">
        <w:rPr>
          <w:rFonts w:eastAsia="Calibri"/>
          <w:color w:val="000000" w:themeColor="text1"/>
        </w:rPr>
        <w:t xml:space="preserve"> </w:t>
      </w:r>
      <w:r w:rsidR="00773F7C" w:rsidRPr="0017357E">
        <w:rPr>
          <w:rFonts w:ascii="Calibri" w:eastAsia="Calibri" w:hAnsi="Calibri" w:cs="Calibri"/>
          <w:color w:val="000000" w:themeColor="text1"/>
        </w:rPr>
        <w:t>By 2020, nine UK HEIs had joined the USS consortium</w:t>
      </w:r>
      <w:r w:rsidR="00ED1F16">
        <w:rPr>
          <w:rFonts w:ascii="Calibri" w:eastAsia="Calibri" w:hAnsi="Calibri" w:cs="Calibri"/>
          <w:color w:val="000000" w:themeColor="text1"/>
        </w:rPr>
        <w:t xml:space="preserve">, including </w:t>
      </w:r>
      <w:r w:rsidR="00ED1F16" w:rsidRPr="0017357E">
        <w:rPr>
          <w:rFonts w:ascii="Calibri" w:eastAsia="Calibri" w:hAnsi="Calibri" w:cs="Calibri"/>
          <w:color w:val="000000" w:themeColor="text1"/>
        </w:rPr>
        <w:t>Liverpool John Moores, Bristol, Cambridge, Glasgow, Liverpool, Manchester, Warwick</w:t>
      </w:r>
      <w:r w:rsidR="000829C7">
        <w:rPr>
          <w:rFonts w:ascii="Calibri" w:eastAsia="Calibri" w:hAnsi="Calibri" w:cs="Calibri"/>
          <w:color w:val="000000" w:themeColor="text1"/>
        </w:rPr>
        <w:t>,</w:t>
      </w:r>
      <w:r w:rsidR="00ED1F16" w:rsidRPr="0017357E">
        <w:rPr>
          <w:rFonts w:ascii="Calibri" w:eastAsia="Calibri" w:hAnsi="Calibri" w:cs="Calibri"/>
          <w:color w:val="000000" w:themeColor="text1"/>
        </w:rPr>
        <w:t xml:space="preserve"> Nottingham</w:t>
      </w:r>
      <w:r w:rsidR="000829C7">
        <w:rPr>
          <w:rFonts w:ascii="Calibri" w:eastAsia="Calibri" w:hAnsi="Calibri" w:cs="Calibri"/>
          <w:color w:val="000000" w:themeColor="text1"/>
        </w:rPr>
        <w:t xml:space="preserve"> and </w:t>
      </w:r>
      <w:r w:rsidR="000829C7" w:rsidRPr="0017357E">
        <w:rPr>
          <w:rFonts w:ascii="Calibri" w:eastAsia="Calibri" w:hAnsi="Calibri" w:cs="Calibri"/>
          <w:color w:val="000000" w:themeColor="text1"/>
        </w:rPr>
        <w:t>Edinburgh</w:t>
      </w:r>
      <w:r w:rsidR="00773F7C" w:rsidRPr="0017357E">
        <w:rPr>
          <w:rFonts w:ascii="Calibri" w:eastAsia="Calibri" w:hAnsi="Calibri" w:cs="Calibri"/>
          <w:color w:val="000000" w:themeColor="text1"/>
        </w:rPr>
        <w:t>. This rise in interest has been mirrored in other sectors, with museums, galleries, heritage properties, churches, health trusts, banks and local councils/authorities throughout the UK undertaking projects to understand their relationship to slavery and racism today.</w:t>
      </w:r>
      <w:r w:rsidR="00773F7C" w:rsidRPr="0017357E">
        <w:rPr>
          <w:rStyle w:val="FootnoteReference"/>
          <w:rFonts w:ascii="Calibri" w:eastAsia="Calibri" w:hAnsi="Calibri" w:cs="Calibri"/>
          <w:color w:val="000000" w:themeColor="text1"/>
        </w:rPr>
        <w:footnoteReference w:id="19"/>
      </w:r>
      <w:r w:rsidR="00773F7C" w:rsidRPr="0017357E">
        <w:rPr>
          <w:rFonts w:ascii="Calibri" w:eastAsia="Calibri" w:hAnsi="Calibri" w:cs="Calibri"/>
          <w:color w:val="000000" w:themeColor="text1"/>
        </w:rPr>
        <w:t xml:space="preserve"> </w:t>
      </w:r>
      <w:r w:rsidR="00D4052A">
        <w:rPr>
          <w:rFonts w:eastAsia="Calibri"/>
          <w:color w:val="000000" w:themeColor="text1"/>
        </w:rPr>
        <w:t>The</w:t>
      </w:r>
      <w:r w:rsidR="00D4052A" w:rsidRPr="7652D584">
        <w:rPr>
          <w:rFonts w:eastAsia="Calibri"/>
          <w:color w:val="000000" w:themeColor="text1"/>
        </w:rPr>
        <w:t xml:space="preserve"> murder of George Floyd and the growing awareness of racial inequality </w:t>
      </w:r>
      <w:r w:rsidR="00D4052A">
        <w:rPr>
          <w:rFonts w:eastAsia="Calibri"/>
          <w:color w:val="000000" w:themeColor="text1"/>
        </w:rPr>
        <w:t>across</w:t>
      </w:r>
      <w:r w:rsidR="00D4052A" w:rsidRPr="7652D584">
        <w:rPr>
          <w:rFonts w:eastAsia="Calibri"/>
          <w:color w:val="000000" w:themeColor="text1"/>
        </w:rPr>
        <w:t xml:space="preserve"> higher education and</w:t>
      </w:r>
      <w:r w:rsidR="00D4052A">
        <w:rPr>
          <w:rFonts w:eastAsia="Calibri"/>
          <w:color w:val="000000" w:themeColor="text1"/>
        </w:rPr>
        <w:t xml:space="preserve"> </w:t>
      </w:r>
      <w:r w:rsidR="00D4052A" w:rsidRPr="7652D584">
        <w:rPr>
          <w:rFonts w:eastAsia="Calibri"/>
          <w:color w:val="000000" w:themeColor="text1"/>
        </w:rPr>
        <w:t>all sectors of Western democratic society</w:t>
      </w:r>
      <w:r w:rsidR="00D975A1">
        <w:rPr>
          <w:rFonts w:eastAsia="Calibri"/>
          <w:color w:val="000000" w:themeColor="text1"/>
        </w:rPr>
        <w:t xml:space="preserve"> </w:t>
      </w:r>
      <w:r w:rsidR="00B66DBE">
        <w:rPr>
          <w:rFonts w:eastAsia="Calibri"/>
          <w:color w:val="000000" w:themeColor="text1"/>
        </w:rPr>
        <w:t>has</w:t>
      </w:r>
      <w:r w:rsidR="00BE3E90">
        <w:rPr>
          <w:rFonts w:eastAsia="Calibri"/>
          <w:color w:val="000000" w:themeColor="text1"/>
        </w:rPr>
        <w:t xml:space="preserve"> </w:t>
      </w:r>
      <w:r w:rsidR="000829C7">
        <w:rPr>
          <w:rFonts w:eastAsia="Calibri"/>
          <w:color w:val="000000" w:themeColor="text1"/>
        </w:rPr>
        <w:t>similarly</w:t>
      </w:r>
      <w:r w:rsidR="00ED1F16">
        <w:rPr>
          <w:rFonts w:eastAsia="Calibri"/>
          <w:color w:val="000000" w:themeColor="text1"/>
        </w:rPr>
        <w:t xml:space="preserve"> </w:t>
      </w:r>
      <w:r w:rsidR="00BE3E90">
        <w:rPr>
          <w:rFonts w:eastAsia="Calibri"/>
          <w:color w:val="000000" w:themeColor="text1"/>
        </w:rPr>
        <w:t>added</w:t>
      </w:r>
      <w:r w:rsidR="00C164FB">
        <w:rPr>
          <w:rFonts w:eastAsia="Calibri"/>
          <w:color w:val="000000" w:themeColor="text1"/>
        </w:rPr>
        <w:t xml:space="preserve"> </w:t>
      </w:r>
      <w:r w:rsidR="000829C7">
        <w:rPr>
          <w:rFonts w:eastAsia="Calibri"/>
          <w:color w:val="000000" w:themeColor="text1"/>
        </w:rPr>
        <w:t xml:space="preserve">impetus </w:t>
      </w:r>
      <w:r w:rsidR="00C164FB">
        <w:rPr>
          <w:rFonts w:eastAsia="Calibri"/>
          <w:color w:val="000000" w:themeColor="text1"/>
        </w:rPr>
        <w:t xml:space="preserve">to the importance of </w:t>
      </w:r>
      <w:r w:rsidR="00B66DBE">
        <w:rPr>
          <w:rFonts w:eastAsia="Calibri"/>
          <w:color w:val="000000" w:themeColor="text1"/>
        </w:rPr>
        <w:t>conducting this work</w:t>
      </w:r>
      <w:r w:rsidR="00D4052A" w:rsidRPr="7652D584">
        <w:rPr>
          <w:rFonts w:eastAsia="Calibri"/>
          <w:color w:val="000000" w:themeColor="text1"/>
        </w:rPr>
        <w:t>,</w:t>
      </w:r>
      <w:r w:rsidR="00BC6BBB">
        <w:rPr>
          <w:rFonts w:eastAsia="Calibri"/>
          <w:color w:val="000000" w:themeColor="text1"/>
        </w:rPr>
        <w:t xml:space="preserve"> with</w:t>
      </w:r>
      <w:r w:rsidR="00D4052A" w:rsidRPr="7652D584">
        <w:rPr>
          <w:rFonts w:eastAsia="Calibri"/>
          <w:color w:val="000000" w:themeColor="text1"/>
        </w:rPr>
        <w:t xml:space="preserve"> multiple Russell Group universities</w:t>
      </w:r>
      <w:r w:rsidR="00D4052A" w:rsidRPr="47117EBE">
        <w:rPr>
          <w:rFonts w:eastAsia="Times New Roman"/>
        </w:rPr>
        <w:t xml:space="preserve"> commission</w:t>
      </w:r>
      <w:r w:rsidR="000829C7" w:rsidRPr="47117EBE">
        <w:rPr>
          <w:rFonts w:eastAsia="Times New Roman"/>
        </w:rPr>
        <w:t>ing</w:t>
      </w:r>
      <w:r w:rsidR="00D4052A" w:rsidRPr="47117EBE">
        <w:rPr>
          <w:rFonts w:eastAsia="Times New Roman"/>
        </w:rPr>
        <w:t xml:space="preserve"> inquiries</w:t>
      </w:r>
      <w:r w:rsidR="00BC6BBB" w:rsidRPr="47117EBE">
        <w:rPr>
          <w:rFonts w:eastAsia="Times New Roman"/>
        </w:rPr>
        <w:t xml:space="preserve"> and/or published results</w:t>
      </w:r>
      <w:r w:rsidR="00D4052A" w:rsidRPr="47117EBE">
        <w:rPr>
          <w:rFonts w:eastAsia="Times New Roman"/>
        </w:rPr>
        <w:t>.</w:t>
      </w:r>
      <w:r w:rsidR="00D4052A" w:rsidRPr="47117EBE">
        <w:rPr>
          <w:rStyle w:val="FootnoteReference"/>
          <w:rFonts w:eastAsia="Times New Roman"/>
        </w:rPr>
        <w:footnoteReference w:id="20"/>
      </w:r>
    </w:p>
    <w:p w14:paraId="54B8327E" w14:textId="29A90350" w:rsidR="00AC4E79" w:rsidRDefault="008F7F9F" w:rsidP="00057638">
      <w:pPr>
        <w:spacing w:line="259" w:lineRule="auto"/>
        <w:ind w:firstLine="720"/>
        <w:rPr>
          <w:rFonts w:ascii="Calibri" w:eastAsia="Calibri" w:hAnsi="Calibri" w:cs="Calibri"/>
          <w:color w:val="000000" w:themeColor="text1"/>
        </w:rPr>
      </w:pPr>
      <w:r w:rsidRPr="47117EBE">
        <w:rPr>
          <w:rFonts w:eastAsia="Times New Roman"/>
        </w:rPr>
        <w:t xml:space="preserve">Many of these </w:t>
      </w:r>
      <w:r w:rsidR="4397B633" w:rsidRPr="47117EBE">
        <w:rPr>
          <w:rFonts w:eastAsia="Times New Roman"/>
        </w:rPr>
        <w:t xml:space="preserve">inquiries focus on the enrichment and financial benefits </w:t>
      </w:r>
      <w:r w:rsidR="00835452" w:rsidRPr="47117EBE">
        <w:rPr>
          <w:rFonts w:eastAsia="Times New Roman"/>
        </w:rPr>
        <w:t>that institutions</w:t>
      </w:r>
      <w:r w:rsidR="4397B633" w:rsidRPr="47117EBE">
        <w:rPr>
          <w:rFonts w:eastAsia="Times New Roman"/>
        </w:rPr>
        <w:t xml:space="preserve"> gained from the </w:t>
      </w:r>
      <w:r w:rsidR="29A3C8BA" w:rsidRPr="47117EBE">
        <w:rPr>
          <w:rFonts w:eastAsia="Times New Roman"/>
        </w:rPr>
        <w:t>t</w:t>
      </w:r>
      <w:r w:rsidR="4397B633" w:rsidRPr="47117EBE">
        <w:rPr>
          <w:rFonts w:eastAsia="Times New Roman"/>
        </w:rPr>
        <w:t>rans-</w:t>
      </w:r>
      <w:r w:rsidR="00835452" w:rsidRPr="47117EBE">
        <w:rPr>
          <w:rFonts w:eastAsia="Times New Roman"/>
        </w:rPr>
        <w:t>oceanic trafficking</w:t>
      </w:r>
      <w:r w:rsidR="00E56E33" w:rsidRPr="47117EBE">
        <w:rPr>
          <w:rFonts w:eastAsia="Times New Roman"/>
        </w:rPr>
        <w:t xml:space="preserve"> and</w:t>
      </w:r>
      <w:r w:rsidR="4397B633" w:rsidRPr="47117EBE">
        <w:rPr>
          <w:rFonts w:eastAsia="Times New Roman"/>
        </w:rPr>
        <w:t xml:space="preserve"> enslavement of African peoples. </w:t>
      </w:r>
      <w:r w:rsidR="001F792B" w:rsidRPr="47117EBE">
        <w:rPr>
          <w:rFonts w:eastAsia="Times New Roman"/>
        </w:rPr>
        <w:t xml:space="preserve">In </w:t>
      </w:r>
      <w:r w:rsidR="001F792B" w:rsidRPr="47117EBE">
        <w:rPr>
          <w:rFonts w:eastAsia="Times New Roman"/>
        </w:rPr>
        <w:lastRenderedPageBreak/>
        <w:t>Scotland</w:t>
      </w:r>
      <w:r w:rsidR="4397B633" w:rsidRPr="47117EBE">
        <w:rPr>
          <w:rFonts w:eastAsia="Times New Roman"/>
        </w:rPr>
        <w:t>,</w:t>
      </w:r>
      <w:r w:rsidR="00510078" w:rsidRPr="47117EBE">
        <w:rPr>
          <w:rFonts w:eastAsia="Times New Roman"/>
        </w:rPr>
        <w:t xml:space="preserve"> for example,</w:t>
      </w:r>
      <w:r w:rsidR="4397B633" w:rsidRPr="47117EBE">
        <w:rPr>
          <w:rFonts w:eastAsia="Times New Roman"/>
        </w:rPr>
        <w:t xml:space="preserve"> the Universit</w:t>
      </w:r>
      <w:r w:rsidR="004648CB" w:rsidRPr="47117EBE">
        <w:rPr>
          <w:rFonts w:eastAsia="Times New Roman"/>
        </w:rPr>
        <w:t>ies</w:t>
      </w:r>
      <w:r w:rsidR="4397B633" w:rsidRPr="47117EBE">
        <w:rPr>
          <w:rFonts w:eastAsia="Times New Roman"/>
        </w:rPr>
        <w:t xml:space="preserve"> of Aberdeen, Dundee</w:t>
      </w:r>
      <w:r w:rsidR="004648CB" w:rsidRPr="47117EBE">
        <w:rPr>
          <w:rFonts w:eastAsia="Times New Roman"/>
        </w:rPr>
        <w:t xml:space="preserve">, </w:t>
      </w:r>
      <w:r w:rsidR="4397B633" w:rsidRPr="47117EBE">
        <w:rPr>
          <w:rFonts w:eastAsia="Times New Roman"/>
        </w:rPr>
        <w:t xml:space="preserve">Strathclyde </w:t>
      </w:r>
      <w:r w:rsidR="004648CB" w:rsidRPr="47117EBE">
        <w:rPr>
          <w:rFonts w:eastAsia="Times New Roman"/>
        </w:rPr>
        <w:t>and St Andrews have</w:t>
      </w:r>
      <w:r w:rsidR="006F1A9C" w:rsidRPr="47117EBE">
        <w:rPr>
          <w:rFonts w:eastAsia="Times New Roman"/>
        </w:rPr>
        <w:t xml:space="preserve"> </w:t>
      </w:r>
      <w:r w:rsidR="4397B633" w:rsidRPr="47117EBE">
        <w:rPr>
          <w:rFonts w:eastAsia="Times New Roman"/>
        </w:rPr>
        <w:t>reveal</w:t>
      </w:r>
      <w:r w:rsidR="000829C7" w:rsidRPr="47117EBE">
        <w:rPr>
          <w:rFonts w:eastAsia="Times New Roman"/>
        </w:rPr>
        <w:t>ed</w:t>
      </w:r>
      <w:r w:rsidR="4397B633" w:rsidRPr="47117EBE">
        <w:rPr>
          <w:rFonts w:eastAsia="Times New Roman"/>
        </w:rPr>
        <w:t xml:space="preserve"> how their institutions have been involved with</w:t>
      </w:r>
      <w:r w:rsidR="006F1A9C" w:rsidRPr="47117EBE">
        <w:rPr>
          <w:rFonts w:eastAsia="Times New Roman"/>
        </w:rPr>
        <w:t xml:space="preserve">, </w:t>
      </w:r>
      <w:r w:rsidR="4397B633" w:rsidRPr="47117EBE">
        <w:rPr>
          <w:rFonts w:eastAsia="Times New Roman"/>
        </w:rPr>
        <w:t>or financially benefitted from</w:t>
      </w:r>
      <w:r w:rsidR="006F1A9C" w:rsidRPr="47117EBE">
        <w:rPr>
          <w:rFonts w:eastAsia="Times New Roman"/>
        </w:rPr>
        <w:t>,</w:t>
      </w:r>
      <w:r w:rsidR="4397B633" w:rsidRPr="47117EBE">
        <w:rPr>
          <w:rFonts w:eastAsia="Times New Roman"/>
        </w:rPr>
        <w:t xml:space="preserve"> African enslavement.</w:t>
      </w:r>
      <w:r w:rsidR="00DC6D99" w:rsidRPr="47117EBE">
        <w:rPr>
          <w:rStyle w:val="FootnoteReference"/>
          <w:rFonts w:eastAsia="Times New Roman"/>
        </w:rPr>
        <w:footnoteReference w:id="21"/>
      </w:r>
      <w:r w:rsidR="006368AA" w:rsidRPr="47117EBE">
        <w:rPr>
          <w:rFonts w:eastAsia="Times New Roman"/>
        </w:rPr>
        <w:t xml:space="preserve"> In some cases,</w:t>
      </w:r>
      <w:r w:rsidR="000829C7" w:rsidRPr="47117EBE">
        <w:rPr>
          <w:rFonts w:eastAsia="Times New Roman"/>
        </w:rPr>
        <w:t xml:space="preserve"> </w:t>
      </w:r>
      <w:r w:rsidR="006368AA" w:rsidRPr="47117EBE">
        <w:rPr>
          <w:rFonts w:eastAsia="Times New Roman"/>
        </w:rPr>
        <w:t>report</w:t>
      </w:r>
      <w:r w:rsidR="000829C7" w:rsidRPr="47117EBE">
        <w:rPr>
          <w:rFonts w:eastAsia="Times New Roman"/>
        </w:rPr>
        <w:t>s</w:t>
      </w:r>
      <w:r w:rsidR="006368AA" w:rsidRPr="47117EBE">
        <w:rPr>
          <w:rFonts w:eastAsia="Times New Roman"/>
        </w:rPr>
        <w:t xml:space="preserve"> have been accompanied by parallel investigations into the current state of </w:t>
      </w:r>
      <w:r w:rsidR="001B4842" w:rsidRPr="47117EBE">
        <w:rPr>
          <w:rFonts w:eastAsia="Times New Roman"/>
        </w:rPr>
        <w:t xml:space="preserve">institutional </w:t>
      </w:r>
      <w:r w:rsidR="006368AA" w:rsidRPr="47117EBE">
        <w:rPr>
          <w:rFonts w:eastAsia="Times New Roman"/>
        </w:rPr>
        <w:t>racism</w:t>
      </w:r>
      <w:r w:rsidR="00346B2C" w:rsidRPr="47117EBE">
        <w:rPr>
          <w:rFonts w:eastAsia="Times New Roman"/>
        </w:rPr>
        <w:t xml:space="preserve"> and recommendations</w:t>
      </w:r>
      <w:r w:rsidR="00F86C23" w:rsidRPr="47117EBE">
        <w:rPr>
          <w:rFonts w:eastAsia="Times New Roman"/>
        </w:rPr>
        <w:t xml:space="preserve"> to</w:t>
      </w:r>
      <w:r w:rsidR="00A46F11" w:rsidRPr="47117EBE">
        <w:rPr>
          <w:rFonts w:eastAsia="Times New Roman"/>
        </w:rPr>
        <w:t xml:space="preserve"> remedy the situation</w:t>
      </w:r>
      <w:r w:rsidR="000537E7" w:rsidRPr="47117EBE">
        <w:rPr>
          <w:rFonts w:eastAsia="Times New Roman"/>
        </w:rPr>
        <w:t xml:space="preserve"> through consultation </w:t>
      </w:r>
      <w:r w:rsidR="009E48EE">
        <w:rPr>
          <w:rFonts w:eastAsia="Times New Roman"/>
        </w:rPr>
        <w:t xml:space="preserve">with </w:t>
      </w:r>
      <w:r w:rsidR="009E48EE" w:rsidRPr="47117EBE">
        <w:rPr>
          <w:rFonts w:eastAsia="Times New Roman"/>
        </w:rPr>
        <w:t>staff and student</w:t>
      </w:r>
      <w:r w:rsidR="009E48EE">
        <w:rPr>
          <w:rFonts w:eastAsia="Times New Roman"/>
        </w:rPr>
        <w:t>s</w:t>
      </w:r>
      <w:r w:rsidR="009E48EE" w:rsidRPr="47117EBE">
        <w:rPr>
          <w:rFonts w:eastAsia="Times New Roman"/>
        </w:rPr>
        <w:t xml:space="preserve"> </w:t>
      </w:r>
      <w:r w:rsidR="000537E7" w:rsidRPr="47117EBE">
        <w:rPr>
          <w:rFonts w:eastAsia="Times New Roman"/>
        </w:rPr>
        <w:t>and</w:t>
      </w:r>
      <w:r w:rsidR="00A46F11" w:rsidRPr="47117EBE">
        <w:rPr>
          <w:rFonts w:eastAsia="Times New Roman"/>
        </w:rPr>
        <w:t xml:space="preserve"> </w:t>
      </w:r>
      <w:r w:rsidR="00B139DF" w:rsidRPr="47117EBE">
        <w:rPr>
          <w:rFonts w:eastAsia="Times New Roman"/>
        </w:rPr>
        <w:t xml:space="preserve">efforts to decolonise the curriculum. </w:t>
      </w:r>
      <w:r w:rsidR="00EF5533" w:rsidRPr="47117EBE">
        <w:rPr>
          <w:rFonts w:eastAsia="Times New Roman"/>
        </w:rPr>
        <w:t>The</w:t>
      </w:r>
      <w:r w:rsidR="494457F2" w:rsidRPr="47117EBE">
        <w:rPr>
          <w:rFonts w:eastAsia="Calibri"/>
          <w:color w:val="000000" w:themeColor="text1"/>
        </w:rPr>
        <w:t xml:space="preserve"> University of Manchester</w:t>
      </w:r>
      <w:r w:rsidR="00EF5533" w:rsidRPr="47117EBE">
        <w:rPr>
          <w:rFonts w:eastAsia="Calibri"/>
          <w:color w:val="000000" w:themeColor="text1"/>
        </w:rPr>
        <w:t>, for example, published its</w:t>
      </w:r>
      <w:r w:rsidR="494457F2" w:rsidRPr="47117EBE">
        <w:rPr>
          <w:rFonts w:eastAsia="Calibri"/>
          <w:color w:val="000000" w:themeColor="text1"/>
        </w:rPr>
        <w:t xml:space="preserve"> </w:t>
      </w:r>
      <w:r w:rsidR="000C5A8F" w:rsidRPr="47117EBE">
        <w:rPr>
          <w:rFonts w:eastAsia="Calibri"/>
          <w:color w:val="000000" w:themeColor="text1"/>
        </w:rPr>
        <w:t>‘</w:t>
      </w:r>
      <w:r w:rsidR="494457F2" w:rsidRPr="47117EBE">
        <w:rPr>
          <w:rFonts w:eastAsia="Calibri"/>
          <w:color w:val="000000" w:themeColor="text1"/>
        </w:rPr>
        <w:t>Race Matters</w:t>
      </w:r>
      <w:r w:rsidR="000C5A8F" w:rsidRPr="47117EBE">
        <w:rPr>
          <w:rFonts w:eastAsia="Calibri"/>
          <w:color w:val="000000" w:themeColor="text1"/>
        </w:rPr>
        <w:t>’</w:t>
      </w:r>
      <w:r w:rsidR="494457F2" w:rsidRPr="47117EBE">
        <w:rPr>
          <w:rFonts w:eastAsia="Calibri"/>
          <w:color w:val="000000" w:themeColor="text1"/>
        </w:rPr>
        <w:t xml:space="preserve"> report </w:t>
      </w:r>
      <w:r w:rsidR="00EF5533" w:rsidRPr="47117EBE">
        <w:rPr>
          <w:rFonts w:eastAsia="Calibri"/>
          <w:color w:val="000000" w:themeColor="text1"/>
        </w:rPr>
        <w:t xml:space="preserve">and launched a </w:t>
      </w:r>
      <w:r w:rsidR="44BE032A" w:rsidRPr="47117EBE">
        <w:rPr>
          <w:rFonts w:eastAsia="Calibri"/>
          <w:color w:val="000000" w:themeColor="text1"/>
        </w:rPr>
        <w:t>module</w:t>
      </w:r>
      <w:r w:rsidR="335F10BF" w:rsidRPr="0017357E">
        <w:rPr>
          <w:rFonts w:ascii="Calibri" w:eastAsia="Calibri" w:hAnsi="Calibri" w:cs="Calibri"/>
          <w:color w:val="000000" w:themeColor="text1"/>
        </w:rPr>
        <w:t xml:space="preserve"> </w:t>
      </w:r>
      <w:r w:rsidR="335F10BF" w:rsidRPr="572AC295">
        <w:rPr>
          <w:rFonts w:ascii="Calibri" w:eastAsia="Calibri" w:hAnsi="Calibri" w:cs="Calibri"/>
          <w:color w:val="000000" w:themeColor="text1"/>
        </w:rPr>
        <w:t>investigati</w:t>
      </w:r>
      <w:r w:rsidR="0318DB40" w:rsidRPr="572AC295">
        <w:rPr>
          <w:rFonts w:ascii="Calibri" w:eastAsia="Calibri" w:hAnsi="Calibri" w:cs="Calibri"/>
          <w:color w:val="000000" w:themeColor="text1"/>
        </w:rPr>
        <w:t xml:space="preserve">ng </w:t>
      </w:r>
      <w:r w:rsidR="335F10BF" w:rsidRPr="572AC295">
        <w:rPr>
          <w:rFonts w:ascii="Calibri" w:eastAsia="Calibri" w:hAnsi="Calibri" w:cs="Calibri"/>
          <w:color w:val="000000" w:themeColor="text1"/>
        </w:rPr>
        <w:t>the legacies of slavery</w:t>
      </w:r>
      <w:r w:rsidR="003B112E">
        <w:rPr>
          <w:rFonts w:ascii="Calibri" w:eastAsia="Calibri" w:hAnsi="Calibri" w:cs="Calibri"/>
          <w:color w:val="000000" w:themeColor="text1"/>
        </w:rPr>
        <w:t>.</w:t>
      </w:r>
      <w:r w:rsidR="003B112E" w:rsidRPr="47117EBE">
        <w:rPr>
          <w:rStyle w:val="FootnoteReference"/>
          <w:rFonts w:eastAsia="Calibri"/>
          <w:color w:val="000000" w:themeColor="text1"/>
        </w:rPr>
        <w:footnoteReference w:id="22"/>
      </w:r>
      <w:r w:rsidR="003B112E">
        <w:rPr>
          <w:rFonts w:ascii="Calibri" w:eastAsia="Calibri" w:hAnsi="Calibri" w:cs="Calibri"/>
          <w:color w:val="000000" w:themeColor="text1"/>
        </w:rPr>
        <w:t xml:space="preserve"> This formed</w:t>
      </w:r>
      <w:r w:rsidR="335F10BF" w:rsidRPr="572AC295">
        <w:rPr>
          <w:rFonts w:ascii="Calibri" w:eastAsia="Calibri" w:hAnsi="Calibri" w:cs="Calibri"/>
          <w:color w:val="000000" w:themeColor="text1"/>
        </w:rPr>
        <w:t xml:space="preserve"> part of an effort to generate greater awareness of institutional racism in the discipline of history and</w:t>
      </w:r>
      <w:r w:rsidR="00EF5533">
        <w:rPr>
          <w:rFonts w:ascii="Calibri" w:eastAsia="Calibri" w:hAnsi="Calibri" w:cs="Calibri"/>
          <w:color w:val="000000" w:themeColor="text1"/>
        </w:rPr>
        <w:t xml:space="preserve"> address</w:t>
      </w:r>
      <w:r w:rsidR="335F10BF" w:rsidRPr="572AC295">
        <w:rPr>
          <w:rFonts w:ascii="Calibri" w:eastAsia="Calibri" w:hAnsi="Calibri" w:cs="Calibri"/>
          <w:color w:val="000000" w:themeColor="text1"/>
        </w:rPr>
        <w:t xml:space="preserve"> the absence of colonialism and decoloniality throughout its curriculum.</w:t>
      </w:r>
      <w:r w:rsidR="00EF5533" w:rsidRPr="47117EBE">
        <w:rPr>
          <w:rFonts w:eastAsia="Calibri"/>
          <w:color w:val="000000" w:themeColor="text1"/>
        </w:rPr>
        <w:t xml:space="preserve"> </w:t>
      </w:r>
      <w:r w:rsidR="000537E7">
        <w:rPr>
          <w:rFonts w:ascii="Calibri" w:eastAsia="Calibri" w:hAnsi="Calibri" w:cs="Calibri"/>
          <w:color w:val="000000" w:themeColor="text1"/>
        </w:rPr>
        <w:t xml:space="preserve">The </w:t>
      </w:r>
      <w:r w:rsidR="335F10BF" w:rsidRPr="0092197F">
        <w:rPr>
          <w:rFonts w:ascii="Calibri" w:eastAsia="Calibri" w:hAnsi="Calibri" w:cs="Calibri"/>
          <w:color w:val="000000" w:themeColor="text1"/>
        </w:rPr>
        <w:t>University of Strathclyde</w:t>
      </w:r>
      <w:r w:rsidR="0047119D" w:rsidRPr="0092197F">
        <w:rPr>
          <w:rFonts w:ascii="Calibri" w:eastAsia="Calibri" w:hAnsi="Calibri" w:cs="Calibri"/>
          <w:color w:val="000000" w:themeColor="text1"/>
        </w:rPr>
        <w:t>’s</w:t>
      </w:r>
      <w:r w:rsidR="335F10BF" w:rsidRPr="0092197F">
        <w:rPr>
          <w:rFonts w:ascii="Calibri" w:eastAsia="Calibri" w:hAnsi="Calibri" w:cs="Calibri"/>
          <w:color w:val="000000" w:themeColor="text1"/>
        </w:rPr>
        <w:t xml:space="preserve"> </w:t>
      </w:r>
      <w:hyperlink r:id="rId57" w:anchor=":~:text=The%20University%20of%20Strathclyde%20has,from%20money%20derived%20from%20slavery">
        <w:r w:rsidR="335F10BF" w:rsidRPr="0092197F">
          <w:rPr>
            <w:rStyle w:val="Hyperlink"/>
            <w:rFonts w:ascii="Calibri" w:eastAsia="Calibri" w:hAnsi="Calibri" w:cs="Calibri"/>
            <w:color w:val="000000" w:themeColor="text1"/>
          </w:rPr>
          <w:t>report</w:t>
        </w:r>
      </w:hyperlink>
      <w:r w:rsidR="335F10BF" w:rsidRPr="0092197F">
        <w:rPr>
          <w:rFonts w:ascii="Calibri" w:eastAsia="Calibri" w:hAnsi="Calibri" w:cs="Calibri"/>
          <w:color w:val="000000" w:themeColor="text1"/>
        </w:rPr>
        <w:t xml:space="preserve"> </w:t>
      </w:r>
      <w:r w:rsidR="000537E7">
        <w:rPr>
          <w:rFonts w:ascii="Calibri" w:eastAsia="Calibri" w:hAnsi="Calibri" w:cs="Calibri"/>
          <w:color w:val="000000" w:themeColor="text1"/>
        </w:rPr>
        <w:t xml:space="preserve">also </w:t>
      </w:r>
      <w:r w:rsidR="00C271D5" w:rsidRPr="0092197F">
        <w:rPr>
          <w:rFonts w:ascii="Calibri" w:eastAsia="Calibri" w:hAnsi="Calibri" w:cs="Calibri"/>
          <w:color w:val="000000" w:themeColor="text1"/>
        </w:rPr>
        <w:t>include</w:t>
      </w:r>
      <w:r w:rsidR="000537E7">
        <w:rPr>
          <w:rFonts w:ascii="Calibri" w:eastAsia="Calibri" w:hAnsi="Calibri" w:cs="Calibri"/>
          <w:color w:val="000000" w:themeColor="text1"/>
        </w:rPr>
        <w:t>s</w:t>
      </w:r>
      <w:r w:rsidR="00C271D5" w:rsidRPr="0092197F">
        <w:rPr>
          <w:rFonts w:ascii="Calibri" w:eastAsia="Calibri" w:hAnsi="Calibri" w:cs="Calibri"/>
          <w:color w:val="000000" w:themeColor="text1"/>
        </w:rPr>
        <w:t xml:space="preserve"> </w:t>
      </w:r>
      <w:hyperlink r:id="rId58" w:anchor=":~:text=The%20University%20of%20Strathclyde%20has,from%20money%20derived%20from%20slavery">
        <w:r w:rsidR="335F10BF" w:rsidRPr="0092197F">
          <w:rPr>
            <w:rStyle w:val="Hyperlink"/>
            <w:rFonts w:ascii="Calibri" w:eastAsia="Calibri" w:hAnsi="Calibri" w:cs="Calibri"/>
            <w:color w:val="000000" w:themeColor="text1"/>
          </w:rPr>
          <w:t>multiple initiatives</w:t>
        </w:r>
      </w:hyperlink>
      <w:r w:rsidR="23AC28C4" w:rsidRPr="0092197F">
        <w:rPr>
          <w:rFonts w:ascii="Calibri" w:eastAsia="Calibri" w:hAnsi="Calibri" w:cs="Calibri"/>
          <w:color w:val="000000" w:themeColor="text1"/>
        </w:rPr>
        <w:t xml:space="preserve"> to improve </w:t>
      </w:r>
      <w:r w:rsidR="00C271D5" w:rsidRPr="0092197F">
        <w:rPr>
          <w:rFonts w:ascii="Calibri" w:eastAsia="Calibri" w:hAnsi="Calibri" w:cs="Calibri"/>
          <w:color w:val="000000" w:themeColor="text1"/>
        </w:rPr>
        <w:t xml:space="preserve">the racial </w:t>
      </w:r>
      <w:r w:rsidR="23AC28C4" w:rsidRPr="0092197F">
        <w:rPr>
          <w:rFonts w:ascii="Calibri" w:eastAsia="Calibri" w:hAnsi="Calibri" w:cs="Calibri"/>
          <w:color w:val="000000" w:themeColor="text1"/>
        </w:rPr>
        <w:t xml:space="preserve">climate </w:t>
      </w:r>
      <w:r w:rsidR="000537E7">
        <w:rPr>
          <w:rFonts w:ascii="Calibri" w:eastAsia="Calibri" w:hAnsi="Calibri" w:cs="Calibri"/>
          <w:color w:val="000000" w:themeColor="text1"/>
        </w:rPr>
        <w:t>and has led</w:t>
      </w:r>
      <w:r w:rsidR="0092197F" w:rsidRPr="0092197F">
        <w:rPr>
          <w:rFonts w:ascii="Calibri" w:eastAsia="Calibri" w:hAnsi="Calibri" w:cs="Calibri"/>
          <w:color w:val="000000" w:themeColor="text1"/>
        </w:rPr>
        <w:t xml:space="preserve"> to the</w:t>
      </w:r>
      <w:r w:rsidR="752D2C88" w:rsidRPr="0092197F">
        <w:rPr>
          <w:rFonts w:ascii="Calibri" w:eastAsia="Calibri" w:hAnsi="Calibri" w:cs="Calibri"/>
          <w:color w:val="000000" w:themeColor="text1"/>
        </w:rPr>
        <w:t xml:space="preserve"> appointment of the </w:t>
      </w:r>
      <w:r w:rsidR="00EA1C3F">
        <w:rPr>
          <w:rFonts w:ascii="Calibri" w:eastAsia="Calibri" w:hAnsi="Calibri" w:cs="Calibri"/>
          <w:color w:val="000000" w:themeColor="text1"/>
        </w:rPr>
        <w:t>U</w:t>
      </w:r>
      <w:r w:rsidR="752D2C88" w:rsidRPr="0092197F">
        <w:rPr>
          <w:rFonts w:ascii="Calibri" w:eastAsia="Calibri" w:hAnsi="Calibri" w:cs="Calibri"/>
          <w:color w:val="000000" w:themeColor="text1"/>
        </w:rPr>
        <w:t>niversity’s first Senior Race Equality Officer</w:t>
      </w:r>
      <w:r w:rsidR="335F10BF" w:rsidRPr="0092197F">
        <w:rPr>
          <w:rFonts w:ascii="Calibri" w:eastAsia="Calibri" w:hAnsi="Calibri" w:cs="Calibri"/>
          <w:color w:val="000000" w:themeColor="text1"/>
        </w:rPr>
        <w:t>.</w:t>
      </w:r>
      <w:r w:rsidR="00773F7C" w:rsidRPr="0092197F">
        <w:rPr>
          <w:rStyle w:val="FootnoteReference"/>
          <w:rFonts w:ascii="Calibri" w:hAnsi="Calibri" w:cs="Calibri"/>
          <w:color w:val="000000" w:themeColor="text1"/>
        </w:rPr>
        <w:footnoteReference w:id="23"/>
      </w:r>
      <w:r w:rsidR="23AC28C4" w:rsidRPr="0092197F">
        <w:rPr>
          <w:rFonts w:ascii="Calibri" w:eastAsia="Calibri" w:hAnsi="Calibri" w:cs="Calibri"/>
          <w:color w:val="000000" w:themeColor="text1"/>
        </w:rPr>
        <w:t xml:space="preserve"> </w:t>
      </w:r>
      <w:r w:rsidR="0BC695D5" w:rsidRPr="0092197F">
        <w:rPr>
          <w:rFonts w:ascii="Calibri" w:eastAsia="Calibri" w:hAnsi="Calibri" w:cs="Calibri"/>
          <w:color w:val="000000" w:themeColor="text1"/>
        </w:rPr>
        <w:t xml:space="preserve"> </w:t>
      </w:r>
    </w:p>
    <w:p w14:paraId="633E074D" w14:textId="6B733D5B" w:rsidR="00773F7C" w:rsidRPr="0017357E" w:rsidRDefault="00773F7C" w:rsidP="00057638">
      <w:pPr>
        <w:spacing w:line="259" w:lineRule="auto"/>
        <w:ind w:firstLine="720"/>
        <w:rPr>
          <w:rFonts w:ascii="Calibri" w:eastAsia="Calibri" w:hAnsi="Calibri" w:cs="Calibri"/>
          <w:color w:val="000000" w:themeColor="text1"/>
        </w:rPr>
      </w:pPr>
      <w:r w:rsidRPr="0092197F">
        <w:rPr>
          <w:rFonts w:ascii="Calibri" w:eastAsia="Calibri" w:hAnsi="Calibri" w:cs="Calibri"/>
          <w:color w:val="000000" w:themeColor="text1"/>
        </w:rPr>
        <w:t>What these reports demonstrate is a</w:t>
      </w:r>
      <w:r w:rsidR="00AC4E79">
        <w:rPr>
          <w:rFonts w:ascii="Calibri" w:eastAsia="Calibri" w:hAnsi="Calibri" w:cs="Calibri"/>
          <w:color w:val="000000" w:themeColor="text1"/>
        </w:rPr>
        <w:t xml:space="preserve"> widespread awareness that universities </w:t>
      </w:r>
      <w:r w:rsidR="0052569F">
        <w:rPr>
          <w:rFonts w:ascii="Calibri" w:eastAsia="Calibri" w:hAnsi="Calibri" w:cs="Calibri"/>
          <w:color w:val="000000" w:themeColor="text1"/>
        </w:rPr>
        <w:t xml:space="preserve">have long </w:t>
      </w:r>
      <w:r w:rsidR="00AC4E79">
        <w:rPr>
          <w:rFonts w:ascii="Calibri" w:eastAsia="Calibri" w:hAnsi="Calibri" w:cs="Calibri"/>
          <w:color w:val="000000" w:themeColor="text1"/>
        </w:rPr>
        <w:t>benefitted financially from enslavement and colonialism</w:t>
      </w:r>
      <w:r w:rsidR="00756A6E">
        <w:rPr>
          <w:rFonts w:ascii="Calibri" w:eastAsia="Calibri" w:hAnsi="Calibri" w:cs="Calibri"/>
          <w:color w:val="000000" w:themeColor="text1"/>
        </w:rPr>
        <w:t xml:space="preserve"> and that</w:t>
      </w:r>
      <w:r w:rsidRPr="0092197F">
        <w:rPr>
          <w:rFonts w:ascii="Calibri" w:eastAsia="Calibri" w:hAnsi="Calibri" w:cs="Calibri"/>
          <w:color w:val="000000" w:themeColor="text1"/>
        </w:rPr>
        <w:t xml:space="preserve"> </w:t>
      </w:r>
      <w:r w:rsidR="00756A6E">
        <w:rPr>
          <w:rFonts w:ascii="Calibri" w:eastAsia="Calibri" w:hAnsi="Calibri" w:cs="Calibri"/>
          <w:color w:val="000000" w:themeColor="text1"/>
        </w:rPr>
        <w:t>institutions need to do much more to</w:t>
      </w:r>
      <w:r w:rsidRPr="0092197F">
        <w:rPr>
          <w:rFonts w:ascii="Calibri" w:eastAsia="Calibri" w:hAnsi="Calibri" w:cs="Calibri"/>
          <w:color w:val="000000" w:themeColor="text1"/>
        </w:rPr>
        <w:t xml:space="preserve"> </w:t>
      </w:r>
      <w:r w:rsidRPr="0017357E">
        <w:rPr>
          <w:rFonts w:ascii="Calibri" w:eastAsia="Calibri" w:hAnsi="Calibri" w:cs="Calibri"/>
          <w:color w:val="000000" w:themeColor="text1"/>
        </w:rPr>
        <w:t xml:space="preserve">address historical and contemporary biases, </w:t>
      </w:r>
      <w:r w:rsidR="0098637A">
        <w:rPr>
          <w:rFonts w:ascii="Calibri" w:eastAsia="Calibri" w:hAnsi="Calibri" w:cs="Calibri"/>
          <w:color w:val="000000" w:themeColor="text1"/>
        </w:rPr>
        <w:t>especially</w:t>
      </w:r>
      <w:r w:rsidRPr="0017357E">
        <w:rPr>
          <w:rFonts w:ascii="Calibri" w:eastAsia="Calibri" w:hAnsi="Calibri" w:cs="Calibri"/>
          <w:color w:val="000000" w:themeColor="text1"/>
        </w:rPr>
        <w:t xml:space="preserve"> given the</w:t>
      </w:r>
      <w:r w:rsidR="0098637A">
        <w:rPr>
          <w:rFonts w:ascii="Calibri" w:eastAsia="Calibri" w:hAnsi="Calibri" w:cs="Calibri"/>
          <w:color w:val="000000" w:themeColor="text1"/>
        </w:rPr>
        <w:t xml:space="preserve">ir </w:t>
      </w:r>
      <w:r w:rsidRPr="0017357E">
        <w:rPr>
          <w:rFonts w:ascii="Calibri" w:eastAsia="Calibri" w:hAnsi="Calibri" w:cs="Calibri"/>
          <w:color w:val="000000" w:themeColor="text1"/>
        </w:rPr>
        <w:t xml:space="preserve">global role in educating successive generations </w:t>
      </w:r>
      <w:r w:rsidR="0098637A">
        <w:rPr>
          <w:rFonts w:ascii="Calibri" w:eastAsia="Calibri" w:hAnsi="Calibri" w:cs="Calibri"/>
          <w:color w:val="000000" w:themeColor="text1"/>
        </w:rPr>
        <w:t>that will shape</w:t>
      </w:r>
      <w:r w:rsidRPr="0017357E">
        <w:rPr>
          <w:rFonts w:ascii="Calibri" w:eastAsia="Calibri" w:hAnsi="Calibri" w:cs="Calibri"/>
          <w:color w:val="000000" w:themeColor="text1"/>
        </w:rPr>
        <w:t xml:space="preserve"> future societies. </w:t>
      </w:r>
      <w:r w:rsidR="00550ABD">
        <w:rPr>
          <w:rFonts w:ascii="Calibri" w:eastAsia="Calibri" w:hAnsi="Calibri" w:cs="Calibri"/>
          <w:color w:val="000000" w:themeColor="text1"/>
        </w:rPr>
        <w:t>Primarily they point to</w:t>
      </w:r>
      <w:r w:rsidR="00DA3198">
        <w:rPr>
          <w:rFonts w:ascii="Calibri" w:eastAsia="Calibri" w:hAnsi="Calibri" w:cs="Calibri"/>
          <w:color w:val="000000" w:themeColor="text1"/>
        </w:rPr>
        <w:t xml:space="preserve"> three main issues:</w:t>
      </w:r>
    </w:p>
    <w:p w14:paraId="475D9964" w14:textId="00CCE62D" w:rsidR="00773F7C" w:rsidRPr="0017357E" w:rsidRDefault="00773F7C" w:rsidP="00057638">
      <w:pPr>
        <w:spacing w:line="259" w:lineRule="auto"/>
        <w:rPr>
          <w:rFonts w:ascii="Calibri" w:eastAsia="Calibri" w:hAnsi="Calibri" w:cs="Calibri"/>
          <w:color w:val="000000" w:themeColor="text1"/>
        </w:rPr>
      </w:pPr>
    </w:p>
    <w:p w14:paraId="1713D622" w14:textId="5CE94854" w:rsidR="00773F7C" w:rsidRPr="0017357E" w:rsidRDefault="00E6311F" w:rsidP="00057638">
      <w:pPr>
        <w:pStyle w:val="ListParagraph"/>
        <w:numPr>
          <w:ilvl w:val="0"/>
          <w:numId w:val="1"/>
        </w:numPr>
        <w:spacing w:line="259" w:lineRule="auto"/>
        <w:rPr>
          <w:rFonts w:ascii="Calibri" w:eastAsia="Calibri" w:hAnsi="Calibri" w:cs="Calibri"/>
          <w:color w:val="000000" w:themeColor="text1"/>
        </w:rPr>
      </w:pPr>
      <w:r>
        <w:rPr>
          <w:rFonts w:ascii="Calibri" w:eastAsia="Calibri" w:hAnsi="Calibri" w:cs="Calibri"/>
          <w:color w:val="000000" w:themeColor="text1"/>
        </w:rPr>
        <w:t>C</w:t>
      </w:r>
      <w:r w:rsidR="00773F7C" w:rsidRPr="0017357E">
        <w:rPr>
          <w:rFonts w:ascii="Calibri" w:eastAsia="Calibri" w:hAnsi="Calibri" w:cs="Calibri"/>
          <w:color w:val="000000" w:themeColor="text1"/>
        </w:rPr>
        <w:t xml:space="preserve">onnections </w:t>
      </w:r>
      <w:r>
        <w:rPr>
          <w:rFonts w:ascii="Calibri" w:eastAsia="Calibri" w:hAnsi="Calibri" w:cs="Calibri"/>
          <w:color w:val="000000" w:themeColor="text1"/>
        </w:rPr>
        <w:t>of</w:t>
      </w:r>
      <w:r w:rsidR="00773F7C" w:rsidRPr="0017357E">
        <w:rPr>
          <w:rFonts w:ascii="Calibri" w:eastAsia="Calibri" w:hAnsi="Calibri" w:cs="Calibri"/>
          <w:color w:val="000000" w:themeColor="text1"/>
        </w:rPr>
        <w:t xml:space="preserve"> former students, alumni, professors and officers/administrators</w:t>
      </w:r>
      <w:r>
        <w:rPr>
          <w:rFonts w:ascii="Calibri" w:eastAsia="Calibri" w:hAnsi="Calibri" w:cs="Calibri"/>
          <w:color w:val="000000" w:themeColor="text1"/>
        </w:rPr>
        <w:t xml:space="preserve"> to slavery</w:t>
      </w:r>
      <w:r w:rsidR="00773F7C" w:rsidRPr="0017357E">
        <w:rPr>
          <w:rFonts w:ascii="Calibri" w:eastAsia="Calibri" w:hAnsi="Calibri" w:cs="Calibri"/>
          <w:color w:val="000000" w:themeColor="text1"/>
        </w:rPr>
        <w:t>;</w:t>
      </w:r>
    </w:p>
    <w:p w14:paraId="1C727450" w14:textId="08C9007E" w:rsidR="00773F7C" w:rsidRPr="0017357E" w:rsidRDefault="00773F7C" w:rsidP="00057638">
      <w:pPr>
        <w:pStyle w:val="ListParagraph"/>
        <w:numPr>
          <w:ilvl w:val="0"/>
          <w:numId w:val="1"/>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Financial contributions in the form of endowments, donations, estates or capital campaigns linked to slavery;</w:t>
      </w:r>
    </w:p>
    <w:p w14:paraId="1AF99EE5" w14:textId="76F0EFA1" w:rsidR="00773F7C" w:rsidRPr="0017357E" w:rsidRDefault="00773F7C" w:rsidP="00057638">
      <w:pPr>
        <w:pStyle w:val="ListParagraph"/>
        <w:numPr>
          <w:ilvl w:val="0"/>
          <w:numId w:val="1"/>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And the presence of Black, Asian or other racially/ethnically minoritised students or </w:t>
      </w:r>
      <w:r w:rsidR="00DA3198">
        <w:rPr>
          <w:rFonts w:ascii="Calibri" w:eastAsia="Calibri" w:hAnsi="Calibri" w:cs="Calibri"/>
          <w:color w:val="000000" w:themeColor="text1"/>
        </w:rPr>
        <w:t>staff</w:t>
      </w:r>
      <w:r w:rsidRPr="0017357E">
        <w:rPr>
          <w:rFonts w:ascii="Calibri" w:eastAsia="Calibri" w:hAnsi="Calibri" w:cs="Calibri"/>
          <w:color w:val="000000" w:themeColor="text1"/>
        </w:rPr>
        <w:t xml:space="preserve"> that have been ignored throughout the history of the respective university. </w:t>
      </w:r>
    </w:p>
    <w:p w14:paraId="55DE380F" w14:textId="4F73BD29" w:rsidR="00773F7C" w:rsidRPr="0017357E" w:rsidRDefault="00773F7C" w:rsidP="00057638">
      <w:pPr>
        <w:spacing w:line="259" w:lineRule="auto"/>
        <w:rPr>
          <w:rFonts w:ascii="Calibri" w:eastAsia="Calibri" w:hAnsi="Calibri" w:cs="Calibri"/>
          <w:color w:val="000000" w:themeColor="text1"/>
        </w:rPr>
      </w:pPr>
    </w:p>
    <w:p w14:paraId="58A087E3" w14:textId="5C7D3CA9" w:rsidR="00773F7C" w:rsidRPr="0017357E" w:rsidRDefault="23AC28C4" w:rsidP="00057638">
      <w:pPr>
        <w:spacing w:line="259" w:lineRule="auto"/>
        <w:ind w:firstLine="720"/>
        <w:rPr>
          <w:rFonts w:ascii="Calibri" w:eastAsia="Calibri" w:hAnsi="Calibri" w:cs="Calibri"/>
          <w:color w:val="000000" w:themeColor="text1"/>
        </w:rPr>
      </w:pPr>
      <w:r w:rsidRPr="0017357E">
        <w:rPr>
          <w:rFonts w:ascii="Calibri" w:eastAsia="Calibri" w:hAnsi="Calibri" w:cs="Calibri"/>
          <w:color w:val="000000" w:themeColor="text1"/>
        </w:rPr>
        <w:t xml:space="preserve">If these represent commonalities in the reports on the history of slavery in the UK, they also differ according to the character of the institution. The University of Glasgow, for example, has historically been praised for being home to leading abolitionist thinkers during the </w:t>
      </w:r>
      <w:r w:rsidR="002C5B24">
        <w:rPr>
          <w:rFonts w:ascii="Calibri" w:eastAsia="Calibri" w:hAnsi="Calibri" w:cs="Calibri"/>
          <w:color w:val="000000" w:themeColor="text1"/>
        </w:rPr>
        <w:t>18th</w:t>
      </w:r>
      <w:r w:rsidR="002C5B24" w:rsidRPr="0017357E">
        <w:rPr>
          <w:rFonts w:ascii="Calibri" w:eastAsia="Calibri" w:hAnsi="Calibri" w:cs="Calibri"/>
          <w:color w:val="000000" w:themeColor="text1"/>
        </w:rPr>
        <w:t xml:space="preserve"> </w:t>
      </w:r>
      <w:r w:rsidRPr="0017357E">
        <w:rPr>
          <w:rFonts w:ascii="Calibri" w:eastAsia="Calibri" w:hAnsi="Calibri" w:cs="Calibri"/>
          <w:color w:val="000000" w:themeColor="text1"/>
        </w:rPr>
        <w:t xml:space="preserve">and </w:t>
      </w:r>
      <w:r w:rsidR="002C5B24">
        <w:rPr>
          <w:rFonts w:ascii="Calibri" w:eastAsia="Calibri" w:hAnsi="Calibri" w:cs="Calibri"/>
          <w:color w:val="000000" w:themeColor="text1"/>
        </w:rPr>
        <w:t>19</w:t>
      </w:r>
      <w:r w:rsidR="002C5B24" w:rsidRPr="00057638">
        <w:rPr>
          <w:rFonts w:ascii="Calibri" w:eastAsia="Calibri" w:hAnsi="Calibri" w:cs="Calibri"/>
          <w:color w:val="000000" w:themeColor="text1"/>
          <w:vertAlign w:val="superscript"/>
        </w:rPr>
        <w:t>th</w:t>
      </w:r>
      <w:r w:rsidR="002C5B24">
        <w:rPr>
          <w:rFonts w:ascii="Calibri" w:eastAsia="Calibri" w:hAnsi="Calibri" w:cs="Calibri"/>
          <w:color w:val="000000" w:themeColor="text1"/>
        </w:rPr>
        <w:t xml:space="preserve"> </w:t>
      </w:r>
      <w:r w:rsidRPr="0017357E">
        <w:rPr>
          <w:rFonts w:ascii="Calibri" w:eastAsia="Calibri" w:hAnsi="Calibri" w:cs="Calibri"/>
          <w:color w:val="000000" w:themeColor="text1"/>
        </w:rPr>
        <w:t>centuries. In response, their ‘</w:t>
      </w:r>
      <w:hyperlink r:id="rId59">
        <w:r w:rsidRPr="0017357E">
          <w:rPr>
            <w:rStyle w:val="Hyperlink"/>
            <w:rFonts w:ascii="Calibri" w:eastAsia="Calibri" w:hAnsi="Calibri" w:cs="Calibri"/>
            <w:color w:val="000000" w:themeColor="text1"/>
          </w:rPr>
          <w:t xml:space="preserve">Slavery, Abolition and the University of </w:t>
        </w:r>
        <w:r w:rsidRPr="0017357E">
          <w:rPr>
            <w:rStyle w:val="Hyperlink"/>
            <w:rFonts w:ascii="Calibri" w:eastAsia="Calibri" w:hAnsi="Calibri" w:cs="Calibri"/>
            <w:color w:val="000000" w:themeColor="text1"/>
          </w:rPr>
          <w:lastRenderedPageBreak/>
          <w:t>Glasgow</w:t>
        </w:r>
      </w:hyperlink>
      <w:r w:rsidRPr="0017357E">
        <w:rPr>
          <w:rFonts w:ascii="Calibri" w:eastAsia="Calibri" w:hAnsi="Calibri" w:cs="Calibri"/>
          <w:color w:val="000000" w:themeColor="text1"/>
        </w:rPr>
        <w:t>’ report shows how bursaries and financial contributions from pro-slavery associations ran contrary to the much-celebrated abolitionism of the institution.</w:t>
      </w:r>
      <w:r w:rsidR="00773F7C" w:rsidRPr="0017357E">
        <w:rPr>
          <w:rStyle w:val="FootnoteReference"/>
          <w:rFonts w:ascii="Calibri" w:hAnsi="Calibri" w:cs="Calibri"/>
          <w:color w:val="000000" w:themeColor="text1"/>
        </w:rPr>
        <w:footnoteReference w:id="24"/>
      </w:r>
      <w:r w:rsidRPr="0017357E">
        <w:rPr>
          <w:rFonts w:ascii="Calibri" w:eastAsia="Calibri" w:hAnsi="Calibri" w:cs="Calibri"/>
          <w:color w:val="000000" w:themeColor="text1"/>
        </w:rPr>
        <w:t xml:space="preserve"> </w:t>
      </w:r>
      <w:r w:rsidR="00780F88">
        <w:rPr>
          <w:rFonts w:ascii="Calibri" w:eastAsia="Calibri" w:hAnsi="Calibri" w:cs="Calibri"/>
          <w:color w:val="000000" w:themeColor="text1"/>
        </w:rPr>
        <w:t>The University of Oxford has followed a</w:t>
      </w:r>
      <w:r w:rsidR="00415787">
        <w:rPr>
          <w:rFonts w:ascii="Calibri" w:eastAsia="Calibri" w:hAnsi="Calibri" w:cs="Calibri"/>
          <w:color w:val="000000" w:themeColor="text1"/>
        </w:rPr>
        <w:t xml:space="preserve"> more college-based approach</w:t>
      </w:r>
      <w:r w:rsidR="00560A68">
        <w:rPr>
          <w:rFonts w:ascii="Calibri" w:eastAsia="Calibri" w:hAnsi="Calibri" w:cs="Calibri"/>
          <w:color w:val="000000" w:themeColor="text1"/>
        </w:rPr>
        <w:t xml:space="preserve">, </w:t>
      </w:r>
      <w:r w:rsidR="00780F88">
        <w:rPr>
          <w:rFonts w:ascii="Calibri" w:eastAsia="Calibri" w:hAnsi="Calibri" w:cs="Calibri"/>
          <w:color w:val="000000" w:themeColor="text1"/>
        </w:rPr>
        <w:t>with</w:t>
      </w:r>
      <w:r w:rsidR="00560A68">
        <w:rPr>
          <w:rFonts w:ascii="Calibri" w:eastAsia="Calibri" w:hAnsi="Calibri" w:cs="Calibri"/>
          <w:color w:val="000000" w:themeColor="text1"/>
        </w:rPr>
        <w:t xml:space="preserve"> individual colleges conduct</w:t>
      </w:r>
      <w:r w:rsidR="00780F88">
        <w:rPr>
          <w:rFonts w:ascii="Calibri" w:eastAsia="Calibri" w:hAnsi="Calibri" w:cs="Calibri"/>
          <w:color w:val="000000" w:themeColor="text1"/>
        </w:rPr>
        <w:t>ing</w:t>
      </w:r>
      <w:r w:rsidR="00560A68">
        <w:rPr>
          <w:rFonts w:ascii="Calibri" w:eastAsia="Calibri" w:hAnsi="Calibri" w:cs="Calibri"/>
          <w:color w:val="000000" w:themeColor="text1"/>
        </w:rPr>
        <w:t xml:space="preserve"> their own research</w:t>
      </w:r>
      <w:r w:rsidR="00E6311F">
        <w:rPr>
          <w:rFonts w:ascii="Calibri" w:eastAsia="Calibri" w:hAnsi="Calibri" w:cs="Calibri"/>
          <w:color w:val="000000" w:themeColor="text1"/>
        </w:rPr>
        <w:t>.</w:t>
      </w:r>
      <w:r w:rsidR="00780F88">
        <w:rPr>
          <w:rFonts w:ascii="Calibri" w:eastAsia="Calibri" w:hAnsi="Calibri" w:cs="Calibri"/>
          <w:color w:val="000000" w:themeColor="text1"/>
        </w:rPr>
        <w:t xml:space="preserve"> </w:t>
      </w:r>
      <w:r w:rsidR="00E6311F">
        <w:rPr>
          <w:rFonts w:ascii="Calibri" w:eastAsia="Calibri" w:hAnsi="Calibri" w:cs="Calibri"/>
          <w:color w:val="000000" w:themeColor="text1"/>
        </w:rPr>
        <w:t>T</w:t>
      </w:r>
      <w:r w:rsidR="00780F88">
        <w:rPr>
          <w:rFonts w:ascii="Calibri" w:eastAsia="Calibri" w:hAnsi="Calibri" w:cs="Calibri"/>
          <w:color w:val="000000" w:themeColor="text1"/>
        </w:rPr>
        <w:t xml:space="preserve">he </w:t>
      </w:r>
      <w:r w:rsidRPr="0017357E">
        <w:rPr>
          <w:rFonts w:ascii="Calibri" w:eastAsia="Calibri" w:hAnsi="Calibri" w:cs="Calibri"/>
          <w:color w:val="000000" w:themeColor="text1"/>
        </w:rPr>
        <w:t>‘</w:t>
      </w:r>
      <w:hyperlink r:id="rId60">
        <w:r w:rsidRPr="0017357E">
          <w:rPr>
            <w:rStyle w:val="Hyperlink"/>
            <w:rFonts w:ascii="Calibri" w:eastAsia="Calibri" w:hAnsi="Calibri" w:cs="Calibri"/>
            <w:color w:val="000000" w:themeColor="text1"/>
          </w:rPr>
          <w:t>Exeter College and Legacies of Slavery</w:t>
        </w:r>
      </w:hyperlink>
      <w:r w:rsidRPr="0017357E">
        <w:rPr>
          <w:rFonts w:ascii="Calibri" w:eastAsia="Calibri" w:hAnsi="Calibri" w:cs="Calibri"/>
          <w:color w:val="000000" w:themeColor="text1"/>
        </w:rPr>
        <w:t>’ report</w:t>
      </w:r>
      <w:r w:rsidR="00E6311F">
        <w:rPr>
          <w:rFonts w:ascii="Calibri" w:eastAsia="Calibri" w:hAnsi="Calibri" w:cs="Calibri"/>
          <w:color w:val="000000" w:themeColor="text1"/>
        </w:rPr>
        <w:t xml:space="preserve">, for example, </w:t>
      </w:r>
      <w:r w:rsidR="00E6311F" w:rsidRPr="0017357E">
        <w:rPr>
          <w:rFonts w:ascii="Calibri" w:eastAsia="Calibri" w:hAnsi="Calibri" w:cs="Calibri"/>
          <w:color w:val="000000" w:themeColor="text1"/>
        </w:rPr>
        <w:t>focuses on financial enrichment and pro-slavery alumni</w:t>
      </w:r>
      <w:r w:rsidR="00E6311F">
        <w:rPr>
          <w:rFonts w:ascii="Calibri" w:eastAsia="Calibri" w:hAnsi="Calibri" w:cs="Calibri"/>
          <w:color w:val="000000" w:themeColor="text1"/>
        </w:rPr>
        <w:t xml:space="preserve">, and </w:t>
      </w:r>
      <w:r w:rsidRPr="0017357E">
        <w:rPr>
          <w:rFonts w:ascii="Calibri" w:eastAsia="Calibri" w:hAnsi="Calibri" w:cs="Calibri"/>
          <w:color w:val="000000" w:themeColor="text1"/>
        </w:rPr>
        <w:t xml:space="preserve">documents </w:t>
      </w:r>
      <w:r w:rsidR="000763FB">
        <w:rPr>
          <w:rFonts w:ascii="Calibri" w:eastAsia="Calibri" w:hAnsi="Calibri" w:cs="Calibri"/>
          <w:color w:val="000000" w:themeColor="text1"/>
        </w:rPr>
        <w:t>41</w:t>
      </w:r>
      <w:r w:rsidRPr="0017357E">
        <w:rPr>
          <w:rFonts w:ascii="Calibri" w:eastAsia="Calibri" w:hAnsi="Calibri" w:cs="Calibri"/>
          <w:color w:val="000000" w:themeColor="text1"/>
        </w:rPr>
        <w:t xml:space="preserve"> persons (undergraduates or fellows) who owned enslaved people or held some substantial relationship to slavery throughout its history.</w:t>
      </w:r>
      <w:r w:rsidR="00773F7C" w:rsidRPr="0017357E">
        <w:rPr>
          <w:rStyle w:val="FootnoteReference"/>
          <w:rFonts w:ascii="Calibri" w:eastAsia="Calibri" w:hAnsi="Calibri" w:cs="Calibri"/>
          <w:color w:val="000000" w:themeColor="text1"/>
        </w:rPr>
        <w:footnoteReference w:id="25"/>
      </w:r>
      <w:r w:rsidRPr="0017357E">
        <w:rPr>
          <w:rFonts w:ascii="Calibri" w:eastAsia="Calibri" w:hAnsi="Calibri" w:cs="Calibri"/>
          <w:color w:val="000000" w:themeColor="text1"/>
        </w:rPr>
        <w:t xml:space="preserve"> </w:t>
      </w:r>
      <w:r w:rsidR="00E6311F">
        <w:rPr>
          <w:rFonts w:ascii="Calibri" w:eastAsia="Calibri" w:hAnsi="Calibri" w:cs="Calibri"/>
          <w:color w:val="000000" w:themeColor="text1"/>
        </w:rPr>
        <w:t>But d</w:t>
      </w:r>
      <w:r w:rsidRPr="0017357E">
        <w:rPr>
          <w:rFonts w:ascii="Calibri" w:eastAsia="Calibri" w:hAnsi="Calibri" w:cs="Calibri"/>
          <w:color w:val="000000" w:themeColor="text1"/>
        </w:rPr>
        <w:t xml:space="preserve">espite these nuances, all of the reports conclude that their respective university was tied to the transoceanic trafficking and enslavement of African peoples and benefited from the </w:t>
      </w:r>
      <w:r w:rsidR="00E6311F">
        <w:rPr>
          <w:rFonts w:ascii="Calibri" w:eastAsia="Calibri" w:hAnsi="Calibri" w:cs="Calibri"/>
          <w:color w:val="000000" w:themeColor="text1"/>
        </w:rPr>
        <w:t>s</w:t>
      </w:r>
      <w:r w:rsidR="00A13267">
        <w:rPr>
          <w:rFonts w:ascii="Calibri" w:eastAsia="Calibri" w:hAnsi="Calibri" w:cs="Calibri"/>
          <w:color w:val="000000" w:themeColor="text1"/>
        </w:rPr>
        <w:t>ystem and</w:t>
      </w:r>
      <w:r w:rsidRPr="0017357E">
        <w:rPr>
          <w:rFonts w:ascii="Calibri" w:eastAsia="Calibri" w:hAnsi="Calibri" w:cs="Calibri"/>
          <w:color w:val="000000" w:themeColor="text1"/>
        </w:rPr>
        <w:t xml:space="preserve"> economy </w:t>
      </w:r>
      <w:r w:rsidR="00E6311F">
        <w:rPr>
          <w:rFonts w:ascii="Calibri" w:eastAsia="Calibri" w:hAnsi="Calibri" w:cs="Calibri"/>
          <w:color w:val="000000" w:themeColor="text1"/>
        </w:rPr>
        <w:t xml:space="preserve">of enslavement </w:t>
      </w:r>
      <w:r w:rsidRPr="0017357E">
        <w:rPr>
          <w:rFonts w:ascii="Calibri" w:eastAsia="Calibri" w:hAnsi="Calibri" w:cs="Calibri"/>
          <w:color w:val="000000" w:themeColor="text1"/>
        </w:rPr>
        <w:t xml:space="preserve">in </w:t>
      </w:r>
      <w:r w:rsidR="00E6311F">
        <w:rPr>
          <w:rFonts w:ascii="Calibri" w:eastAsia="Calibri" w:hAnsi="Calibri" w:cs="Calibri"/>
          <w:color w:val="000000" w:themeColor="text1"/>
        </w:rPr>
        <w:t>significant ways</w:t>
      </w:r>
      <w:r w:rsidRPr="0017357E">
        <w:rPr>
          <w:rFonts w:ascii="Calibri" w:eastAsia="Calibri" w:hAnsi="Calibri" w:cs="Calibri"/>
          <w:color w:val="000000" w:themeColor="text1"/>
        </w:rPr>
        <w:t xml:space="preserve">.  </w:t>
      </w:r>
    </w:p>
    <w:p w14:paraId="1288D106" w14:textId="31264C9C" w:rsidR="00773F7C" w:rsidRPr="0017357E" w:rsidRDefault="00773F7C" w:rsidP="00016E93">
      <w:pPr>
        <w:spacing w:line="259" w:lineRule="auto"/>
        <w:jc w:val="both"/>
        <w:rPr>
          <w:rFonts w:ascii="Calibri" w:eastAsia="Calibri" w:hAnsi="Calibri" w:cs="Calibri"/>
          <w:color w:val="000000" w:themeColor="text1"/>
        </w:rPr>
      </w:pPr>
    </w:p>
    <w:p w14:paraId="7350E391" w14:textId="7AB11358" w:rsidR="00773F7C" w:rsidRPr="0017357E" w:rsidRDefault="002C5B24" w:rsidP="002C5B24">
      <w:pPr>
        <w:pStyle w:val="Heading2"/>
      </w:pPr>
      <w:bookmarkStart w:id="17" w:name="_Toc157238065"/>
      <w:bookmarkStart w:id="18" w:name="_Toc190939402"/>
      <w:bookmarkStart w:id="19" w:name="_Toc202627085"/>
      <w:r>
        <w:t xml:space="preserve">The </w:t>
      </w:r>
      <w:r w:rsidR="00773F7C" w:rsidRPr="0017357E">
        <w:t>University of Edinburgh’s Approach and Focus</w:t>
      </w:r>
      <w:bookmarkEnd w:id="17"/>
      <w:bookmarkEnd w:id="18"/>
      <w:bookmarkEnd w:id="19"/>
    </w:p>
    <w:p w14:paraId="263EA10D" w14:textId="44A73EB5" w:rsidR="009815C1" w:rsidRDefault="23AC28C4" w:rsidP="000576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9" w:lineRule="auto"/>
        <w:rPr>
          <w:color w:val="000000"/>
          <w:kern w:val="0"/>
        </w:rPr>
      </w:pPr>
      <w:r w:rsidRPr="47117EBE">
        <w:rPr>
          <w:rFonts w:eastAsia="Calibri"/>
          <w:color w:val="000000" w:themeColor="text1"/>
        </w:rPr>
        <w:t xml:space="preserve">The </w:t>
      </w:r>
      <w:hyperlink r:id="rId61">
        <w:r w:rsidRPr="47117EBE">
          <w:rPr>
            <w:rStyle w:val="Hyperlink"/>
            <w:rFonts w:eastAsia="Calibri"/>
            <w:color w:val="000000" w:themeColor="text1"/>
          </w:rPr>
          <w:t>Decolonised Transformation Project</w:t>
        </w:r>
      </w:hyperlink>
      <w:r w:rsidRPr="47117EBE">
        <w:rPr>
          <w:rFonts w:eastAsia="Calibri"/>
          <w:color w:val="000000" w:themeColor="text1"/>
        </w:rPr>
        <w:t xml:space="preserve"> at the University of Edinburgh echoes some of the focus and methodologies of these other </w:t>
      </w:r>
      <w:r w:rsidR="00D43428" w:rsidRPr="47117EBE">
        <w:rPr>
          <w:rFonts w:eastAsia="Calibri"/>
          <w:color w:val="000000" w:themeColor="text1"/>
        </w:rPr>
        <w:t>reports but</w:t>
      </w:r>
      <w:r w:rsidRPr="47117EBE">
        <w:rPr>
          <w:rFonts w:eastAsia="Calibri"/>
          <w:color w:val="000000" w:themeColor="text1"/>
        </w:rPr>
        <w:t xml:space="preserve"> also diverges from them in</w:t>
      </w:r>
      <w:r w:rsidR="00A60AA7" w:rsidRPr="47117EBE">
        <w:rPr>
          <w:rFonts w:eastAsia="Calibri"/>
          <w:color w:val="000000" w:themeColor="text1"/>
        </w:rPr>
        <w:t xml:space="preserve"> </w:t>
      </w:r>
      <w:r w:rsidR="000E59E0">
        <w:rPr>
          <w:rFonts w:eastAsia="Calibri"/>
          <w:color w:val="000000" w:themeColor="text1"/>
        </w:rPr>
        <w:t xml:space="preserve">three </w:t>
      </w:r>
      <w:r w:rsidRPr="47117EBE">
        <w:rPr>
          <w:rFonts w:eastAsia="Calibri"/>
          <w:color w:val="000000" w:themeColor="text1"/>
        </w:rPr>
        <w:t xml:space="preserve">ways. </w:t>
      </w:r>
      <w:r w:rsidR="00A60AA7" w:rsidRPr="47117EBE">
        <w:rPr>
          <w:rFonts w:eastAsia="Calibri"/>
          <w:color w:val="000000" w:themeColor="text1"/>
        </w:rPr>
        <w:t>First</w:t>
      </w:r>
      <w:r w:rsidRPr="47117EBE">
        <w:rPr>
          <w:rFonts w:eastAsia="Calibri"/>
          <w:color w:val="000000" w:themeColor="text1"/>
        </w:rPr>
        <w:t xml:space="preserve">, the scope of the </w:t>
      </w:r>
      <w:hyperlink r:id="rId62">
        <w:r w:rsidRPr="47117EBE">
          <w:rPr>
            <w:rStyle w:val="Hyperlink"/>
            <w:rFonts w:eastAsia="Calibri"/>
            <w:color w:val="000000" w:themeColor="text1"/>
          </w:rPr>
          <w:t>Decolonised Transformation Project</w:t>
        </w:r>
      </w:hyperlink>
      <w:r w:rsidRPr="47117EBE">
        <w:rPr>
          <w:rFonts w:eastAsia="Calibri"/>
          <w:color w:val="000000" w:themeColor="text1"/>
        </w:rPr>
        <w:t xml:space="preserve"> is wider than </w:t>
      </w:r>
      <w:r w:rsidR="00A60AA7" w:rsidRPr="47117EBE">
        <w:rPr>
          <w:rFonts w:eastAsia="Calibri"/>
          <w:color w:val="000000" w:themeColor="text1"/>
        </w:rPr>
        <w:t xml:space="preserve">many of </w:t>
      </w:r>
      <w:r w:rsidRPr="47117EBE">
        <w:rPr>
          <w:rFonts w:eastAsia="Calibri"/>
          <w:color w:val="000000" w:themeColor="text1"/>
        </w:rPr>
        <w:t xml:space="preserve">the reports listed above. </w:t>
      </w:r>
      <w:r w:rsidRPr="00103D20">
        <w:rPr>
          <w:rFonts w:ascii="Calibri" w:eastAsia="Calibri" w:hAnsi="Calibri" w:cs="Calibri"/>
          <w:color w:val="000000" w:themeColor="text1"/>
        </w:rPr>
        <w:t>Like other universities, there is</w:t>
      </w:r>
      <w:r w:rsidR="000A4A19">
        <w:rPr>
          <w:rFonts w:ascii="Calibri" w:eastAsia="Calibri" w:hAnsi="Calibri" w:cs="Calibri"/>
          <w:color w:val="000000" w:themeColor="text1"/>
        </w:rPr>
        <w:t xml:space="preserve"> plenty</w:t>
      </w:r>
      <w:r w:rsidRPr="00103D20">
        <w:rPr>
          <w:rFonts w:ascii="Calibri" w:eastAsia="Calibri" w:hAnsi="Calibri" w:cs="Calibri"/>
          <w:color w:val="000000" w:themeColor="text1"/>
        </w:rPr>
        <w:t xml:space="preserve"> archival evidence </w:t>
      </w:r>
      <w:r w:rsidR="000A4A19">
        <w:rPr>
          <w:rFonts w:ascii="Calibri" w:eastAsia="Calibri" w:hAnsi="Calibri" w:cs="Calibri"/>
          <w:color w:val="000000" w:themeColor="text1"/>
        </w:rPr>
        <w:t>attesting to</w:t>
      </w:r>
      <w:r w:rsidRPr="00103D20">
        <w:rPr>
          <w:rFonts w:ascii="Calibri" w:eastAsia="Calibri" w:hAnsi="Calibri" w:cs="Calibri"/>
          <w:color w:val="000000" w:themeColor="text1"/>
        </w:rPr>
        <w:t xml:space="preserve"> financial contributions, capital campaigns and donations linked to </w:t>
      </w:r>
      <w:r w:rsidR="000E59E0">
        <w:rPr>
          <w:rFonts w:ascii="Calibri" w:eastAsia="Calibri" w:hAnsi="Calibri" w:cs="Calibri"/>
          <w:color w:val="000000" w:themeColor="text1"/>
        </w:rPr>
        <w:t>enslavement</w:t>
      </w:r>
      <w:r w:rsidR="00561001">
        <w:rPr>
          <w:rFonts w:ascii="Calibri" w:eastAsia="Calibri" w:hAnsi="Calibri" w:cs="Calibri"/>
          <w:color w:val="000000" w:themeColor="text1"/>
        </w:rPr>
        <w:t>.</w:t>
      </w:r>
      <w:r w:rsidRPr="00103D20">
        <w:rPr>
          <w:rFonts w:ascii="Calibri" w:eastAsia="Calibri" w:hAnsi="Calibri" w:cs="Calibri"/>
          <w:color w:val="000000" w:themeColor="text1"/>
        </w:rPr>
        <w:t xml:space="preserve"> </w:t>
      </w:r>
      <w:r w:rsidR="00561001">
        <w:rPr>
          <w:rFonts w:ascii="Calibri" w:eastAsia="Calibri" w:hAnsi="Calibri" w:cs="Calibri"/>
          <w:color w:val="000000" w:themeColor="text1"/>
        </w:rPr>
        <w:t>H</w:t>
      </w:r>
      <w:r w:rsidRPr="00103D20">
        <w:rPr>
          <w:rFonts w:ascii="Calibri" w:eastAsia="Calibri" w:hAnsi="Calibri" w:cs="Calibri"/>
          <w:color w:val="000000" w:themeColor="text1"/>
        </w:rPr>
        <w:t xml:space="preserve">owever, </w:t>
      </w:r>
      <w:r w:rsidR="00561001">
        <w:rPr>
          <w:rFonts w:ascii="Calibri" w:eastAsia="Calibri" w:hAnsi="Calibri" w:cs="Calibri"/>
          <w:color w:val="000000" w:themeColor="text1"/>
        </w:rPr>
        <w:t>this report and its underlying research</w:t>
      </w:r>
      <w:r w:rsidR="000A4A19">
        <w:rPr>
          <w:rFonts w:ascii="Calibri" w:eastAsia="Calibri" w:hAnsi="Calibri" w:cs="Calibri"/>
          <w:color w:val="000000" w:themeColor="text1"/>
        </w:rPr>
        <w:t xml:space="preserve"> also recognises that the </w:t>
      </w:r>
      <w:r w:rsidR="00A27530">
        <w:rPr>
          <w:rFonts w:ascii="Calibri" w:eastAsia="Calibri" w:hAnsi="Calibri" w:cs="Calibri"/>
          <w:color w:val="000000" w:themeColor="text1"/>
        </w:rPr>
        <w:t>University of Edinburgh</w:t>
      </w:r>
      <w:r w:rsidRPr="00103D20">
        <w:rPr>
          <w:rFonts w:ascii="Calibri" w:eastAsia="Calibri" w:hAnsi="Calibri" w:cs="Calibri"/>
          <w:color w:val="000000" w:themeColor="text1"/>
        </w:rPr>
        <w:t xml:space="preserve"> was the centre of the Scottish Enlightenment and played a significant role in the development of racial </w:t>
      </w:r>
      <w:r w:rsidR="04857224" w:rsidRPr="00103D20">
        <w:rPr>
          <w:rFonts w:ascii="Calibri" w:eastAsia="Calibri" w:hAnsi="Calibri" w:cs="Calibri"/>
          <w:color w:val="000000" w:themeColor="text1"/>
        </w:rPr>
        <w:t>theory</w:t>
      </w:r>
      <w:r w:rsidRPr="00103D20">
        <w:rPr>
          <w:rFonts w:ascii="Calibri" w:eastAsia="Calibri" w:hAnsi="Calibri" w:cs="Calibri"/>
          <w:color w:val="000000" w:themeColor="text1"/>
        </w:rPr>
        <w:t xml:space="preserve"> and ethnological sciences.</w:t>
      </w:r>
      <w:r w:rsidR="00773F7C" w:rsidRPr="00103D20">
        <w:rPr>
          <w:rStyle w:val="FootnoteReference"/>
          <w:rFonts w:ascii="Calibri" w:eastAsia="Calibri" w:hAnsi="Calibri" w:cs="Calibri"/>
          <w:color w:val="000000" w:themeColor="text1"/>
        </w:rPr>
        <w:footnoteReference w:id="26"/>
      </w:r>
      <w:r w:rsidRPr="00103D20">
        <w:rPr>
          <w:rFonts w:ascii="Calibri" w:eastAsia="Calibri" w:hAnsi="Calibri" w:cs="Calibri"/>
          <w:color w:val="000000" w:themeColor="text1"/>
        </w:rPr>
        <w:t xml:space="preserve"> </w:t>
      </w:r>
      <w:r w:rsidR="000A4A19" w:rsidRPr="47117EBE">
        <w:rPr>
          <w:rFonts w:eastAsia="Calibri"/>
          <w:color w:val="000000" w:themeColor="text1"/>
        </w:rPr>
        <w:t xml:space="preserve">In addition to tracing the financial gains and associations of staff and alumni involved </w:t>
      </w:r>
      <w:r w:rsidR="00604ED7">
        <w:rPr>
          <w:rFonts w:eastAsia="Calibri"/>
          <w:color w:val="000000" w:themeColor="text1"/>
        </w:rPr>
        <w:t>in</w:t>
      </w:r>
      <w:r w:rsidR="00604ED7" w:rsidRPr="47117EBE">
        <w:rPr>
          <w:rFonts w:eastAsia="Calibri"/>
          <w:color w:val="000000" w:themeColor="text1"/>
        </w:rPr>
        <w:t xml:space="preserve"> </w:t>
      </w:r>
      <w:r w:rsidR="000A4A19" w:rsidRPr="47117EBE">
        <w:rPr>
          <w:rFonts w:eastAsia="Calibri"/>
          <w:color w:val="000000" w:themeColor="text1"/>
        </w:rPr>
        <w:t xml:space="preserve">the enslavement of African peoples, we have </w:t>
      </w:r>
      <w:r w:rsidR="00604ED7">
        <w:rPr>
          <w:rFonts w:eastAsia="Calibri"/>
          <w:color w:val="000000" w:themeColor="text1"/>
        </w:rPr>
        <w:t xml:space="preserve">therefore </w:t>
      </w:r>
      <w:r w:rsidR="000A4A19" w:rsidRPr="47117EBE">
        <w:rPr>
          <w:rFonts w:eastAsia="Calibri"/>
          <w:color w:val="000000" w:themeColor="text1"/>
        </w:rPr>
        <w:t xml:space="preserve">sought to </w:t>
      </w:r>
      <w:r w:rsidR="007C1437" w:rsidRPr="47117EBE">
        <w:rPr>
          <w:rFonts w:eastAsia="Calibri"/>
          <w:color w:val="000000" w:themeColor="text1"/>
        </w:rPr>
        <w:t xml:space="preserve">look </w:t>
      </w:r>
      <w:r w:rsidR="000A4A19" w:rsidRPr="47117EBE">
        <w:rPr>
          <w:rFonts w:eastAsia="Calibri"/>
          <w:color w:val="000000" w:themeColor="text1"/>
        </w:rPr>
        <w:t xml:space="preserve">into </w:t>
      </w:r>
      <w:r w:rsidR="00A27530" w:rsidRPr="7DC86C1C">
        <w:rPr>
          <w:color w:val="000000" w:themeColor="text1"/>
        </w:rPr>
        <w:t>University of Edinburgh</w:t>
      </w:r>
      <w:r w:rsidR="000A4A19" w:rsidRPr="47117EBE">
        <w:rPr>
          <w:color w:val="000000"/>
          <w:kern w:val="0"/>
        </w:rPr>
        <w:t>’s historical links to colonialism</w:t>
      </w:r>
      <w:r w:rsidR="00E365EC" w:rsidRPr="47117EBE">
        <w:rPr>
          <w:color w:val="000000"/>
          <w:kern w:val="0"/>
        </w:rPr>
        <w:t xml:space="preserve"> and </w:t>
      </w:r>
      <w:r w:rsidR="00F70909">
        <w:rPr>
          <w:color w:val="000000"/>
          <w:kern w:val="0"/>
        </w:rPr>
        <w:t xml:space="preserve">development of </w:t>
      </w:r>
      <w:r w:rsidR="00E365EC" w:rsidRPr="47117EBE">
        <w:rPr>
          <w:color w:val="000000"/>
          <w:kern w:val="0"/>
        </w:rPr>
        <w:t>racial thought</w:t>
      </w:r>
      <w:r w:rsidR="00323C4F">
        <w:rPr>
          <w:color w:val="000000"/>
          <w:kern w:val="0"/>
        </w:rPr>
        <w:t xml:space="preserve">, </w:t>
      </w:r>
      <w:r w:rsidR="00F70909">
        <w:rPr>
          <w:color w:val="000000"/>
          <w:kern w:val="0"/>
        </w:rPr>
        <w:t>as well as</w:t>
      </w:r>
      <w:r w:rsidR="00323C4F">
        <w:rPr>
          <w:color w:val="000000"/>
          <w:kern w:val="0"/>
        </w:rPr>
        <w:t xml:space="preserve"> </w:t>
      </w:r>
      <w:r w:rsidR="00DB3FDA">
        <w:rPr>
          <w:color w:val="000000"/>
          <w:kern w:val="0"/>
        </w:rPr>
        <w:t xml:space="preserve">its </w:t>
      </w:r>
      <w:r w:rsidR="00323C4F">
        <w:rPr>
          <w:color w:val="000000"/>
          <w:kern w:val="0"/>
        </w:rPr>
        <w:t xml:space="preserve">present-day </w:t>
      </w:r>
      <w:r w:rsidR="00E429AA">
        <w:rPr>
          <w:color w:val="000000"/>
          <w:kern w:val="0"/>
        </w:rPr>
        <w:t>investment</w:t>
      </w:r>
      <w:r w:rsidR="007D5682">
        <w:rPr>
          <w:color w:val="000000"/>
          <w:kern w:val="0"/>
        </w:rPr>
        <w:t xml:space="preserve">s, notably in terms of </w:t>
      </w:r>
      <w:r w:rsidR="00DB3FDA">
        <w:t>the</w:t>
      </w:r>
      <w:r w:rsidR="00DB3FDA" w:rsidRPr="7DC86C1C">
        <w:t xml:space="preserve"> </w:t>
      </w:r>
      <w:r w:rsidR="00F70909" w:rsidRPr="7DC86C1C">
        <w:t>human rights and international law violations in Gaza</w:t>
      </w:r>
      <w:r w:rsidR="000A4A19" w:rsidRPr="47117EBE">
        <w:rPr>
          <w:color w:val="000000"/>
          <w:kern w:val="0"/>
        </w:rPr>
        <w:t>.</w:t>
      </w:r>
      <w:r w:rsidR="000A4A19" w:rsidRPr="47117EBE">
        <w:rPr>
          <w:rStyle w:val="FootnoteReference"/>
          <w:color w:val="000000"/>
          <w:kern w:val="0"/>
        </w:rPr>
        <w:footnoteReference w:id="27"/>
      </w:r>
      <w:r w:rsidR="000A4A19" w:rsidRPr="47117EBE">
        <w:rPr>
          <w:color w:val="000000"/>
          <w:kern w:val="0"/>
        </w:rPr>
        <w:t xml:space="preserve"> </w:t>
      </w:r>
    </w:p>
    <w:p w14:paraId="05D872FE" w14:textId="7C8A32C0" w:rsidR="006B6CE2" w:rsidRPr="00485375" w:rsidRDefault="007F54B6" w:rsidP="0005763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59" w:lineRule="auto"/>
        <w:rPr>
          <w:rFonts w:cstheme="minorHAnsi"/>
          <w:color w:val="000000"/>
          <w:kern w:val="0"/>
        </w:rPr>
      </w:pPr>
      <w:r>
        <w:rPr>
          <w:rFonts w:cstheme="minorHAnsi"/>
          <w:color w:val="000000"/>
          <w:kern w:val="0"/>
        </w:rPr>
        <w:lastRenderedPageBreak/>
        <w:tab/>
        <w:t xml:space="preserve"> </w:t>
      </w:r>
      <w:r w:rsidR="007C1437">
        <w:rPr>
          <w:rFonts w:cstheme="minorHAnsi"/>
          <w:color w:val="000000"/>
          <w:kern w:val="0"/>
        </w:rPr>
        <w:t>A</w:t>
      </w:r>
      <w:r w:rsidR="00766BF4">
        <w:rPr>
          <w:rFonts w:cstheme="minorHAnsi"/>
          <w:color w:val="000000"/>
          <w:kern w:val="0"/>
        </w:rPr>
        <w:t xml:space="preserve"> second </w:t>
      </w:r>
      <w:r w:rsidR="007C1437">
        <w:rPr>
          <w:rFonts w:cstheme="minorHAnsi"/>
          <w:color w:val="000000"/>
          <w:kern w:val="0"/>
        </w:rPr>
        <w:t xml:space="preserve">point of difference is that </w:t>
      </w:r>
      <w:r w:rsidR="007C1437">
        <w:rPr>
          <w:rFonts w:ascii="Calibri" w:eastAsia="Calibri" w:hAnsi="Calibri" w:cs="Calibri"/>
          <w:color w:val="000000" w:themeColor="text1"/>
        </w:rPr>
        <w:t>the</w:t>
      </w:r>
      <w:r w:rsidR="006B6CE2" w:rsidRPr="00103D20">
        <w:rPr>
          <w:rFonts w:ascii="Calibri" w:hAnsi="Calibri" w:cs="Calibri"/>
        </w:rPr>
        <w:t xml:space="preserve"> </w:t>
      </w:r>
      <w:r w:rsidR="00A27530">
        <w:rPr>
          <w:rFonts w:ascii="Calibri" w:hAnsi="Calibri" w:cs="Calibri"/>
        </w:rPr>
        <w:t>University of Edinburgh</w:t>
      </w:r>
      <w:r w:rsidR="006B6CE2" w:rsidRPr="00103D20">
        <w:rPr>
          <w:rFonts w:ascii="Calibri" w:hAnsi="Calibri" w:cs="Calibri"/>
        </w:rPr>
        <w:t xml:space="preserve"> report </w:t>
      </w:r>
      <w:r w:rsidR="00DD65A6">
        <w:rPr>
          <w:rFonts w:ascii="Calibri" w:hAnsi="Calibri" w:cs="Calibri"/>
        </w:rPr>
        <w:t>includes the consideration of</w:t>
      </w:r>
      <w:r w:rsidR="00DD65A6" w:rsidRPr="00103D20">
        <w:rPr>
          <w:rFonts w:ascii="Calibri" w:hAnsi="Calibri" w:cs="Calibri"/>
        </w:rPr>
        <w:t xml:space="preserve"> </w:t>
      </w:r>
      <w:r w:rsidR="006B6CE2" w:rsidRPr="00103D20">
        <w:rPr>
          <w:rFonts w:ascii="Calibri" w:hAnsi="Calibri" w:cs="Calibri"/>
        </w:rPr>
        <w:t>racial and ethnic disaggregated data</w:t>
      </w:r>
      <w:r w:rsidR="00DD65A6">
        <w:rPr>
          <w:rFonts w:ascii="Calibri" w:hAnsi="Calibri" w:cs="Calibri"/>
        </w:rPr>
        <w:t>, seeing these as part of its methodology and explanatory force</w:t>
      </w:r>
      <w:r w:rsidR="006B6CE2" w:rsidRPr="00103D20">
        <w:rPr>
          <w:rFonts w:ascii="Calibri" w:hAnsi="Calibri" w:cs="Calibri"/>
        </w:rPr>
        <w:t xml:space="preserve">. </w:t>
      </w:r>
      <w:r w:rsidR="00903F83">
        <w:rPr>
          <w:rFonts w:ascii="Calibri" w:hAnsi="Calibri" w:cs="Calibri"/>
        </w:rPr>
        <w:t>P</w:t>
      </w:r>
      <w:r w:rsidR="006B6CE2" w:rsidRPr="00103D20">
        <w:rPr>
          <w:rFonts w:ascii="Calibri" w:hAnsi="Calibri" w:cs="Calibri"/>
        </w:rPr>
        <w:t xml:space="preserve">revious research at the </w:t>
      </w:r>
      <w:r w:rsidR="00A27530">
        <w:rPr>
          <w:rFonts w:ascii="Calibri" w:hAnsi="Calibri" w:cs="Calibri"/>
        </w:rPr>
        <w:t>University of Edinburgh</w:t>
      </w:r>
      <w:r w:rsidR="006B6CE2" w:rsidRPr="00103D20">
        <w:rPr>
          <w:rFonts w:ascii="Calibri" w:hAnsi="Calibri" w:cs="Calibri"/>
        </w:rPr>
        <w:t xml:space="preserve"> ha</w:t>
      </w:r>
      <w:r w:rsidR="007C1437">
        <w:rPr>
          <w:rFonts w:ascii="Calibri" w:hAnsi="Calibri" w:cs="Calibri"/>
        </w:rPr>
        <w:t>s</w:t>
      </w:r>
      <w:r w:rsidR="006B6CE2" w:rsidRPr="00103D20">
        <w:rPr>
          <w:rFonts w:ascii="Calibri" w:hAnsi="Calibri" w:cs="Calibri"/>
        </w:rPr>
        <w:t xml:space="preserve"> </w:t>
      </w:r>
      <w:r w:rsidR="00766BF4">
        <w:rPr>
          <w:rFonts w:ascii="Calibri" w:hAnsi="Calibri" w:cs="Calibri"/>
        </w:rPr>
        <w:t>called for a</w:t>
      </w:r>
      <w:r w:rsidR="006B6CE2" w:rsidRPr="00103D20">
        <w:rPr>
          <w:rFonts w:ascii="Calibri" w:hAnsi="Calibri" w:cs="Calibri"/>
        </w:rPr>
        <w:t xml:space="preserve"> more nuanced picture of racism </w:t>
      </w:r>
      <w:r w:rsidR="00766BF4">
        <w:rPr>
          <w:rFonts w:ascii="Calibri" w:hAnsi="Calibri" w:cs="Calibri"/>
        </w:rPr>
        <w:t xml:space="preserve">by </w:t>
      </w:r>
      <w:r w:rsidR="00B9737C">
        <w:rPr>
          <w:rFonts w:ascii="Calibri" w:hAnsi="Calibri" w:cs="Calibri"/>
        </w:rPr>
        <w:t xml:space="preserve">analysing </w:t>
      </w:r>
      <w:r w:rsidR="006B6CE2" w:rsidRPr="00103D20">
        <w:rPr>
          <w:rFonts w:ascii="Calibri" w:hAnsi="Calibri" w:cs="Calibri"/>
        </w:rPr>
        <w:t xml:space="preserve">the histories and experiences of different racial and ethnic groups. For example, the </w:t>
      </w:r>
      <w:r w:rsidR="00A27530">
        <w:rPr>
          <w:rFonts w:ascii="Calibri" w:hAnsi="Calibri" w:cs="Calibri"/>
        </w:rPr>
        <w:t>University of Edinburgh</w:t>
      </w:r>
      <w:r w:rsidR="006B6CE2" w:rsidRPr="00103D20">
        <w:rPr>
          <w:rFonts w:ascii="Calibri" w:hAnsi="Calibri" w:cs="Calibri"/>
        </w:rPr>
        <w:t xml:space="preserve"> Race Equality and Anti-Racist Plan for 2020/21 </w:t>
      </w:r>
      <w:r w:rsidR="005652B8">
        <w:rPr>
          <w:rFonts w:ascii="Calibri" w:hAnsi="Calibri" w:cs="Calibri"/>
        </w:rPr>
        <w:t>notes the problematic</w:t>
      </w:r>
      <w:r w:rsidR="006B6CE2">
        <w:rPr>
          <w:rFonts w:ascii="Calibri" w:hAnsi="Calibri" w:cs="Calibri"/>
        </w:rPr>
        <w:t xml:space="preserve"> use </w:t>
      </w:r>
      <w:r w:rsidR="005652B8">
        <w:rPr>
          <w:rFonts w:ascii="Calibri" w:hAnsi="Calibri" w:cs="Calibri"/>
        </w:rPr>
        <w:t xml:space="preserve">of </w:t>
      </w:r>
      <w:r w:rsidR="006B6CE2" w:rsidRPr="007F0CFF">
        <w:rPr>
          <w:rFonts w:ascii="Calibri" w:hAnsi="Calibri" w:cs="Calibri"/>
        </w:rPr>
        <w:t xml:space="preserve">the </w:t>
      </w:r>
      <w:r w:rsidR="005652B8" w:rsidRPr="007F0CFF">
        <w:rPr>
          <w:rFonts w:ascii="Calibri" w:hAnsi="Calibri" w:cs="Calibri"/>
        </w:rPr>
        <w:t>terms</w:t>
      </w:r>
      <w:r w:rsidR="006B6CE2" w:rsidRPr="007F0CFF">
        <w:rPr>
          <w:rFonts w:ascii="Calibri" w:hAnsi="Calibri" w:cs="Calibri"/>
        </w:rPr>
        <w:t xml:space="preserve"> Black and Minority Ethnic (BAME) and People of Colour (PoC)</w:t>
      </w:r>
      <w:r w:rsidR="006B6CE2">
        <w:rPr>
          <w:rFonts w:ascii="Calibri" w:hAnsi="Calibri" w:cs="Calibri"/>
        </w:rPr>
        <w:t xml:space="preserve"> </w:t>
      </w:r>
      <w:r w:rsidR="005652B8">
        <w:rPr>
          <w:rFonts w:ascii="Calibri" w:hAnsi="Calibri" w:cs="Calibri"/>
        </w:rPr>
        <w:t xml:space="preserve">precisely </w:t>
      </w:r>
      <w:r w:rsidR="005652B8" w:rsidRPr="00485375">
        <w:rPr>
          <w:rFonts w:ascii="Calibri" w:hAnsi="Calibri" w:cs="Calibri"/>
        </w:rPr>
        <w:t>because ‘</w:t>
      </w:r>
      <w:r w:rsidR="006B6CE2" w:rsidRPr="00485375">
        <w:rPr>
          <w:rFonts w:ascii="Calibri" w:hAnsi="Calibri" w:cs="Calibri"/>
        </w:rPr>
        <w:t xml:space="preserve">not all ethnic minorities have similar lived experiences and these experiences cannot be fully captured by such umbrella </w:t>
      </w:r>
      <w:r w:rsidR="005652B8" w:rsidRPr="00485375">
        <w:rPr>
          <w:rFonts w:ascii="Calibri" w:hAnsi="Calibri" w:cs="Calibri"/>
        </w:rPr>
        <w:t>terms’.</w:t>
      </w:r>
      <w:r w:rsidR="00485375" w:rsidRPr="00485375">
        <w:rPr>
          <w:rStyle w:val="FootnoteReference"/>
          <w:rFonts w:ascii="Calibri" w:hAnsi="Calibri" w:cs="Calibri"/>
        </w:rPr>
        <w:footnoteReference w:id="28"/>
      </w:r>
      <w:r w:rsidR="005652B8" w:rsidRPr="00485375">
        <w:rPr>
          <w:rFonts w:ascii="Calibri" w:hAnsi="Calibri" w:cs="Calibri"/>
        </w:rPr>
        <w:t xml:space="preserve"> Instead, they </w:t>
      </w:r>
      <w:r w:rsidR="00C54A80">
        <w:rPr>
          <w:rFonts w:ascii="Calibri" w:hAnsi="Calibri" w:cs="Calibri"/>
        </w:rPr>
        <w:t>called for the need to</w:t>
      </w:r>
      <w:r w:rsidR="00485375" w:rsidRPr="00485375">
        <w:rPr>
          <w:rFonts w:ascii="Calibri" w:hAnsi="Calibri" w:cs="Calibri"/>
        </w:rPr>
        <w:t xml:space="preserve"> identif</w:t>
      </w:r>
      <w:r w:rsidR="00C54A80">
        <w:rPr>
          <w:rFonts w:ascii="Calibri" w:hAnsi="Calibri" w:cs="Calibri"/>
        </w:rPr>
        <w:t>y</w:t>
      </w:r>
      <w:r w:rsidR="006B6CE2" w:rsidRPr="00485375">
        <w:rPr>
          <w:rFonts w:ascii="Calibri" w:hAnsi="Calibri" w:cs="Calibri"/>
        </w:rPr>
        <w:t xml:space="preserve"> </w:t>
      </w:r>
      <w:r w:rsidR="00485375" w:rsidRPr="00485375">
        <w:rPr>
          <w:rFonts w:ascii="Calibri" w:hAnsi="Calibri" w:cs="Calibri"/>
        </w:rPr>
        <w:t>‘</w:t>
      </w:r>
      <w:r w:rsidR="006B6CE2" w:rsidRPr="00485375">
        <w:rPr>
          <w:rFonts w:ascii="Calibri" w:hAnsi="Calibri" w:cs="Calibri"/>
        </w:rPr>
        <w:t>areas of common experience</w:t>
      </w:r>
      <w:r w:rsidR="00485375" w:rsidRPr="00485375">
        <w:rPr>
          <w:rFonts w:ascii="Calibri" w:hAnsi="Calibri" w:cs="Calibri"/>
        </w:rPr>
        <w:t>’ while</w:t>
      </w:r>
      <w:r w:rsidR="006B6CE2" w:rsidRPr="00485375">
        <w:rPr>
          <w:rFonts w:ascii="Calibri" w:hAnsi="Calibri" w:cs="Calibri"/>
        </w:rPr>
        <w:t xml:space="preserve"> also address</w:t>
      </w:r>
      <w:r w:rsidR="00485375" w:rsidRPr="00485375">
        <w:rPr>
          <w:rFonts w:ascii="Calibri" w:hAnsi="Calibri" w:cs="Calibri"/>
        </w:rPr>
        <w:t>ing</w:t>
      </w:r>
      <w:r w:rsidR="006B6CE2" w:rsidRPr="00485375">
        <w:rPr>
          <w:rFonts w:ascii="Calibri" w:hAnsi="Calibri" w:cs="Calibri"/>
        </w:rPr>
        <w:t xml:space="preserve"> </w:t>
      </w:r>
      <w:r w:rsidR="00485375" w:rsidRPr="00485375">
        <w:rPr>
          <w:rFonts w:ascii="Calibri" w:hAnsi="Calibri" w:cs="Calibri"/>
        </w:rPr>
        <w:t>‘</w:t>
      </w:r>
      <w:r w:rsidR="006B6CE2" w:rsidRPr="00485375">
        <w:rPr>
          <w:rFonts w:ascii="Calibri" w:hAnsi="Calibri" w:cs="Calibri"/>
        </w:rPr>
        <w:t>the specificities of each</w:t>
      </w:r>
      <w:r w:rsidR="00DD6C55">
        <w:rPr>
          <w:rFonts w:ascii="Calibri" w:hAnsi="Calibri" w:cs="Calibri"/>
        </w:rPr>
        <w:t>’, includin</w:t>
      </w:r>
      <w:r w:rsidR="006B6CE2" w:rsidRPr="00485375">
        <w:rPr>
          <w:rFonts w:ascii="Calibri" w:hAnsi="Calibri" w:cs="Calibri"/>
        </w:rPr>
        <w:t xml:space="preserve">g </w:t>
      </w:r>
      <w:r w:rsidR="00DD6C55">
        <w:rPr>
          <w:rFonts w:ascii="Calibri" w:hAnsi="Calibri" w:cs="Calibri"/>
        </w:rPr>
        <w:t>‘</w:t>
      </w:r>
      <w:r w:rsidR="006B6CE2" w:rsidRPr="00485375">
        <w:rPr>
          <w:rFonts w:ascii="Calibri" w:hAnsi="Calibri" w:cs="Calibri"/>
        </w:rPr>
        <w:t>the concept and practice of anti-</w:t>
      </w:r>
      <w:r w:rsidR="00F366EB">
        <w:rPr>
          <w:rFonts w:ascii="Calibri" w:hAnsi="Calibri" w:cs="Calibri"/>
        </w:rPr>
        <w:t>B</w:t>
      </w:r>
      <w:r w:rsidR="006B6CE2" w:rsidRPr="00485375">
        <w:rPr>
          <w:rFonts w:ascii="Calibri" w:hAnsi="Calibri" w:cs="Calibri"/>
        </w:rPr>
        <w:t xml:space="preserve">lackness which is when racism and racial prejudice are specifically directed towards </w:t>
      </w:r>
      <w:r w:rsidR="002C5B24">
        <w:rPr>
          <w:rFonts w:ascii="Calibri" w:hAnsi="Calibri" w:cs="Calibri"/>
        </w:rPr>
        <w:t>B</w:t>
      </w:r>
      <w:r w:rsidR="002C5B24" w:rsidRPr="00485375">
        <w:rPr>
          <w:rFonts w:ascii="Calibri" w:hAnsi="Calibri" w:cs="Calibri"/>
        </w:rPr>
        <w:t xml:space="preserve">lack </w:t>
      </w:r>
      <w:r w:rsidR="006B6CE2" w:rsidRPr="00485375">
        <w:rPr>
          <w:rFonts w:ascii="Calibri" w:hAnsi="Calibri" w:cs="Calibri"/>
        </w:rPr>
        <w:t>people</w:t>
      </w:r>
      <w:r w:rsidR="00485375" w:rsidRPr="00485375">
        <w:rPr>
          <w:rFonts w:ascii="Calibri" w:hAnsi="Calibri" w:cs="Calibri"/>
        </w:rPr>
        <w:t>’.</w:t>
      </w:r>
      <w:r w:rsidR="006B6CE2" w:rsidRPr="00485375">
        <w:rPr>
          <w:rStyle w:val="FootnoteReference"/>
          <w:rFonts w:ascii="Calibri" w:hAnsi="Calibri" w:cs="Calibri"/>
        </w:rPr>
        <w:footnoteReference w:id="29"/>
      </w:r>
    </w:p>
    <w:p w14:paraId="08D87D1D" w14:textId="5F18A3D6" w:rsidR="00221F5E" w:rsidRPr="005E1EFB" w:rsidRDefault="007F54B6" w:rsidP="00057638">
      <w:pPr>
        <w:spacing w:line="259" w:lineRule="auto"/>
        <w:rPr>
          <w:rFonts w:ascii="Calibri" w:hAnsi="Calibri" w:cs="Calibri"/>
        </w:rPr>
      </w:pPr>
      <w:r>
        <w:rPr>
          <w:rFonts w:ascii="Calibri" w:hAnsi="Calibri" w:cs="Calibri"/>
        </w:rPr>
        <w:t xml:space="preserve"> </w:t>
      </w:r>
      <w:r>
        <w:rPr>
          <w:rFonts w:ascii="Calibri" w:hAnsi="Calibri" w:cs="Calibri"/>
        </w:rPr>
        <w:tab/>
      </w:r>
      <w:r w:rsidR="00C54A80">
        <w:rPr>
          <w:rFonts w:ascii="Calibri" w:hAnsi="Calibri" w:cs="Calibri"/>
        </w:rPr>
        <w:t xml:space="preserve">The </w:t>
      </w:r>
      <w:r w:rsidR="003860F0">
        <w:rPr>
          <w:rFonts w:ascii="Calibri" w:hAnsi="Calibri" w:cs="Calibri"/>
        </w:rPr>
        <w:t>REWG’s</w:t>
      </w:r>
      <w:r w:rsidR="00903F83">
        <w:rPr>
          <w:rFonts w:ascii="Calibri" w:hAnsi="Calibri" w:cs="Calibri"/>
        </w:rPr>
        <w:t xml:space="preserve"> work </w:t>
      </w:r>
      <w:r w:rsidR="006B6CE2" w:rsidRPr="008A27D3">
        <w:rPr>
          <w:rFonts w:ascii="Calibri" w:hAnsi="Calibri" w:cs="Calibri"/>
        </w:rPr>
        <w:t xml:space="preserve">builds on the Thematic Review of Black and Minority Ethnic Students commissioned by </w:t>
      </w:r>
      <w:r w:rsidR="000E3FAC">
        <w:rPr>
          <w:rFonts w:ascii="Calibri" w:hAnsi="Calibri" w:cs="Calibri"/>
        </w:rPr>
        <w:t xml:space="preserve">the </w:t>
      </w:r>
      <w:r w:rsidR="00A27530">
        <w:rPr>
          <w:rFonts w:ascii="Calibri" w:hAnsi="Calibri" w:cs="Calibri"/>
        </w:rPr>
        <w:t>University of Edinburgh</w:t>
      </w:r>
      <w:r w:rsidR="006B6CE2" w:rsidRPr="008A27D3">
        <w:rPr>
          <w:rFonts w:ascii="Calibri" w:hAnsi="Calibri" w:cs="Calibri"/>
        </w:rPr>
        <w:t xml:space="preserve"> in 2018. </w:t>
      </w:r>
      <w:r w:rsidR="00221F5E">
        <w:rPr>
          <w:rFonts w:ascii="Calibri" w:hAnsi="Calibri" w:cs="Calibri"/>
        </w:rPr>
        <w:t>A</w:t>
      </w:r>
      <w:r w:rsidR="006B6CE2" w:rsidRPr="008A27D3">
        <w:rPr>
          <w:rFonts w:ascii="Calibri" w:hAnsi="Calibri" w:cs="Calibri"/>
        </w:rPr>
        <w:t>uthored by Prof</w:t>
      </w:r>
      <w:r w:rsidR="00C54A80">
        <w:rPr>
          <w:rFonts w:ascii="Calibri" w:hAnsi="Calibri" w:cs="Calibri"/>
        </w:rPr>
        <w:t>essor</w:t>
      </w:r>
      <w:r w:rsidR="006B6CE2" w:rsidRPr="008A27D3">
        <w:rPr>
          <w:rFonts w:ascii="Calibri" w:hAnsi="Calibri" w:cs="Calibri"/>
        </w:rPr>
        <w:t xml:space="preserve"> Rowena Arshad</w:t>
      </w:r>
      <w:r w:rsidR="00221F5E">
        <w:rPr>
          <w:rFonts w:ascii="Calibri" w:hAnsi="Calibri" w:cs="Calibri"/>
        </w:rPr>
        <w:t>, this review</w:t>
      </w:r>
      <w:r w:rsidR="006B6CE2" w:rsidRPr="008A27D3">
        <w:rPr>
          <w:rFonts w:ascii="Calibri" w:hAnsi="Calibri" w:cs="Calibri"/>
        </w:rPr>
        <w:t xml:space="preserve"> sought to investigate and document the experiences of Black and other ethnic minority students at</w:t>
      </w:r>
      <w:r w:rsidR="00C54A80">
        <w:rPr>
          <w:rFonts w:ascii="Calibri" w:hAnsi="Calibri" w:cs="Calibri"/>
        </w:rPr>
        <w:t xml:space="preserve"> the</w:t>
      </w:r>
      <w:r w:rsidR="006B6CE2" w:rsidRPr="008A27D3">
        <w:rPr>
          <w:rFonts w:ascii="Calibri" w:hAnsi="Calibri" w:cs="Calibri"/>
        </w:rPr>
        <w:t xml:space="preserve"> </w:t>
      </w:r>
      <w:r w:rsidR="00A27530">
        <w:rPr>
          <w:rFonts w:ascii="Calibri" w:hAnsi="Calibri" w:cs="Calibri"/>
        </w:rPr>
        <w:t>University of Edinburgh</w:t>
      </w:r>
      <w:r w:rsidR="006B6CE2" w:rsidRPr="008A27D3">
        <w:rPr>
          <w:rFonts w:ascii="Calibri" w:hAnsi="Calibri" w:cs="Calibri"/>
        </w:rPr>
        <w:t xml:space="preserve">. </w:t>
      </w:r>
      <w:r w:rsidR="00221F5E">
        <w:rPr>
          <w:rFonts w:ascii="Calibri" w:hAnsi="Calibri" w:cs="Calibri"/>
        </w:rPr>
        <w:t>It</w:t>
      </w:r>
      <w:r w:rsidR="006B6CE2" w:rsidRPr="008A27D3">
        <w:rPr>
          <w:rFonts w:ascii="Calibri" w:hAnsi="Calibri" w:cs="Calibri"/>
        </w:rPr>
        <w:t xml:space="preserve"> found that the negative experiences of Black, Asian and other ethnic minority students within the University were due to the lack of racial literacy among white </w:t>
      </w:r>
      <w:r w:rsidR="00D73D8F">
        <w:rPr>
          <w:rFonts w:ascii="Calibri" w:hAnsi="Calibri" w:cs="Calibri"/>
        </w:rPr>
        <w:t>staff</w:t>
      </w:r>
      <w:r w:rsidR="006B6CE2" w:rsidRPr="008A27D3">
        <w:rPr>
          <w:rFonts w:ascii="Calibri" w:hAnsi="Calibri" w:cs="Calibri"/>
        </w:rPr>
        <w:t xml:space="preserve"> and students alike. </w:t>
      </w:r>
      <w:r w:rsidR="00221F5E">
        <w:rPr>
          <w:rFonts w:ascii="Calibri" w:hAnsi="Calibri" w:cs="Calibri"/>
        </w:rPr>
        <w:t xml:space="preserve">It </w:t>
      </w:r>
      <w:r w:rsidR="006B6CE2" w:rsidRPr="008A27D3">
        <w:rPr>
          <w:rFonts w:ascii="Calibri" w:hAnsi="Calibri" w:cs="Calibri"/>
        </w:rPr>
        <w:t>defined racial literacy as ‘having the understanding and practice to recognise, respond and counter forms of everyday racism or racial micro-aggressions at all levels, personal, cultural and institutional</w:t>
      </w:r>
      <w:r w:rsidR="006B6CE2">
        <w:rPr>
          <w:rFonts w:ascii="Calibri" w:hAnsi="Calibri" w:cs="Calibri"/>
        </w:rPr>
        <w:t>’.</w:t>
      </w:r>
      <w:r w:rsidR="006B6CE2" w:rsidRPr="008A27D3">
        <w:rPr>
          <w:rStyle w:val="FootnoteReference"/>
          <w:rFonts w:ascii="Calibri" w:hAnsi="Calibri" w:cs="Calibri"/>
        </w:rPr>
        <w:footnoteReference w:id="30"/>
      </w:r>
      <w:r w:rsidR="006B6CE2" w:rsidRPr="008A27D3">
        <w:rPr>
          <w:rFonts w:ascii="Calibri" w:hAnsi="Calibri" w:cs="Calibri"/>
        </w:rPr>
        <w:t xml:space="preserve"> The lack of racial literary </w:t>
      </w:r>
      <w:r w:rsidR="00FF6F3C">
        <w:rPr>
          <w:rFonts w:ascii="Calibri" w:hAnsi="Calibri" w:cs="Calibri"/>
        </w:rPr>
        <w:t xml:space="preserve">was found to have </w:t>
      </w:r>
      <w:r w:rsidR="006B6CE2" w:rsidRPr="008A27D3">
        <w:rPr>
          <w:rFonts w:ascii="Calibri" w:hAnsi="Calibri" w:cs="Calibri"/>
        </w:rPr>
        <w:t>created an environment where racial and ethnic minorities experience social isolation and a negative racial climate</w:t>
      </w:r>
      <w:r w:rsidR="00C54A80">
        <w:rPr>
          <w:rFonts w:ascii="Calibri" w:hAnsi="Calibri" w:cs="Calibri"/>
        </w:rPr>
        <w:t xml:space="preserve">. It noted </w:t>
      </w:r>
      <w:r w:rsidR="00A506F2">
        <w:rPr>
          <w:rFonts w:ascii="Calibri" w:hAnsi="Calibri" w:cs="Calibri"/>
        </w:rPr>
        <w:t>issues facing</w:t>
      </w:r>
      <w:r w:rsidR="00C82F0A">
        <w:rPr>
          <w:rFonts w:ascii="Calibri" w:hAnsi="Calibri" w:cs="Calibri"/>
        </w:rPr>
        <w:t xml:space="preserve"> racially/ethnically minoritised</w:t>
      </w:r>
      <w:r w:rsidR="006B6CE2" w:rsidRPr="008A27D3">
        <w:rPr>
          <w:rFonts w:ascii="Calibri" w:hAnsi="Calibri" w:cs="Calibri"/>
        </w:rPr>
        <w:t xml:space="preserve"> students </w:t>
      </w:r>
      <w:r w:rsidR="00A506F2">
        <w:rPr>
          <w:rFonts w:ascii="Calibri" w:hAnsi="Calibri" w:cs="Calibri"/>
        </w:rPr>
        <w:t xml:space="preserve">who </w:t>
      </w:r>
      <w:r w:rsidR="00C82F0A">
        <w:rPr>
          <w:rFonts w:ascii="Calibri" w:hAnsi="Calibri" w:cs="Calibri"/>
        </w:rPr>
        <w:t>experienc</w:t>
      </w:r>
      <w:r w:rsidR="00C54A80">
        <w:rPr>
          <w:rFonts w:ascii="Calibri" w:hAnsi="Calibri" w:cs="Calibri"/>
        </w:rPr>
        <w:t xml:space="preserve">e </w:t>
      </w:r>
      <w:r w:rsidR="006B6CE2" w:rsidRPr="008A27D3">
        <w:rPr>
          <w:rFonts w:ascii="Calibri" w:hAnsi="Calibri" w:cs="Calibri"/>
        </w:rPr>
        <w:t xml:space="preserve">negative comments about their heritage </w:t>
      </w:r>
      <w:r w:rsidR="007F61C9">
        <w:rPr>
          <w:rFonts w:ascii="Calibri" w:hAnsi="Calibri" w:cs="Calibri"/>
        </w:rPr>
        <w:t>alongside denial</w:t>
      </w:r>
      <w:r w:rsidR="006B6CE2" w:rsidRPr="008A27D3">
        <w:rPr>
          <w:rFonts w:ascii="Calibri" w:hAnsi="Calibri" w:cs="Calibri"/>
        </w:rPr>
        <w:t xml:space="preserve"> that</w:t>
      </w:r>
      <w:r w:rsidR="007F61C9">
        <w:rPr>
          <w:rFonts w:ascii="Calibri" w:hAnsi="Calibri" w:cs="Calibri"/>
        </w:rPr>
        <w:t xml:space="preserve"> their</w:t>
      </w:r>
      <w:r w:rsidR="006B6CE2" w:rsidRPr="008A27D3">
        <w:rPr>
          <w:rFonts w:ascii="Calibri" w:hAnsi="Calibri" w:cs="Calibri"/>
        </w:rPr>
        <w:t xml:space="preserve"> experiences of racism constitute a problem.</w:t>
      </w:r>
      <w:r w:rsidR="006B6CE2" w:rsidRPr="008A27D3">
        <w:rPr>
          <w:rStyle w:val="FootnoteReference"/>
          <w:rFonts w:ascii="Calibri" w:hAnsi="Calibri" w:cs="Calibri"/>
        </w:rPr>
        <w:footnoteReference w:id="31"/>
      </w:r>
      <w:r w:rsidR="00C82F0A">
        <w:rPr>
          <w:rFonts w:ascii="Calibri" w:hAnsi="Calibri" w:cs="Calibri"/>
        </w:rPr>
        <w:t xml:space="preserve"> The </w:t>
      </w:r>
      <w:r w:rsidR="004676F3">
        <w:rPr>
          <w:rFonts w:ascii="Calibri" w:hAnsi="Calibri" w:cs="Calibri"/>
        </w:rPr>
        <w:t xml:space="preserve">REWG’s </w:t>
      </w:r>
      <w:r w:rsidR="00C82F0A">
        <w:rPr>
          <w:rFonts w:ascii="Calibri" w:hAnsi="Calibri" w:cs="Calibri"/>
        </w:rPr>
        <w:t>report seeks to deepen th</w:t>
      </w:r>
      <w:r w:rsidR="004676F3">
        <w:rPr>
          <w:rFonts w:ascii="Calibri" w:hAnsi="Calibri" w:cs="Calibri"/>
        </w:rPr>
        <w:t>is</w:t>
      </w:r>
      <w:r w:rsidR="00221F5E" w:rsidRPr="008A27D3">
        <w:rPr>
          <w:rFonts w:ascii="Calibri" w:hAnsi="Calibri" w:cs="Calibri"/>
        </w:rPr>
        <w:t xml:space="preserve"> analysis </w:t>
      </w:r>
      <w:r w:rsidR="004676F3">
        <w:rPr>
          <w:rFonts w:ascii="Calibri" w:hAnsi="Calibri" w:cs="Calibri"/>
        </w:rPr>
        <w:t>by looking at both staff and students</w:t>
      </w:r>
      <w:r w:rsidR="009D47F1">
        <w:rPr>
          <w:rFonts w:ascii="Calibri" w:hAnsi="Calibri" w:cs="Calibri"/>
        </w:rPr>
        <w:t xml:space="preserve"> across</w:t>
      </w:r>
      <w:r w:rsidR="00221F5E" w:rsidRPr="008A27D3">
        <w:rPr>
          <w:rFonts w:ascii="Calibri" w:hAnsi="Calibri" w:cs="Calibri"/>
        </w:rPr>
        <w:t xml:space="preserve"> multiple racial/ethnic populations</w:t>
      </w:r>
      <w:r w:rsidR="00C82F0A">
        <w:rPr>
          <w:rFonts w:ascii="Calibri" w:hAnsi="Calibri" w:cs="Calibri"/>
        </w:rPr>
        <w:t>.</w:t>
      </w:r>
      <w:r w:rsidR="00221F5E" w:rsidRPr="008A27D3">
        <w:rPr>
          <w:rFonts w:ascii="Calibri" w:hAnsi="Calibri" w:cs="Calibri"/>
        </w:rPr>
        <w:t xml:space="preserve"> </w:t>
      </w:r>
      <w:r w:rsidR="00C82F0A">
        <w:rPr>
          <w:rFonts w:ascii="Calibri" w:hAnsi="Calibri" w:cs="Calibri"/>
        </w:rPr>
        <w:t>T</w:t>
      </w:r>
      <w:r w:rsidR="00221F5E" w:rsidRPr="008A27D3">
        <w:rPr>
          <w:rFonts w:ascii="Calibri" w:hAnsi="Calibri" w:cs="Calibri"/>
        </w:rPr>
        <w:t>hese findings</w:t>
      </w:r>
      <w:r w:rsidR="00C82F0A">
        <w:rPr>
          <w:rFonts w:ascii="Calibri" w:hAnsi="Calibri" w:cs="Calibri"/>
        </w:rPr>
        <w:t>, however,</w:t>
      </w:r>
      <w:r w:rsidR="00221F5E" w:rsidRPr="008A27D3">
        <w:rPr>
          <w:rFonts w:ascii="Calibri" w:hAnsi="Calibri" w:cs="Calibri"/>
        </w:rPr>
        <w:t xml:space="preserve"> are</w:t>
      </w:r>
      <w:r w:rsidR="00221F5E">
        <w:rPr>
          <w:rFonts w:ascii="Calibri" w:hAnsi="Calibri" w:cs="Calibri"/>
        </w:rPr>
        <w:t xml:space="preserve"> nonetheless</w:t>
      </w:r>
      <w:r w:rsidR="00221F5E" w:rsidRPr="008A27D3">
        <w:rPr>
          <w:rFonts w:ascii="Calibri" w:hAnsi="Calibri" w:cs="Calibri"/>
        </w:rPr>
        <w:t xml:space="preserve"> only the beginning </w:t>
      </w:r>
      <w:r w:rsidR="00221F5E">
        <w:rPr>
          <w:rFonts w:ascii="Calibri" w:hAnsi="Calibri" w:cs="Calibri"/>
        </w:rPr>
        <w:t>of this process. F</w:t>
      </w:r>
      <w:r w:rsidR="00221F5E" w:rsidRPr="008A27D3">
        <w:rPr>
          <w:rFonts w:ascii="Calibri" w:hAnsi="Calibri" w:cs="Calibri"/>
        </w:rPr>
        <w:t>urther research is needed to explore how anti-Blackness, Islamophobia</w:t>
      </w:r>
      <w:r w:rsidR="00221F5E">
        <w:rPr>
          <w:rFonts w:ascii="Calibri" w:hAnsi="Calibri" w:cs="Calibri"/>
        </w:rPr>
        <w:t xml:space="preserve"> and</w:t>
      </w:r>
      <w:r w:rsidR="00661AE8">
        <w:rPr>
          <w:rFonts w:ascii="Calibri" w:hAnsi="Calibri" w:cs="Calibri"/>
        </w:rPr>
        <w:t xml:space="preserve"> other forms of racism and</w:t>
      </w:r>
      <w:r w:rsidR="00221F5E" w:rsidRPr="008A27D3">
        <w:rPr>
          <w:rFonts w:ascii="Calibri" w:hAnsi="Calibri" w:cs="Calibri"/>
        </w:rPr>
        <w:t xml:space="preserve"> xenophobia</w:t>
      </w:r>
      <w:r w:rsidR="00221F5E">
        <w:rPr>
          <w:rFonts w:ascii="Calibri" w:hAnsi="Calibri" w:cs="Calibri"/>
        </w:rPr>
        <w:t xml:space="preserve"> </w:t>
      </w:r>
      <w:r w:rsidR="00221F5E" w:rsidRPr="008A27D3">
        <w:rPr>
          <w:rFonts w:ascii="Calibri" w:hAnsi="Calibri" w:cs="Calibri"/>
        </w:rPr>
        <w:t xml:space="preserve">operate throughout institutional culture. </w:t>
      </w:r>
    </w:p>
    <w:p w14:paraId="0B621483" w14:textId="0B7D402F" w:rsidR="00773F7C" w:rsidRPr="00B11F2F" w:rsidRDefault="00773F7C" w:rsidP="00057638">
      <w:pPr>
        <w:spacing w:line="259" w:lineRule="auto"/>
        <w:ind w:firstLine="720"/>
        <w:rPr>
          <w:rFonts w:ascii="Calibri" w:hAnsi="Calibri" w:cs="Calibri"/>
          <w:color w:val="000000" w:themeColor="text1"/>
          <w:shd w:val="clear" w:color="auto" w:fill="FFFFFF"/>
        </w:rPr>
      </w:pPr>
      <w:r w:rsidRPr="0017357E">
        <w:rPr>
          <w:rFonts w:ascii="Calibri" w:eastAsia="Calibri" w:hAnsi="Calibri" w:cs="Calibri"/>
          <w:color w:val="000000" w:themeColor="text1"/>
        </w:rPr>
        <w:t xml:space="preserve">Finally, </w:t>
      </w:r>
      <w:r w:rsidR="00C82F0A">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sidRPr="0017357E">
        <w:rPr>
          <w:rFonts w:ascii="Calibri" w:eastAsia="Calibri" w:hAnsi="Calibri" w:cs="Calibri"/>
          <w:color w:val="000000" w:themeColor="text1"/>
        </w:rPr>
        <w:t xml:space="preserve">’s report differs in the sense that its recommendations </w:t>
      </w:r>
      <w:r w:rsidR="00C82F0A">
        <w:rPr>
          <w:rFonts w:ascii="Calibri" w:eastAsia="Calibri" w:hAnsi="Calibri" w:cs="Calibri"/>
          <w:color w:val="000000" w:themeColor="text1"/>
        </w:rPr>
        <w:t>are</w:t>
      </w:r>
      <w:r w:rsidRPr="0017357E">
        <w:rPr>
          <w:rFonts w:ascii="Calibri" w:eastAsia="Calibri" w:hAnsi="Calibri" w:cs="Calibri"/>
          <w:color w:val="000000" w:themeColor="text1"/>
        </w:rPr>
        <w:t xml:space="preserve"> the result of an extensive community engagement programme centred on the need for reparatory justice as both an ongoing process and a goal. </w:t>
      </w:r>
      <w:r w:rsidR="00661AE8">
        <w:rPr>
          <w:rFonts w:ascii="Calibri" w:eastAsia="Calibri" w:hAnsi="Calibri" w:cs="Calibri"/>
          <w:color w:val="000000" w:themeColor="text1"/>
        </w:rPr>
        <w:t>The</w:t>
      </w:r>
      <w:r w:rsidR="00B11F2F">
        <w:rPr>
          <w:rFonts w:ascii="Calibri" w:eastAsia="Calibri" w:hAnsi="Calibri" w:cs="Calibri"/>
          <w:color w:val="000000" w:themeColor="text1"/>
        </w:rPr>
        <w:t xml:space="preserve"> REWG</w:t>
      </w:r>
      <w:r w:rsidR="00661AE8">
        <w:rPr>
          <w:rFonts w:ascii="Calibri" w:eastAsia="Calibri" w:hAnsi="Calibri" w:cs="Calibri"/>
          <w:color w:val="000000" w:themeColor="text1"/>
        </w:rPr>
        <w:t xml:space="preserve"> has been shaped by the</w:t>
      </w:r>
      <w:r w:rsidR="00B11F2F">
        <w:rPr>
          <w:rFonts w:ascii="Calibri" w:eastAsia="Calibri" w:hAnsi="Calibri" w:cs="Calibri"/>
          <w:color w:val="000000" w:themeColor="text1"/>
        </w:rPr>
        <w:t xml:space="preserve"> </w:t>
      </w:r>
      <w:r w:rsidRPr="0017357E">
        <w:rPr>
          <w:rFonts w:ascii="Calibri" w:eastAsia="Calibri" w:hAnsi="Calibri" w:cs="Calibri"/>
          <w:color w:val="000000" w:themeColor="text1"/>
        </w:rPr>
        <w:t>involve</w:t>
      </w:r>
      <w:r w:rsidR="00661AE8">
        <w:rPr>
          <w:rFonts w:ascii="Calibri" w:eastAsia="Calibri" w:hAnsi="Calibri" w:cs="Calibri"/>
          <w:color w:val="000000" w:themeColor="text1"/>
        </w:rPr>
        <w:t>ment of</w:t>
      </w:r>
      <w:r w:rsidRPr="0017357E">
        <w:rPr>
          <w:rFonts w:ascii="Calibri" w:eastAsia="Calibri" w:hAnsi="Calibri" w:cs="Calibri"/>
          <w:color w:val="000000" w:themeColor="text1"/>
        </w:rPr>
        <w:t xml:space="preserve"> ethnically/racially minoritised communities </w:t>
      </w:r>
      <w:r w:rsidR="00661AE8">
        <w:rPr>
          <w:rFonts w:ascii="Calibri" w:eastAsia="Calibri" w:hAnsi="Calibri" w:cs="Calibri"/>
          <w:color w:val="000000" w:themeColor="text1"/>
        </w:rPr>
        <w:t xml:space="preserve">from </w:t>
      </w:r>
      <w:r w:rsidRPr="0017357E">
        <w:rPr>
          <w:rFonts w:ascii="Calibri" w:eastAsia="Calibri" w:hAnsi="Calibri" w:cs="Calibri"/>
          <w:color w:val="000000" w:themeColor="text1"/>
        </w:rPr>
        <w:t>within the institution</w:t>
      </w:r>
      <w:r w:rsidR="00661AE8">
        <w:rPr>
          <w:rFonts w:ascii="Calibri" w:eastAsia="Calibri" w:hAnsi="Calibri" w:cs="Calibri"/>
          <w:color w:val="000000" w:themeColor="text1"/>
        </w:rPr>
        <w:t>,</w:t>
      </w:r>
      <w:r w:rsidR="00B11F2F">
        <w:rPr>
          <w:rFonts w:ascii="Calibri" w:eastAsia="Calibri" w:hAnsi="Calibri" w:cs="Calibri"/>
          <w:color w:val="000000" w:themeColor="text1"/>
        </w:rPr>
        <w:t xml:space="preserve"> as well as</w:t>
      </w:r>
      <w:r w:rsidRPr="0017357E">
        <w:rPr>
          <w:rFonts w:ascii="Calibri" w:eastAsia="Calibri" w:hAnsi="Calibri" w:cs="Calibri"/>
          <w:color w:val="000000" w:themeColor="text1"/>
        </w:rPr>
        <w:t xml:space="preserve"> </w:t>
      </w:r>
      <w:r w:rsidR="00661AE8">
        <w:rPr>
          <w:rFonts w:ascii="Calibri" w:eastAsia="Calibri" w:hAnsi="Calibri" w:cs="Calibri"/>
          <w:color w:val="000000" w:themeColor="text1"/>
        </w:rPr>
        <w:t xml:space="preserve">individuals and </w:t>
      </w:r>
      <w:r w:rsidRPr="0017357E">
        <w:rPr>
          <w:rFonts w:ascii="Calibri" w:eastAsia="Calibri" w:hAnsi="Calibri" w:cs="Calibri"/>
          <w:color w:val="000000" w:themeColor="text1"/>
        </w:rPr>
        <w:t>groups from local, national, UK and international communities.</w:t>
      </w:r>
      <w:r w:rsidR="00B11F2F">
        <w:rPr>
          <w:rFonts w:ascii="Calibri" w:eastAsia="Calibri" w:hAnsi="Calibri" w:cs="Calibri"/>
          <w:color w:val="000000" w:themeColor="text1"/>
        </w:rPr>
        <w:t xml:space="preserve"> </w:t>
      </w:r>
      <w:r w:rsidRPr="0017357E">
        <w:rPr>
          <w:rFonts w:ascii="Calibri" w:hAnsi="Calibri" w:cs="Calibri"/>
          <w:color w:val="000000" w:themeColor="text1"/>
          <w:shd w:val="clear" w:color="auto" w:fill="FFFFFF"/>
        </w:rPr>
        <w:t xml:space="preserve">The term ‘reparatory justice’ is used </w:t>
      </w:r>
      <w:r w:rsidR="00B11F2F">
        <w:rPr>
          <w:rFonts w:ascii="Calibri" w:hAnsi="Calibri" w:cs="Calibri"/>
          <w:color w:val="000000" w:themeColor="text1"/>
          <w:shd w:val="clear" w:color="auto" w:fill="FFFFFF"/>
        </w:rPr>
        <w:t xml:space="preserve">here </w:t>
      </w:r>
      <w:r w:rsidRPr="0017357E">
        <w:rPr>
          <w:rFonts w:ascii="Calibri" w:hAnsi="Calibri" w:cs="Calibri"/>
          <w:color w:val="000000" w:themeColor="text1"/>
          <w:shd w:val="clear" w:color="auto" w:fill="FFFFFF"/>
        </w:rPr>
        <w:t>to underscore the fact that slavery was and remains a recognised crime against humanity, while colonialism has involved multiple human abuses</w:t>
      </w:r>
      <w:r w:rsidR="00B11F2F">
        <w:rPr>
          <w:rFonts w:ascii="Calibri" w:hAnsi="Calibri" w:cs="Calibri"/>
          <w:color w:val="000000" w:themeColor="text1"/>
          <w:shd w:val="clear" w:color="auto" w:fill="FFFFFF"/>
        </w:rPr>
        <w:t>, including genocide</w:t>
      </w:r>
      <w:r w:rsidR="00C84AB4">
        <w:rPr>
          <w:rFonts w:ascii="Calibri" w:hAnsi="Calibri" w:cs="Calibri"/>
          <w:color w:val="000000" w:themeColor="text1"/>
          <w:shd w:val="clear" w:color="auto" w:fill="FFFFFF"/>
        </w:rPr>
        <w:t xml:space="preserve"> and</w:t>
      </w:r>
      <w:r w:rsidR="00B11F2F">
        <w:rPr>
          <w:rFonts w:ascii="Calibri" w:hAnsi="Calibri" w:cs="Calibri"/>
          <w:color w:val="000000" w:themeColor="text1"/>
          <w:shd w:val="clear" w:color="auto" w:fill="FFFFFF"/>
        </w:rPr>
        <w:t xml:space="preserve"> epist</w:t>
      </w:r>
      <w:r w:rsidR="00661AE8">
        <w:rPr>
          <w:rFonts w:ascii="Calibri" w:hAnsi="Calibri" w:cs="Calibri"/>
          <w:color w:val="000000" w:themeColor="text1"/>
        </w:rPr>
        <w:t>e</w:t>
      </w:r>
      <w:r w:rsidR="00B11F2F">
        <w:rPr>
          <w:rFonts w:ascii="Calibri" w:hAnsi="Calibri" w:cs="Calibri"/>
          <w:color w:val="000000" w:themeColor="text1"/>
          <w:shd w:val="clear" w:color="auto" w:fill="FFFFFF"/>
        </w:rPr>
        <w:t>m</w:t>
      </w:r>
      <w:r w:rsidR="008904BE">
        <w:rPr>
          <w:rFonts w:ascii="Calibri" w:hAnsi="Calibri" w:cs="Calibri"/>
          <w:color w:val="000000" w:themeColor="text1"/>
          <w:shd w:val="clear" w:color="auto" w:fill="FFFFFF"/>
        </w:rPr>
        <w:t>i</w:t>
      </w:r>
      <w:r w:rsidR="00B11F2F">
        <w:rPr>
          <w:rFonts w:ascii="Calibri" w:hAnsi="Calibri" w:cs="Calibri"/>
          <w:color w:val="000000" w:themeColor="text1"/>
          <w:shd w:val="clear" w:color="auto" w:fill="FFFFFF"/>
        </w:rPr>
        <w:t xml:space="preserve">cide (or the killing of </w:t>
      </w:r>
      <w:r w:rsidR="00B11F2F">
        <w:rPr>
          <w:rFonts w:ascii="Calibri" w:hAnsi="Calibri" w:cs="Calibri"/>
          <w:color w:val="000000" w:themeColor="text1"/>
          <w:shd w:val="clear" w:color="auto" w:fill="FFFFFF"/>
        </w:rPr>
        <w:lastRenderedPageBreak/>
        <w:t>Indigenous knowledge</w:t>
      </w:r>
      <w:r w:rsidR="00D53BFA">
        <w:rPr>
          <w:rFonts w:ascii="Calibri" w:hAnsi="Calibri" w:cs="Calibri"/>
          <w:color w:val="000000" w:themeColor="text1"/>
          <w:shd w:val="clear" w:color="auto" w:fill="FFFFFF"/>
        </w:rPr>
        <w:t>s)</w:t>
      </w:r>
      <w:r w:rsidR="00B11F2F">
        <w:rPr>
          <w:rFonts w:ascii="Calibri" w:hAnsi="Calibri" w:cs="Calibri"/>
          <w:color w:val="000000" w:themeColor="text1"/>
          <w:shd w:val="clear" w:color="auto" w:fill="FFFFFF"/>
        </w:rPr>
        <w:t>,</w:t>
      </w:r>
      <w:r w:rsidRPr="0017357E">
        <w:rPr>
          <w:rFonts w:ascii="Calibri" w:hAnsi="Calibri" w:cs="Calibri"/>
          <w:color w:val="000000" w:themeColor="text1"/>
          <w:shd w:val="clear" w:color="auto" w:fill="FFFFFF"/>
        </w:rPr>
        <w:t xml:space="preserve"> that demand recognition</w:t>
      </w:r>
      <w:r w:rsidR="00B11F2F">
        <w:rPr>
          <w:rFonts w:ascii="Calibri" w:hAnsi="Calibri" w:cs="Calibri"/>
          <w:color w:val="000000" w:themeColor="text1"/>
          <w:shd w:val="clear" w:color="auto" w:fill="FFFFFF"/>
        </w:rPr>
        <w:t>, atonement and</w:t>
      </w:r>
      <w:r w:rsidRPr="0017357E">
        <w:rPr>
          <w:rFonts w:ascii="Calibri" w:hAnsi="Calibri" w:cs="Calibri"/>
          <w:color w:val="000000" w:themeColor="text1"/>
          <w:shd w:val="clear" w:color="auto" w:fill="FFFFFF"/>
        </w:rPr>
        <w:t xml:space="preserve"> reparation.</w:t>
      </w:r>
      <w:r w:rsidR="00C84AB4">
        <w:rPr>
          <w:rStyle w:val="FootnoteReference"/>
          <w:rFonts w:ascii="Calibri" w:hAnsi="Calibri" w:cs="Calibri"/>
          <w:color w:val="000000" w:themeColor="text1"/>
          <w:shd w:val="clear" w:color="auto" w:fill="FFFFFF"/>
        </w:rPr>
        <w:footnoteReference w:id="32"/>
      </w:r>
      <w:r w:rsidRPr="0017357E">
        <w:rPr>
          <w:rFonts w:ascii="Calibri" w:hAnsi="Calibri" w:cs="Calibri"/>
          <w:color w:val="000000" w:themeColor="text1"/>
        </w:rPr>
        <w:t xml:space="preserve"> While </w:t>
      </w:r>
      <w:r w:rsidR="00C54FC3">
        <w:rPr>
          <w:rFonts w:ascii="Calibri" w:hAnsi="Calibri" w:cs="Calibri"/>
          <w:color w:val="000000" w:themeColor="text1"/>
        </w:rPr>
        <w:t xml:space="preserve">reparations are </w:t>
      </w:r>
      <w:r w:rsidRPr="0017357E">
        <w:rPr>
          <w:rFonts w:ascii="Calibri" w:hAnsi="Calibri" w:cs="Calibri"/>
          <w:color w:val="000000" w:themeColor="text1"/>
        </w:rPr>
        <w:t xml:space="preserve">often </w:t>
      </w:r>
      <w:r w:rsidR="00C54FC3">
        <w:rPr>
          <w:rFonts w:ascii="Calibri" w:hAnsi="Calibri" w:cs="Calibri"/>
          <w:color w:val="000000" w:themeColor="text1"/>
        </w:rPr>
        <w:t>envisaged</w:t>
      </w:r>
      <w:r w:rsidRPr="0017357E">
        <w:rPr>
          <w:rFonts w:ascii="Calibri" w:hAnsi="Calibri" w:cs="Calibri"/>
          <w:color w:val="000000" w:themeColor="text1"/>
        </w:rPr>
        <w:t xml:space="preserve"> through a financial lens as monetary compensation (which is often negatively portrayed by the media and political elites), our understanding relies on the UN </w:t>
      </w:r>
      <w:hyperlink r:id="rId63" w:history="1">
        <w:r w:rsidR="00E205CD">
          <w:rPr>
            <w:rStyle w:val="Hyperlink"/>
            <w:rFonts w:ascii="Calibri" w:hAnsi="Calibri" w:cs="Calibri"/>
            <w:color w:val="000000" w:themeColor="text1"/>
          </w:rPr>
          <w:t>Basic Principles and Guidelines on the Right to a Remedy and Reparation</w:t>
        </w:r>
      </w:hyperlink>
      <w:r w:rsidRPr="0017357E">
        <w:rPr>
          <w:rFonts w:ascii="Calibri" w:hAnsi="Calibri" w:cs="Calibri"/>
          <w:color w:val="000000" w:themeColor="text1"/>
        </w:rPr>
        <w:t xml:space="preserve"> (2005).</w:t>
      </w:r>
      <w:r w:rsidR="00E10795" w:rsidRPr="00E205CD">
        <w:rPr>
          <w:rStyle w:val="FootnoteReference"/>
          <w:rFonts w:ascii="Calibri" w:hAnsi="Calibri" w:cs="Calibri"/>
          <w:color w:val="000000" w:themeColor="text1"/>
          <w:shd w:val="clear" w:color="auto" w:fill="FFFFFF"/>
        </w:rPr>
        <w:footnoteReference w:id="33"/>
      </w:r>
      <w:r w:rsidRPr="0017357E">
        <w:rPr>
          <w:rFonts w:ascii="Calibri" w:hAnsi="Calibri" w:cs="Calibri"/>
          <w:color w:val="000000" w:themeColor="text1"/>
        </w:rPr>
        <w:t xml:space="preserve"> </w:t>
      </w:r>
      <w:r w:rsidR="00E205CD" w:rsidRPr="00E205CD">
        <w:t>The</w:t>
      </w:r>
      <w:r w:rsidR="00C54FC3">
        <w:t>se Principles</w:t>
      </w:r>
      <w:r w:rsidR="00E205CD" w:rsidRPr="00E205CD">
        <w:t xml:space="preserve"> represent an aspirational process that includes: 1. </w:t>
      </w:r>
      <w:r w:rsidR="00E205CD" w:rsidRPr="4F20518F">
        <w:rPr>
          <w:i/>
          <w:iCs/>
          <w:shd w:val="clear" w:color="auto" w:fill="FFFFFF"/>
        </w:rPr>
        <w:t>restitution</w:t>
      </w:r>
      <w:r w:rsidR="00E205CD" w:rsidRPr="00E205CD">
        <w:rPr>
          <w:shd w:val="clear" w:color="auto" w:fill="FFFFFF"/>
        </w:rPr>
        <w:t xml:space="preserve">, or restoring, as far as possible, people to the original situation before their rights were violated; 2. </w:t>
      </w:r>
      <w:r w:rsidR="00E205CD" w:rsidRPr="4F20518F">
        <w:rPr>
          <w:i/>
          <w:iCs/>
          <w:shd w:val="clear" w:color="auto" w:fill="FFFFFF"/>
        </w:rPr>
        <w:t>compensation</w:t>
      </w:r>
      <w:r w:rsidR="00E205CD" w:rsidRPr="00E205CD">
        <w:rPr>
          <w:shd w:val="clear" w:color="auto" w:fill="FFFFFF"/>
        </w:rPr>
        <w:t xml:space="preserve"> for </w:t>
      </w:r>
      <w:r w:rsidR="00E205CD" w:rsidRPr="00E205CD">
        <w:t xml:space="preserve">any economically assessable damage </w:t>
      </w:r>
      <w:r w:rsidR="00E205CD" w:rsidRPr="00E205CD">
        <w:rPr>
          <w:shd w:val="clear" w:color="auto" w:fill="FFFFFF"/>
        </w:rPr>
        <w:t xml:space="preserve">that has negatively impacted a person’s physical, psychological or material circumstances; 3. </w:t>
      </w:r>
      <w:r w:rsidR="00E205CD" w:rsidRPr="4F20518F">
        <w:rPr>
          <w:i/>
          <w:iCs/>
          <w:shd w:val="clear" w:color="auto" w:fill="FFFFFF"/>
        </w:rPr>
        <w:t>rehabilitation</w:t>
      </w:r>
      <w:r w:rsidR="00E205CD" w:rsidRPr="00E205CD">
        <w:rPr>
          <w:shd w:val="clear" w:color="auto" w:fill="FFFFFF"/>
        </w:rPr>
        <w:t xml:space="preserve"> to return people and societies to full health and functioning; and 4. </w:t>
      </w:r>
      <w:r w:rsidR="00E205CD" w:rsidRPr="4F20518F">
        <w:rPr>
          <w:i/>
          <w:iCs/>
          <w:shd w:val="clear" w:color="auto" w:fill="FFFFFF"/>
        </w:rPr>
        <w:t>satisfaction</w:t>
      </w:r>
      <w:r w:rsidR="00E205CD" w:rsidRPr="00E205CD">
        <w:rPr>
          <w:shd w:val="clear" w:color="auto" w:fill="FFFFFF"/>
        </w:rPr>
        <w:t xml:space="preserve"> and </w:t>
      </w:r>
      <w:r w:rsidR="00E205CD" w:rsidRPr="4F20518F">
        <w:rPr>
          <w:i/>
          <w:iCs/>
          <w:shd w:val="clear" w:color="auto" w:fill="FFFFFF"/>
        </w:rPr>
        <w:t>guarantees of non-repetition</w:t>
      </w:r>
      <w:r w:rsidR="00E205CD" w:rsidRPr="00E205CD">
        <w:rPr>
          <w:shd w:val="clear" w:color="auto" w:fill="FFFFFF"/>
        </w:rPr>
        <w:t>, including stopping the harm, truth telling processes, official apologies, commemorations and educational programmes.</w:t>
      </w:r>
      <w:r w:rsidR="00E205CD" w:rsidRPr="00E205CD">
        <w:rPr>
          <w:rStyle w:val="FootnoteReference"/>
          <w:rFonts w:ascii="Calibri" w:hAnsi="Calibri" w:cs="Calibri"/>
          <w:color w:val="000000" w:themeColor="text1"/>
          <w:shd w:val="clear" w:color="auto" w:fill="FFFFFF"/>
        </w:rPr>
        <w:footnoteReference w:id="34"/>
      </w:r>
      <w:r w:rsidR="00E205CD" w:rsidRPr="00E205CD">
        <w:rPr>
          <w:rFonts w:ascii="Calibri" w:hAnsi="Calibri" w:cs="Calibri"/>
          <w:color w:val="000000" w:themeColor="text1"/>
        </w:rPr>
        <w:t xml:space="preserve"> </w:t>
      </w:r>
      <w:r w:rsidRPr="00E205CD">
        <w:rPr>
          <w:rFonts w:ascii="Calibri" w:hAnsi="Calibri" w:cs="Calibri"/>
          <w:color w:val="000000" w:themeColor="text1"/>
        </w:rPr>
        <w:t>To understand what this means in practice</w:t>
      </w:r>
      <w:r w:rsidR="00DE171B">
        <w:rPr>
          <w:rFonts w:ascii="Calibri" w:hAnsi="Calibri" w:cs="Calibri"/>
          <w:color w:val="000000" w:themeColor="text1"/>
        </w:rPr>
        <w:t>,</w:t>
      </w:r>
      <w:r w:rsidR="00B11F2F" w:rsidRPr="00E205CD">
        <w:rPr>
          <w:rFonts w:ascii="Calibri" w:hAnsi="Calibri" w:cs="Calibri"/>
          <w:color w:val="000000" w:themeColor="text1"/>
        </w:rPr>
        <w:t xml:space="preserve"> </w:t>
      </w:r>
      <w:r w:rsidR="00846F72">
        <w:rPr>
          <w:rFonts w:ascii="Calibri" w:hAnsi="Calibri" w:cs="Calibri"/>
          <w:color w:val="000000" w:themeColor="text1"/>
        </w:rPr>
        <w:t>where</w:t>
      </w:r>
      <w:r w:rsidR="00B11F2F" w:rsidRPr="00E205CD">
        <w:rPr>
          <w:rFonts w:ascii="Calibri" w:hAnsi="Calibri" w:cs="Calibri"/>
          <w:color w:val="000000" w:themeColor="text1"/>
        </w:rPr>
        <w:t xml:space="preserve"> the </w:t>
      </w:r>
      <w:r w:rsidR="00A27530">
        <w:rPr>
          <w:rFonts w:ascii="Calibri" w:hAnsi="Calibri" w:cs="Calibri"/>
          <w:color w:val="000000" w:themeColor="text1"/>
        </w:rPr>
        <w:t>University of Edinburgh</w:t>
      </w:r>
      <w:r w:rsidR="00B11F2F" w:rsidRPr="00E205CD">
        <w:rPr>
          <w:rFonts w:ascii="Calibri" w:hAnsi="Calibri" w:cs="Calibri"/>
          <w:color w:val="000000" w:themeColor="text1"/>
        </w:rPr>
        <w:t xml:space="preserve"> and its legacies</w:t>
      </w:r>
      <w:r w:rsidR="00846F72">
        <w:rPr>
          <w:rFonts w:ascii="Calibri" w:hAnsi="Calibri" w:cs="Calibri"/>
          <w:color w:val="000000" w:themeColor="text1"/>
        </w:rPr>
        <w:t xml:space="preserve"> are concerned</w:t>
      </w:r>
      <w:r w:rsidR="00B11F2F" w:rsidRPr="00E205CD">
        <w:rPr>
          <w:rFonts w:ascii="Calibri" w:hAnsi="Calibri" w:cs="Calibri"/>
          <w:color w:val="000000" w:themeColor="text1"/>
        </w:rPr>
        <w:t>, our work has</w:t>
      </w:r>
      <w:r w:rsidR="00546A08" w:rsidRPr="00E205CD">
        <w:rPr>
          <w:rFonts w:ascii="Calibri" w:hAnsi="Calibri" w:cs="Calibri"/>
          <w:color w:val="000000" w:themeColor="text1"/>
        </w:rPr>
        <w:t xml:space="preserve"> actively sought to include</w:t>
      </w:r>
      <w:r w:rsidR="00B11F2F" w:rsidRPr="00E205CD">
        <w:rPr>
          <w:rFonts w:ascii="Calibri" w:hAnsi="Calibri" w:cs="Calibri"/>
          <w:color w:val="000000" w:themeColor="text1"/>
        </w:rPr>
        <w:t xml:space="preserve"> </w:t>
      </w:r>
      <w:r w:rsidR="00DE171B">
        <w:rPr>
          <w:rFonts w:ascii="Calibri" w:hAnsi="Calibri" w:cs="Calibri"/>
          <w:color w:val="000000" w:themeColor="text1"/>
        </w:rPr>
        <w:t xml:space="preserve">and empower </w:t>
      </w:r>
      <w:r w:rsidR="00546A08" w:rsidRPr="00E205CD">
        <w:rPr>
          <w:rFonts w:ascii="Calibri" w:hAnsi="Calibri" w:cs="Calibri"/>
          <w:color w:val="000000" w:themeColor="text1"/>
        </w:rPr>
        <w:t>communities</w:t>
      </w:r>
      <w:r w:rsidRPr="00E205CD">
        <w:rPr>
          <w:rFonts w:ascii="Calibri" w:hAnsi="Calibri" w:cs="Calibri"/>
          <w:color w:val="000000" w:themeColor="text1"/>
        </w:rPr>
        <w:t xml:space="preserve"> of reparatory justice interest</w:t>
      </w:r>
      <w:r w:rsidR="00B11F2F" w:rsidRPr="00E205CD">
        <w:rPr>
          <w:rFonts w:ascii="Calibri" w:hAnsi="Calibri" w:cs="Calibri"/>
          <w:color w:val="000000" w:themeColor="text1"/>
        </w:rPr>
        <w:t xml:space="preserve"> </w:t>
      </w:r>
      <w:r w:rsidR="00DE171B">
        <w:rPr>
          <w:rFonts w:ascii="Calibri" w:hAnsi="Calibri" w:cs="Calibri"/>
          <w:color w:val="000000" w:themeColor="text1"/>
        </w:rPr>
        <w:t>by including them</w:t>
      </w:r>
      <w:r w:rsidR="00B11F2F" w:rsidRPr="00E205CD">
        <w:rPr>
          <w:rFonts w:ascii="Calibri" w:hAnsi="Calibri" w:cs="Calibri"/>
          <w:color w:val="000000" w:themeColor="text1"/>
        </w:rPr>
        <w:t xml:space="preserve"> </w:t>
      </w:r>
      <w:r w:rsidR="00546A08" w:rsidRPr="00E205CD">
        <w:rPr>
          <w:rFonts w:ascii="Calibri" w:hAnsi="Calibri" w:cs="Calibri"/>
          <w:color w:val="000000" w:themeColor="text1"/>
        </w:rPr>
        <w:t>in</w:t>
      </w:r>
      <w:r w:rsidRPr="00E205CD">
        <w:rPr>
          <w:rFonts w:ascii="Calibri" w:hAnsi="Calibri" w:cs="Calibri"/>
          <w:color w:val="000000" w:themeColor="text1"/>
        </w:rPr>
        <w:t xml:space="preserve"> decision-making processes</w:t>
      </w:r>
      <w:r w:rsidRPr="0017357E">
        <w:rPr>
          <w:rFonts w:ascii="Calibri" w:hAnsi="Calibri" w:cs="Calibri"/>
          <w:color w:val="000000" w:themeColor="text1"/>
        </w:rPr>
        <w:t xml:space="preserve"> and </w:t>
      </w:r>
      <w:r w:rsidR="00DE171B">
        <w:rPr>
          <w:rFonts w:ascii="Calibri" w:hAnsi="Calibri" w:cs="Calibri"/>
          <w:color w:val="000000" w:themeColor="text1"/>
        </w:rPr>
        <w:t xml:space="preserve">ensuring that </w:t>
      </w:r>
      <w:r w:rsidR="00274DE2">
        <w:rPr>
          <w:rFonts w:ascii="Calibri" w:hAnsi="Calibri" w:cs="Calibri"/>
          <w:color w:val="000000" w:themeColor="text1"/>
        </w:rPr>
        <w:t xml:space="preserve">that these voices </w:t>
      </w:r>
      <w:r w:rsidR="00E61FFA">
        <w:rPr>
          <w:rFonts w:ascii="Calibri" w:hAnsi="Calibri" w:cs="Calibri"/>
          <w:color w:val="000000" w:themeColor="text1"/>
        </w:rPr>
        <w:t>are central to our processes and outcomes</w:t>
      </w:r>
      <w:r w:rsidRPr="0017357E">
        <w:rPr>
          <w:rFonts w:ascii="Calibri" w:hAnsi="Calibri" w:cs="Calibri"/>
          <w:color w:val="000000" w:themeColor="text1"/>
        </w:rPr>
        <w:t>.</w:t>
      </w:r>
    </w:p>
    <w:p w14:paraId="4CB9AF05" w14:textId="77777777" w:rsidR="00773F7C" w:rsidRPr="0017357E" w:rsidRDefault="00773F7C" w:rsidP="00016E93">
      <w:pPr>
        <w:spacing w:line="259" w:lineRule="auto"/>
        <w:jc w:val="both"/>
        <w:rPr>
          <w:rFonts w:ascii="Calibri" w:eastAsia="Calibri" w:hAnsi="Calibri" w:cs="Calibri"/>
          <w:b/>
          <w:bCs/>
          <w:color w:val="000000" w:themeColor="text1"/>
        </w:rPr>
      </w:pPr>
    </w:p>
    <w:p w14:paraId="0114C491" w14:textId="5ECE5AB4" w:rsidR="008E4928" w:rsidRPr="008E03CE" w:rsidRDefault="008E4928" w:rsidP="008E03CE">
      <w:pPr>
        <w:spacing w:line="259" w:lineRule="auto"/>
        <w:jc w:val="both"/>
        <w:rPr>
          <w:rFonts w:ascii="Calibri" w:eastAsia="Calibri" w:hAnsi="Calibri" w:cs="Calibri"/>
          <w:color w:val="000000" w:themeColor="text1"/>
          <w:highlight w:val="yellow"/>
        </w:rPr>
      </w:pPr>
      <w:r>
        <w:rPr>
          <w:rFonts w:ascii="Calibri" w:eastAsia="Times New Roman" w:hAnsi="Calibri" w:cs="Calibri"/>
          <w:color w:val="000000" w:themeColor="text1"/>
        </w:rPr>
        <w:br w:type="page"/>
      </w:r>
    </w:p>
    <w:p w14:paraId="5BF1262E" w14:textId="77777777" w:rsidR="00773F7C" w:rsidRPr="0017357E" w:rsidRDefault="00773F7C" w:rsidP="00016E93">
      <w:pPr>
        <w:spacing w:after="160" w:line="259" w:lineRule="auto"/>
        <w:jc w:val="both"/>
        <w:rPr>
          <w:rFonts w:ascii="Calibri" w:eastAsia="Times New Roman" w:hAnsi="Calibri" w:cs="Calibri"/>
          <w:color w:val="000000" w:themeColor="text1"/>
        </w:rPr>
      </w:pPr>
    </w:p>
    <w:p w14:paraId="1B315AF9" w14:textId="4AA814A5" w:rsidR="00773F7C" w:rsidRPr="0074302A" w:rsidRDefault="00A3703D" w:rsidP="0074302A">
      <w:pPr>
        <w:pStyle w:val="Heading1"/>
      </w:pPr>
      <w:bookmarkStart w:id="20" w:name="_Toc157238069"/>
      <w:bookmarkStart w:id="21" w:name="_Toc190939403"/>
      <w:bookmarkStart w:id="22" w:name="_Toc202627086"/>
      <w:r w:rsidRPr="0074302A">
        <w:t xml:space="preserve">Part 2: </w:t>
      </w:r>
      <w:r w:rsidR="00773F7C" w:rsidRPr="0074302A">
        <w:t>Historical Links to Enslavement, Colonialism</w:t>
      </w:r>
      <w:bookmarkEnd w:id="20"/>
      <w:r w:rsidR="00773F7C" w:rsidRPr="0074302A">
        <w:t xml:space="preserve"> and the Development of Racial Thought</w:t>
      </w:r>
      <w:bookmarkEnd w:id="21"/>
      <w:bookmarkEnd w:id="22"/>
    </w:p>
    <w:p w14:paraId="0635C048" w14:textId="77777777" w:rsidR="00773F7C" w:rsidRPr="0017357E" w:rsidRDefault="00773F7C" w:rsidP="00016E93">
      <w:pPr>
        <w:spacing w:line="259" w:lineRule="auto"/>
        <w:rPr>
          <w:rFonts w:ascii="Calibri" w:eastAsia="Calibri" w:hAnsi="Calibri" w:cs="Calibri"/>
          <w:b/>
          <w:bCs/>
          <w:color w:val="000000" w:themeColor="text1"/>
          <w:kern w:val="0"/>
          <w:lang w:eastAsia="en-GB"/>
          <w14:ligatures w14:val="none"/>
        </w:rPr>
      </w:pPr>
    </w:p>
    <w:p w14:paraId="3A6563D6" w14:textId="77777777" w:rsidR="00773F7C" w:rsidRPr="0017357E" w:rsidRDefault="00773F7C" w:rsidP="00016E93">
      <w:pPr>
        <w:spacing w:line="259" w:lineRule="auto"/>
        <w:rPr>
          <w:rFonts w:ascii="Calibri" w:eastAsia="Calibri" w:hAnsi="Calibri" w:cs="Calibri"/>
          <w:b/>
          <w:bCs/>
          <w:color w:val="000000" w:themeColor="text1"/>
          <w:kern w:val="0"/>
          <w:lang w:eastAsia="en-GB"/>
          <w14:ligatures w14:val="none"/>
        </w:rPr>
      </w:pPr>
    </w:p>
    <w:p w14:paraId="0168E26B" w14:textId="2437A754" w:rsidR="00773F7C" w:rsidRPr="0017357E" w:rsidRDefault="00773F7C" w:rsidP="00057638">
      <w:pPr>
        <w:spacing w:line="259" w:lineRule="auto"/>
        <w:rPr>
          <w:rFonts w:ascii="Calibri" w:eastAsia="Calibri" w:hAnsi="Calibri" w:cs="Calibri"/>
          <w:color w:val="000000" w:themeColor="text1"/>
          <w:kern w:val="0"/>
          <w:lang w:eastAsia="en-GB"/>
          <w14:ligatures w14:val="none"/>
        </w:rPr>
      </w:pPr>
      <w:r w:rsidRPr="0017357E">
        <w:rPr>
          <w:rFonts w:ascii="Calibri" w:eastAsia="Calibri" w:hAnsi="Calibri" w:cs="Calibri"/>
          <w:color w:val="000000" w:themeColor="text1"/>
          <w:kern w:val="0"/>
          <w:lang w:eastAsia="en-GB"/>
          <w14:ligatures w14:val="none"/>
        </w:rPr>
        <w:t xml:space="preserve">The following section </w:t>
      </w:r>
      <w:r w:rsidR="008A075E">
        <w:rPr>
          <w:rFonts w:ascii="Calibri" w:eastAsia="Calibri" w:hAnsi="Calibri" w:cs="Calibri"/>
          <w:color w:val="000000" w:themeColor="text1"/>
          <w:kern w:val="0"/>
          <w:lang w:eastAsia="en-GB"/>
          <w14:ligatures w14:val="none"/>
        </w:rPr>
        <w:t>summarises the findings</w:t>
      </w:r>
      <w:r w:rsidRPr="0017357E">
        <w:rPr>
          <w:rFonts w:ascii="Calibri" w:eastAsia="Calibri" w:hAnsi="Calibri" w:cs="Calibri"/>
          <w:color w:val="000000" w:themeColor="text1"/>
          <w:kern w:val="0"/>
          <w:lang w:eastAsia="en-GB"/>
          <w14:ligatures w14:val="none"/>
        </w:rPr>
        <w:t xml:space="preserve"> of </w:t>
      </w:r>
      <w:r w:rsidR="008A075E">
        <w:rPr>
          <w:rFonts w:ascii="Calibri" w:eastAsia="Calibri" w:hAnsi="Calibri" w:cs="Calibri"/>
          <w:color w:val="000000" w:themeColor="text1"/>
          <w:kern w:val="0"/>
          <w:lang w:eastAsia="en-GB"/>
          <w14:ligatures w14:val="none"/>
        </w:rPr>
        <w:t xml:space="preserve">the </w:t>
      </w:r>
      <w:r w:rsidRPr="0017357E">
        <w:rPr>
          <w:rFonts w:ascii="Calibri" w:eastAsia="Calibri" w:hAnsi="Calibri" w:cs="Calibri"/>
          <w:color w:val="000000" w:themeColor="text1"/>
          <w:kern w:val="0"/>
          <w:lang w:eastAsia="en-GB"/>
          <w14:ligatures w14:val="none"/>
        </w:rPr>
        <w:t>histor</w:t>
      </w:r>
      <w:r w:rsidR="006E4F79">
        <w:rPr>
          <w:rFonts w:ascii="Calibri" w:eastAsia="Calibri" w:hAnsi="Calibri" w:cs="Calibri"/>
          <w:color w:val="000000" w:themeColor="text1"/>
          <w:kern w:val="0"/>
          <w:lang w:eastAsia="en-GB"/>
          <w14:ligatures w14:val="none"/>
        </w:rPr>
        <w:t>ical</w:t>
      </w:r>
      <w:r w:rsidRPr="0017357E">
        <w:rPr>
          <w:rFonts w:ascii="Calibri" w:eastAsia="Calibri" w:hAnsi="Calibri" w:cs="Calibri"/>
          <w:color w:val="000000" w:themeColor="text1"/>
          <w:kern w:val="0"/>
          <w:lang w:eastAsia="en-GB"/>
          <w14:ligatures w14:val="none"/>
        </w:rPr>
        <w:t xml:space="preserve"> </w:t>
      </w:r>
      <w:r w:rsidR="006E4F79">
        <w:rPr>
          <w:rFonts w:ascii="Calibri" w:eastAsia="Calibri" w:hAnsi="Calibri" w:cs="Calibri"/>
          <w:color w:val="000000" w:themeColor="text1"/>
          <w:kern w:val="0"/>
          <w:lang w:eastAsia="en-GB"/>
          <w14:ligatures w14:val="none"/>
        </w:rPr>
        <w:t>researc</w:t>
      </w:r>
      <w:r w:rsidR="008A075E">
        <w:rPr>
          <w:rFonts w:ascii="Calibri" w:eastAsia="Calibri" w:hAnsi="Calibri" w:cs="Calibri"/>
          <w:color w:val="000000" w:themeColor="text1"/>
          <w:kern w:val="0"/>
          <w:lang w:eastAsia="en-GB"/>
          <w14:ligatures w14:val="none"/>
        </w:rPr>
        <w:t>h into the</w:t>
      </w:r>
      <w:r w:rsidR="008A075E" w:rsidRPr="0017357E">
        <w:rPr>
          <w:rFonts w:ascii="Calibri" w:eastAsia="Calibri" w:hAnsi="Calibri" w:cs="Calibri"/>
          <w:color w:val="000000" w:themeColor="text1"/>
          <w:kern w:val="0"/>
          <w:lang w:eastAsia="en-GB"/>
          <w14:ligatures w14:val="none"/>
        </w:rPr>
        <w:t xml:space="preserve"> links between </w:t>
      </w:r>
      <w:r w:rsidR="008A075E">
        <w:rPr>
          <w:rFonts w:ascii="Calibri" w:eastAsia="Calibri" w:hAnsi="Calibri" w:cs="Calibri"/>
          <w:color w:val="000000" w:themeColor="text1"/>
          <w:kern w:val="0"/>
          <w:lang w:eastAsia="en-GB"/>
          <w14:ligatures w14:val="none"/>
        </w:rPr>
        <w:t xml:space="preserve">the </w:t>
      </w:r>
      <w:r w:rsidR="00A27530" w:rsidRPr="7DC86C1C">
        <w:rPr>
          <w:rFonts w:ascii="Calibri" w:eastAsia="Calibri" w:hAnsi="Calibri" w:cs="Calibri"/>
          <w:color w:val="000000" w:themeColor="text1"/>
          <w:lang w:eastAsia="en-GB"/>
        </w:rPr>
        <w:t>University of Edinburgh</w:t>
      </w:r>
      <w:r w:rsidR="008A075E" w:rsidRPr="0017357E">
        <w:rPr>
          <w:rFonts w:ascii="Calibri" w:eastAsia="Calibri" w:hAnsi="Calibri" w:cs="Calibri"/>
          <w:color w:val="000000" w:themeColor="text1"/>
          <w:kern w:val="0"/>
          <w:lang w:eastAsia="en-GB"/>
          <w14:ligatures w14:val="none"/>
        </w:rPr>
        <w:t xml:space="preserve"> and the interconnected histories of enslavement, colonialism and the development of racial pseudo-sciences, </w:t>
      </w:r>
      <w:r w:rsidR="00155137">
        <w:rPr>
          <w:rFonts w:ascii="Calibri" w:eastAsia="Calibri" w:hAnsi="Calibri" w:cs="Calibri"/>
          <w:color w:val="000000" w:themeColor="text1"/>
          <w:kern w:val="0"/>
          <w:lang w:eastAsia="en-GB"/>
          <w14:ligatures w14:val="none"/>
        </w:rPr>
        <w:t>as well as</w:t>
      </w:r>
      <w:r w:rsidR="008A075E">
        <w:rPr>
          <w:rFonts w:ascii="Calibri" w:eastAsia="Calibri" w:hAnsi="Calibri" w:cs="Calibri"/>
          <w:color w:val="000000" w:themeColor="text1"/>
          <w:kern w:val="0"/>
          <w:lang w:eastAsia="en-GB"/>
          <w14:ligatures w14:val="none"/>
        </w:rPr>
        <w:t xml:space="preserve"> </w:t>
      </w:r>
      <w:r w:rsidR="008A075E" w:rsidRPr="0017357E">
        <w:rPr>
          <w:rFonts w:ascii="Calibri" w:eastAsia="Calibri" w:hAnsi="Calibri" w:cs="Calibri"/>
          <w:color w:val="000000" w:themeColor="text1"/>
          <w:kern w:val="0"/>
          <w:lang w:eastAsia="en-GB"/>
          <w14:ligatures w14:val="none"/>
        </w:rPr>
        <w:t>the</w:t>
      </w:r>
      <w:r w:rsidR="007C3F8F">
        <w:rPr>
          <w:rFonts w:ascii="Calibri" w:eastAsia="Calibri" w:hAnsi="Calibri" w:cs="Calibri"/>
          <w:color w:val="000000" w:themeColor="text1"/>
          <w:kern w:val="0"/>
          <w:lang w:eastAsia="en-GB"/>
          <w14:ligatures w14:val="none"/>
        </w:rPr>
        <w:t xml:space="preserve"> imperial and</w:t>
      </w:r>
      <w:r w:rsidR="008A075E" w:rsidRPr="0017357E">
        <w:rPr>
          <w:rFonts w:ascii="Calibri" w:eastAsia="Calibri" w:hAnsi="Calibri" w:cs="Calibri"/>
          <w:color w:val="000000" w:themeColor="text1"/>
          <w:kern w:val="0"/>
          <w:lang w:eastAsia="en-GB"/>
          <w14:ligatures w14:val="none"/>
        </w:rPr>
        <w:t xml:space="preserve"> colonial links between </w:t>
      </w:r>
      <w:r w:rsidR="008A075E">
        <w:rPr>
          <w:rFonts w:ascii="Calibri" w:eastAsia="Calibri" w:hAnsi="Calibri" w:cs="Calibri"/>
          <w:color w:val="000000" w:themeColor="text1"/>
          <w:kern w:val="0"/>
          <w:lang w:eastAsia="en-GB"/>
          <w14:ligatures w14:val="none"/>
        </w:rPr>
        <w:t xml:space="preserve">the </w:t>
      </w:r>
      <w:r w:rsidR="00A27530" w:rsidRPr="7DC86C1C">
        <w:rPr>
          <w:rFonts w:ascii="Calibri" w:eastAsia="Calibri" w:hAnsi="Calibri" w:cs="Calibri"/>
          <w:color w:val="000000" w:themeColor="text1"/>
          <w:lang w:eastAsia="en-GB"/>
        </w:rPr>
        <w:t>University of Edinburgh</w:t>
      </w:r>
      <w:r w:rsidR="008A075E" w:rsidRPr="0017357E">
        <w:rPr>
          <w:rFonts w:ascii="Calibri" w:eastAsia="Calibri" w:hAnsi="Calibri" w:cs="Calibri"/>
          <w:color w:val="000000" w:themeColor="text1"/>
          <w:kern w:val="0"/>
          <w:lang w:eastAsia="en-GB"/>
          <w14:ligatures w14:val="none"/>
        </w:rPr>
        <w:t xml:space="preserve"> and the Middle East, notabl</w:t>
      </w:r>
      <w:r w:rsidR="00972435">
        <w:rPr>
          <w:rFonts w:ascii="Calibri" w:eastAsia="Calibri" w:hAnsi="Calibri" w:cs="Calibri"/>
          <w:color w:val="000000" w:themeColor="text1"/>
          <w:kern w:val="0"/>
          <w:lang w:eastAsia="en-GB"/>
          <w14:ligatures w14:val="none"/>
        </w:rPr>
        <w:t>y</w:t>
      </w:r>
      <w:r w:rsidR="008A075E" w:rsidRPr="0017357E">
        <w:rPr>
          <w:rFonts w:ascii="Calibri" w:eastAsia="Calibri" w:hAnsi="Calibri" w:cs="Calibri"/>
          <w:color w:val="000000" w:themeColor="text1"/>
          <w:kern w:val="0"/>
          <w:lang w:eastAsia="en-GB"/>
          <w14:ligatures w14:val="none"/>
        </w:rPr>
        <w:t xml:space="preserve"> Palestine. </w:t>
      </w:r>
      <w:r w:rsidR="008A075E">
        <w:rPr>
          <w:rFonts w:ascii="Calibri" w:eastAsia="Calibri" w:hAnsi="Calibri" w:cs="Calibri"/>
          <w:color w:val="000000" w:themeColor="text1"/>
          <w:kern w:val="0"/>
          <w:lang w:eastAsia="en-GB"/>
          <w14:ligatures w14:val="none"/>
        </w:rPr>
        <w:t>It shows:</w:t>
      </w:r>
      <w:r w:rsidRPr="0017357E">
        <w:rPr>
          <w:rFonts w:ascii="Calibri" w:eastAsia="Calibri" w:hAnsi="Calibri" w:cs="Calibri"/>
          <w:color w:val="000000" w:themeColor="text1"/>
          <w:kern w:val="0"/>
          <w:lang w:eastAsia="en-GB"/>
          <w14:ligatures w14:val="none"/>
        </w:rPr>
        <w:t xml:space="preserve"> the ways that the </w:t>
      </w:r>
      <w:r w:rsidR="003961F6">
        <w:rPr>
          <w:rFonts w:ascii="Calibri" w:eastAsia="Calibri" w:hAnsi="Calibri" w:cs="Calibri"/>
          <w:color w:val="000000" w:themeColor="text1"/>
          <w:kern w:val="0"/>
          <w:lang w:eastAsia="en-GB"/>
          <w14:ligatures w14:val="none"/>
        </w:rPr>
        <w:t>U</w:t>
      </w:r>
      <w:r w:rsidRPr="0017357E">
        <w:rPr>
          <w:rFonts w:ascii="Calibri" w:eastAsia="Calibri" w:hAnsi="Calibri" w:cs="Calibri"/>
          <w:color w:val="000000" w:themeColor="text1"/>
          <w:kern w:val="0"/>
          <w:lang w:eastAsia="en-GB"/>
          <w14:ligatures w14:val="none"/>
        </w:rPr>
        <w:t>niversity benefitted financially from the profits of African enslavement; the use and abuse of enslaved Africans to generate, extract and circulate knowledge</w:t>
      </w:r>
      <w:r w:rsidR="00D01977">
        <w:rPr>
          <w:rFonts w:ascii="Calibri" w:eastAsia="Calibri" w:hAnsi="Calibri" w:cs="Calibri"/>
          <w:color w:val="000000" w:themeColor="text1"/>
          <w:kern w:val="0"/>
          <w:lang w:eastAsia="en-GB"/>
          <w14:ligatures w14:val="none"/>
        </w:rPr>
        <w:t>, notably</w:t>
      </w:r>
      <w:r w:rsidRPr="0017357E">
        <w:rPr>
          <w:rFonts w:ascii="Calibri" w:eastAsia="Calibri" w:hAnsi="Calibri" w:cs="Calibri"/>
          <w:color w:val="000000" w:themeColor="text1"/>
          <w:kern w:val="0"/>
          <w:lang w:eastAsia="en-GB"/>
          <w14:ligatures w14:val="none"/>
        </w:rPr>
        <w:t xml:space="preserve"> for the benefit of </w:t>
      </w:r>
      <w:r w:rsidR="006E4F79">
        <w:rPr>
          <w:rFonts w:ascii="Calibri" w:eastAsia="Calibri" w:hAnsi="Calibri" w:cs="Calibri"/>
          <w:color w:val="000000" w:themeColor="text1"/>
          <w:kern w:val="0"/>
          <w:lang w:eastAsia="en-GB"/>
          <w14:ligatures w14:val="none"/>
        </w:rPr>
        <w:t>W</w:t>
      </w:r>
      <w:r w:rsidRPr="0017357E">
        <w:rPr>
          <w:rFonts w:ascii="Calibri" w:eastAsia="Calibri" w:hAnsi="Calibri" w:cs="Calibri"/>
          <w:color w:val="000000" w:themeColor="text1"/>
          <w:kern w:val="0"/>
          <w:lang w:eastAsia="en-GB"/>
          <w14:ligatures w14:val="none"/>
        </w:rPr>
        <w:t xml:space="preserve">estern medicine; the central role played by scholars at </w:t>
      </w:r>
      <w:r w:rsidR="00D01977">
        <w:rPr>
          <w:rFonts w:ascii="Calibri" w:eastAsia="Calibri" w:hAnsi="Calibri" w:cs="Calibri"/>
          <w:color w:val="000000" w:themeColor="text1"/>
          <w:kern w:val="0"/>
          <w:lang w:eastAsia="en-GB"/>
          <w14:ligatures w14:val="none"/>
        </w:rPr>
        <w:t xml:space="preserve">the </w:t>
      </w:r>
      <w:r w:rsidR="00A27530" w:rsidRPr="7DC86C1C">
        <w:rPr>
          <w:rFonts w:ascii="Calibri" w:eastAsia="Calibri" w:hAnsi="Calibri" w:cs="Calibri"/>
          <w:color w:val="000000" w:themeColor="text1"/>
          <w:lang w:eastAsia="en-GB"/>
        </w:rPr>
        <w:t>University of Edinburgh</w:t>
      </w:r>
      <w:r w:rsidRPr="0017357E">
        <w:rPr>
          <w:rFonts w:ascii="Calibri" w:eastAsia="Calibri" w:hAnsi="Calibri" w:cs="Calibri"/>
          <w:color w:val="000000" w:themeColor="text1"/>
          <w:kern w:val="0"/>
          <w:lang w:eastAsia="en-GB"/>
          <w14:ligatures w14:val="none"/>
        </w:rPr>
        <w:t xml:space="preserve"> in developing and disseminating deeply problematic concepts about ‘race’, particularly during the Scottish Enlightenment; and the role played by one of Edinburgh’s former Chancellors</w:t>
      </w:r>
      <w:r w:rsidR="00264B4F">
        <w:rPr>
          <w:rFonts w:ascii="Calibri" w:eastAsia="Calibri" w:hAnsi="Calibri" w:cs="Calibri"/>
          <w:color w:val="000000" w:themeColor="text1"/>
          <w:kern w:val="0"/>
          <w:lang w:eastAsia="en-GB"/>
          <w14:ligatures w14:val="none"/>
        </w:rPr>
        <w:t>,</w:t>
      </w:r>
      <w:r w:rsidRPr="0017357E">
        <w:rPr>
          <w:rFonts w:ascii="Calibri" w:eastAsia="Calibri" w:hAnsi="Calibri" w:cs="Calibri"/>
          <w:color w:val="000000" w:themeColor="text1"/>
          <w:kern w:val="0"/>
          <w:lang w:eastAsia="en-GB"/>
          <w14:ligatures w14:val="none"/>
        </w:rPr>
        <w:t xml:space="preserve"> </w:t>
      </w:r>
      <w:r w:rsidRPr="0017357E">
        <w:rPr>
          <w:rFonts w:ascii="Calibri" w:eastAsia="Calibri" w:hAnsi="Calibri" w:cs="Calibri"/>
          <w:color w:val="000000" w:themeColor="text1"/>
        </w:rPr>
        <w:t>Arthur James</w:t>
      </w:r>
      <w:r w:rsidRPr="0017357E">
        <w:rPr>
          <w:rFonts w:ascii="Calibri" w:eastAsia="Calibri" w:hAnsi="Calibri" w:cs="Calibri"/>
          <w:color w:val="000000" w:themeColor="text1"/>
          <w:kern w:val="0"/>
          <w:lang w:eastAsia="en-GB"/>
          <w14:ligatures w14:val="none"/>
        </w:rPr>
        <w:t xml:space="preserve"> </w:t>
      </w:r>
      <w:r w:rsidRPr="0017357E">
        <w:rPr>
          <w:rFonts w:ascii="Calibri" w:eastAsia="Calibri" w:hAnsi="Calibri" w:cs="Calibri"/>
          <w:color w:val="000000" w:themeColor="text1"/>
        </w:rPr>
        <w:t>Balfour</w:t>
      </w:r>
      <w:r w:rsidR="00264B4F">
        <w:rPr>
          <w:rFonts w:ascii="Calibri" w:eastAsia="Calibri" w:hAnsi="Calibri" w:cs="Calibri"/>
          <w:color w:val="000000" w:themeColor="text1"/>
        </w:rPr>
        <w:t>,</w:t>
      </w:r>
      <w:r w:rsidRPr="0017357E">
        <w:rPr>
          <w:rFonts w:ascii="Calibri" w:eastAsia="Calibri" w:hAnsi="Calibri" w:cs="Calibri"/>
          <w:color w:val="000000" w:themeColor="text1"/>
        </w:rPr>
        <w:t xml:space="preserve"> in instituting a new settler</w:t>
      </w:r>
      <w:r w:rsidR="00492A47">
        <w:rPr>
          <w:rFonts w:ascii="Calibri" w:eastAsia="Calibri" w:hAnsi="Calibri" w:cs="Calibri"/>
          <w:color w:val="000000" w:themeColor="text1"/>
        </w:rPr>
        <w:t>-</w:t>
      </w:r>
      <w:r w:rsidRPr="0017357E">
        <w:rPr>
          <w:rFonts w:ascii="Calibri" w:eastAsia="Calibri" w:hAnsi="Calibri" w:cs="Calibri"/>
          <w:color w:val="000000" w:themeColor="text1"/>
        </w:rPr>
        <w:t>colonial order in the Middle East through the promulgation of the 1917 Balfour Declaration.</w:t>
      </w:r>
      <w:r w:rsidR="008A075E">
        <w:rPr>
          <w:rStyle w:val="FootnoteReference"/>
          <w:rFonts w:ascii="Calibri" w:eastAsia="Calibri" w:hAnsi="Calibri" w:cs="Calibri"/>
          <w:color w:val="000000" w:themeColor="text1"/>
        </w:rPr>
        <w:footnoteReference w:id="35"/>
      </w:r>
      <w:r w:rsidRPr="0017357E">
        <w:rPr>
          <w:rFonts w:ascii="Calibri" w:eastAsia="Calibri" w:hAnsi="Calibri" w:cs="Calibri"/>
          <w:color w:val="000000" w:themeColor="text1"/>
        </w:rPr>
        <w:t xml:space="preserve"> </w:t>
      </w:r>
      <w:r w:rsidRPr="0017357E">
        <w:rPr>
          <w:rFonts w:ascii="Calibri" w:eastAsia="Calibri" w:hAnsi="Calibri" w:cs="Calibri"/>
          <w:color w:val="000000" w:themeColor="text1"/>
          <w:kern w:val="0"/>
          <w:lang w:eastAsia="en-GB"/>
          <w14:ligatures w14:val="none"/>
        </w:rPr>
        <w:t xml:space="preserve">While a substantial amount of history has been looked at during this two-year project, it has not been possible to uncover every possible link between the </w:t>
      </w:r>
      <w:r w:rsidR="00A27530" w:rsidRPr="7DC86C1C">
        <w:rPr>
          <w:rFonts w:ascii="Calibri" w:eastAsia="Calibri" w:hAnsi="Calibri" w:cs="Calibri"/>
          <w:color w:val="000000" w:themeColor="text1"/>
          <w:lang w:eastAsia="en-GB"/>
        </w:rPr>
        <w:t>University of Edinburgh</w:t>
      </w:r>
      <w:r w:rsidR="0083279B">
        <w:rPr>
          <w:rFonts w:ascii="Calibri" w:eastAsia="Calibri" w:hAnsi="Calibri" w:cs="Calibri"/>
          <w:color w:val="000000" w:themeColor="text1"/>
          <w:kern w:val="0"/>
          <w:lang w:eastAsia="en-GB"/>
          <w14:ligatures w14:val="none"/>
        </w:rPr>
        <w:t>,</w:t>
      </w:r>
      <w:r w:rsidRPr="0017357E">
        <w:rPr>
          <w:rFonts w:ascii="Calibri" w:eastAsia="Calibri" w:hAnsi="Calibri" w:cs="Calibri"/>
          <w:color w:val="000000" w:themeColor="text1"/>
          <w:kern w:val="0"/>
          <w:lang w:eastAsia="en-GB"/>
          <w14:ligatures w14:val="none"/>
        </w:rPr>
        <w:t xml:space="preserve"> enslavement and colonialism; a period that covers </w:t>
      </w:r>
      <w:r w:rsidR="006A4B07">
        <w:rPr>
          <w:rFonts w:ascii="Calibri" w:eastAsia="Calibri" w:hAnsi="Calibri" w:cs="Calibri"/>
          <w:color w:val="000000" w:themeColor="text1"/>
          <w:kern w:val="0"/>
          <w:lang w:eastAsia="en-GB"/>
          <w14:ligatures w14:val="none"/>
        </w:rPr>
        <w:t xml:space="preserve">more than </w:t>
      </w:r>
      <w:r w:rsidR="00E76759">
        <w:rPr>
          <w:rFonts w:ascii="Calibri" w:eastAsia="Calibri" w:hAnsi="Calibri" w:cs="Calibri"/>
          <w:color w:val="000000" w:themeColor="text1"/>
          <w:kern w:val="0"/>
          <w:lang w:eastAsia="en-GB"/>
          <w14:ligatures w14:val="none"/>
        </w:rPr>
        <w:t>400</w:t>
      </w:r>
      <w:r w:rsidRPr="0017357E">
        <w:rPr>
          <w:rFonts w:ascii="Calibri" w:eastAsia="Calibri" w:hAnsi="Calibri" w:cs="Calibri"/>
          <w:color w:val="000000" w:themeColor="text1"/>
          <w:kern w:val="0"/>
          <w:lang w:eastAsia="en-GB"/>
          <w14:ligatures w14:val="none"/>
        </w:rPr>
        <w:t xml:space="preserve"> years of history. What is clear is that the </w:t>
      </w:r>
      <w:r w:rsidR="00A27530" w:rsidRPr="7DC86C1C">
        <w:rPr>
          <w:rFonts w:ascii="Calibri" w:eastAsia="Calibri" w:hAnsi="Calibri" w:cs="Calibri"/>
          <w:color w:val="000000" w:themeColor="text1"/>
          <w:lang w:eastAsia="en-GB"/>
        </w:rPr>
        <w:t>University of Edinburgh</w:t>
      </w:r>
      <w:r w:rsidRPr="0017357E">
        <w:rPr>
          <w:rFonts w:ascii="Calibri" w:eastAsia="Calibri" w:hAnsi="Calibri" w:cs="Calibri"/>
          <w:color w:val="000000" w:themeColor="text1"/>
          <w:kern w:val="0"/>
          <w:lang w:eastAsia="en-GB"/>
          <w14:ligatures w14:val="none"/>
        </w:rPr>
        <w:t xml:space="preserve"> </w:t>
      </w:r>
      <w:r w:rsidR="0074302A">
        <w:rPr>
          <w:rFonts w:ascii="Calibri" w:eastAsia="Calibri" w:hAnsi="Calibri" w:cs="Calibri"/>
          <w:color w:val="000000" w:themeColor="text1"/>
          <w:kern w:val="0"/>
          <w:lang w:eastAsia="en-GB"/>
          <w14:ligatures w14:val="none"/>
        </w:rPr>
        <w:t>had extensive connections to</w:t>
      </w:r>
      <w:r w:rsidRPr="0017357E">
        <w:rPr>
          <w:rFonts w:ascii="Calibri" w:eastAsia="Calibri" w:hAnsi="Calibri" w:cs="Calibri"/>
          <w:color w:val="000000" w:themeColor="text1"/>
          <w:kern w:val="0"/>
          <w:lang w:eastAsia="en-GB"/>
          <w14:ligatures w14:val="none"/>
        </w:rPr>
        <w:t xml:space="preserve"> </w:t>
      </w:r>
      <w:r w:rsidR="006A4B07">
        <w:rPr>
          <w:rFonts w:ascii="Calibri" w:eastAsia="Calibri" w:hAnsi="Calibri" w:cs="Calibri"/>
          <w:color w:val="000000" w:themeColor="text1"/>
          <w:kern w:val="0"/>
          <w:lang w:eastAsia="en-GB"/>
          <w14:ligatures w14:val="none"/>
        </w:rPr>
        <w:t>colonial</w:t>
      </w:r>
      <w:r w:rsidR="006A4B07" w:rsidRPr="0017357E">
        <w:rPr>
          <w:rFonts w:ascii="Calibri" w:eastAsia="Calibri" w:hAnsi="Calibri" w:cs="Calibri"/>
          <w:color w:val="000000" w:themeColor="text1"/>
          <w:kern w:val="0"/>
          <w:lang w:eastAsia="en-GB"/>
          <w14:ligatures w14:val="none"/>
        </w:rPr>
        <w:t xml:space="preserve"> </w:t>
      </w:r>
      <w:r w:rsidRPr="0017357E">
        <w:rPr>
          <w:rFonts w:ascii="Calibri" w:eastAsia="Calibri" w:hAnsi="Calibri" w:cs="Calibri"/>
          <w:color w:val="000000" w:themeColor="text1"/>
          <w:kern w:val="0"/>
          <w:lang w:eastAsia="en-GB"/>
          <w14:ligatures w14:val="none"/>
        </w:rPr>
        <w:t xml:space="preserve">and </w:t>
      </w:r>
      <w:r w:rsidR="006A4B07">
        <w:rPr>
          <w:rFonts w:ascii="Calibri" w:eastAsia="Calibri" w:hAnsi="Calibri" w:cs="Calibri"/>
          <w:color w:val="000000" w:themeColor="text1"/>
          <w:kern w:val="0"/>
          <w:lang w:eastAsia="en-GB"/>
          <w14:ligatures w14:val="none"/>
        </w:rPr>
        <w:t>enslaving</w:t>
      </w:r>
      <w:r w:rsidR="006A4B07" w:rsidRPr="0017357E">
        <w:rPr>
          <w:rFonts w:ascii="Calibri" w:eastAsia="Calibri" w:hAnsi="Calibri" w:cs="Calibri"/>
          <w:color w:val="000000" w:themeColor="text1"/>
          <w:kern w:val="0"/>
          <w:lang w:eastAsia="en-GB"/>
          <w14:ligatures w14:val="none"/>
        </w:rPr>
        <w:t xml:space="preserve"> </w:t>
      </w:r>
      <w:r w:rsidRPr="0017357E">
        <w:rPr>
          <w:rFonts w:ascii="Calibri" w:eastAsia="Calibri" w:hAnsi="Calibri" w:cs="Calibri"/>
          <w:color w:val="000000" w:themeColor="text1"/>
          <w:kern w:val="0"/>
          <w:lang w:eastAsia="en-GB"/>
          <w14:ligatures w14:val="none"/>
        </w:rPr>
        <w:t xml:space="preserve">activities across all areas of the colonised world, including Africa, Asia, the Americas and Australasia. Not only did </w:t>
      </w:r>
      <w:r w:rsidR="0066376F">
        <w:rPr>
          <w:rFonts w:ascii="Calibri" w:eastAsia="Calibri" w:hAnsi="Calibri" w:cs="Calibri"/>
          <w:color w:val="000000" w:themeColor="text1"/>
          <w:kern w:val="0"/>
          <w:lang w:eastAsia="en-GB"/>
          <w14:ligatures w14:val="none"/>
        </w:rPr>
        <w:t>the</w:t>
      </w:r>
      <w:r w:rsidRPr="0017357E">
        <w:rPr>
          <w:rFonts w:ascii="Calibri" w:eastAsia="Calibri" w:hAnsi="Calibri" w:cs="Calibri"/>
          <w:color w:val="000000" w:themeColor="text1"/>
          <w:kern w:val="0"/>
          <w:lang w:eastAsia="en-GB"/>
          <w14:ligatures w14:val="none"/>
        </w:rPr>
        <w:t xml:space="preserve"> </w:t>
      </w:r>
      <w:r w:rsidR="00A27530" w:rsidRPr="7DC86C1C">
        <w:rPr>
          <w:rFonts w:ascii="Calibri" w:eastAsia="Calibri" w:hAnsi="Calibri" w:cs="Calibri"/>
          <w:color w:val="000000" w:themeColor="text1"/>
          <w:lang w:eastAsia="en-GB"/>
        </w:rPr>
        <w:t>University of Edinburgh</w:t>
      </w:r>
      <w:r w:rsidRPr="0017357E">
        <w:rPr>
          <w:rFonts w:ascii="Calibri" w:eastAsia="Calibri" w:hAnsi="Calibri" w:cs="Calibri"/>
          <w:color w:val="000000" w:themeColor="text1"/>
          <w:kern w:val="0"/>
          <w:lang w:eastAsia="en-GB"/>
          <w14:ligatures w14:val="none"/>
        </w:rPr>
        <w:t xml:space="preserve"> benefit materially from the profits derived from enslavement and colonialism, but it also came to play an outsized role in the production of racialised forms of knowledge that continue to adversely affect ethnically and</w:t>
      </w:r>
      <w:r w:rsidR="00803F53">
        <w:rPr>
          <w:rFonts w:ascii="Calibri" w:eastAsia="Calibri" w:hAnsi="Calibri" w:cs="Calibri"/>
          <w:color w:val="000000" w:themeColor="text1"/>
          <w:kern w:val="0"/>
          <w:lang w:eastAsia="en-GB"/>
          <w14:ligatures w14:val="none"/>
        </w:rPr>
        <w:t>/or</w:t>
      </w:r>
      <w:r w:rsidRPr="0017357E">
        <w:rPr>
          <w:rFonts w:ascii="Calibri" w:eastAsia="Calibri" w:hAnsi="Calibri" w:cs="Calibri"/>
          <w:color w:val="000000" w:themeColor="text1"/>
          <w:kern w:val="0"/>
          <w:lang w:eastAsia="en-GB"/>
          <w14:ligatures w14:val="none"/>
        </w:rPr>
        <w:t xml:space="preserve"> racially marginalised communities today. </w:t>
      </w:r>
    </w:p>
    <w:p w14:paraId="4C584E30" w14:textId="0F57D977" w:rsidR="00773F7C" w:rsidRPr="0017357E" w:rsidRDefault="00773F7C" w:rsidP="00057638">
      <w:pPr>
        <w:spacing w:line="259" w:lineRule="auto"/>
        <w:rPr>
          <w:rFonts w:ascii="Calibri" w:eastAsia="Calibri" w:hAnsi="Calibri" w:cs="Calibri"/>
          <w:color w:val="000000" w:themeColor="text1"/>
          <w:kern w:val="0"/>
          <w:lang w:eastAsia="en-GB"/>
          <w14:ligatures w14:val="none"/>
        </w:rPr>
      </w:pPr>
    </w:p>
    <w:p w14:paraId="4E46F972" w14:textId="33B7D6F2" w:rsidR="00AA6053" w:rsidRDefault="00773F7C" w:rsidP="002C5B24">
      <w:pPr>
        <w:pStyle w:val="Heading2"/>
      </w:pPr>
      <w:bookmarkStart w:id="23" w:name="_Toc157238070"/>
      <w:bookmarkStart w:id="24" w:name="_Toc190939404"/>
      <w:bookmarkStart w:id="25" w:name="_Toc202627087"/>
      <w:r w:rsidRPr="0017357E">
        <w:t xml:space="preserve">Research Strand 1: </w:t>
      </w:r>
      <w:r w:rsidR="006A4B07">
        <w:t xml:space="preserve">The </w:t>
      </w:r>
      <w:r w:rsidR="00A27530">
        <w:t>University of Edinburgh</w:t>
      </w:r>
      <w:r w:rsidRPr="0017357E">
        <w:t xml:space="preserve">’s Ties to </w:t>
      </w:r>
      <w:bookmarkEnd w:id="23"/>
      <w:r w:rsidRPr="0017357E">
        <w:t>Enslavement and Colonialism</w:t>
      </w:r>
      <w:bookmarkEnd w:id="24"/>
      <w:bookmarkEnd w:id="25"/>
    </w:p>
    <w:p w14:paraId="5E720CCA" w14:textId="0D4FED15" w:rsidR="00773F7C" w:rsidRPr="0017357E" w:rsidRDefault="00773F7C" w:rsidP="006A4B07">
      <w:pPr>
        <w:pStyle w:val="Heading3"/>
      </w:pPr>
      <w:bookmarkStart w:id="26" w:name="_Toc190939405"/>
      <w:bookmarkStart w:id="27" w:name="_Toc202627088"/>
      <w:r w:rsidRPr="0017357E">
        <w:t>Introduction</w:t>
      </w:r>
      <w:bookmarkEnd w:id="26"/>
      <w:bookmarkEnd w:id="27"/>
    </w:p>
    <w:p w14:paraId="196D3DB2" w14:textId="28F94643" w:rsidR="00064984" w:rsidRDefault="5AF4E28C" w:rsidP="00057638">
      <w:pPr>
        <w:spacing w:line="259" w:lineRule="auto"/>
        <w:rPr>
          <w:rFonts w:ascii="Calibri" w:hAnsi="Calibri" w:cs="Calibri"/>
        </w:rPr>
      </w:pPr>
      <w:r>
        <w:rPr>
          <w:rFonts w:ascii="Calibri" w:hAnsi="Calibri" w:cs="Calibri"/>
        </w:rPr>
        <w:t>Th</w:t>
      </w:r>
      <w:r w:rsidR="7F1531C8">
        <w:rPr>
          <w:rFonts w:ascii="Calibri" w:hAnsi="Calibri" w:cs="Calibri"/>
        </w:rPr>
        <w:t>e first</w:t>
      </w:r>
      <w:r>
        <w:rPr>
          <w:rFonts w:ascii="Calibri" w:hAnsi="Calibri" w:cs="Calibri"/>
        </w:rPr>
        <w:t xml:space="preserve"> research strand focused on </w:t>
      </w:r>
      <w:r w:rsidR="0A254237">
        <w:rPr>
          <w:rFonts w:ascii="Calibri" w:hAnsi="Calibri" w:cs="Calibri"/>
        </w:rPr>
        <w:t xml:space="preserve">the </w:t>
      </w:r>
      <w:r w:rsidR="00A27530">
        <w:rPr>
          <w:rFonts w:ascii="Calibri" w:hAnsi="Calibri" w:cs="Calibri"/>
        </w:rPr>
        <w:t>University of Edinburgh</w:t>
      </w:r>
      <w:r w:rsidR="0A254237">
        <w:rPr>
          <w:rFonts w:ascii="Calibri" w:hAnsi="Calibri" w:cs="Calibri"/>
        </w:rPr>
        <w:t>’s</w:t>
      </w:r>
      <w:r w:rsidR="0A254237" w:rsidRPr="0017357E">
        <w:rPr>
          <w:rFonts w:ascii="Calibri" w:hAnsi="Calibri" w:cs="Calibri"/>
        </w:rPr>
        <w:t xml:space="preserve"> financial links to </w:t>
      </w:r>
      <w:r w:rsidR="0A254237">
        <w:rPr>
          <w:rFonts w:ascii="Calibri" w:hAnsi="Calibri" w:cs="Calibri"/>
        </w:rPr>
        <w:t>enslavement</w:t>
      </w:r>
      <w:r w:rsidR="0A254237" w:rsidRPr="0017357E">
        <w:rPr>
          <w:rFonts w:ascii="Calibri" w:hAnsi="Calibri" w:cs="Calibri"/>
        </w:rPr>
        <w:t xml:space="preserve"> and colonialism</w:t>
      </w:r>
      <w:r w:rsidR="0A254237">
        <w:rPr>
          <w:rFonts w:ascii="Calibri" w:hAnsi="Calibri" w:cs="Calibri"/>
        </w:rPr>
        <w:t xml:space="preserve"> </w:t>
      </w:r>
      <w:r w:rsidR="0A254237" w:rsidRPr="0017357E">
        <w:rPr>
          <w:rFonts w:ascii="Calibri" w:hAnsi="Calibri" w:cs="Calibri"/>
        </w:rPr>
        <w:t>through endowments and capital campaigns</w:t>
      </w:r>
      <w:r w:rsidR="0A254237">
        <w:rPr>
          <w:rFonts w:ascii="Calibri" w:hAnsi="Calibri" w:cs="Calibri"/>
        </w:rPr>
        <w:t xml:space="preserve">, </w:t>
      </w:r>
      <w:r w:rsidR="4CF00B86">
        <w:rPr>
          <w:rFonts w:ascii="Calibri" w:hAnsi="Calibri" w:cs="Calibri"/>
        </w:rPr>
        <w:t xml:space="preserve">the full results of which can be read in </w:t>
      </w:r>
      <w:r w:rsidR="3962B682">
        <w:rPr>
          <w:rFonts w:ascii="Calibri" w:hAnsi="Calibri" w:cs="Calibri"/>
        </w:rPr>
        <w:t xml:space="preserve">a separate </w:t>
      </w:r>
      <w:r w:rsidR="23AC28C4" w:rsidRPr="0017357E">
        <w:rPr>
          <w:rFonts w:ascii="Calibri" w:hAnsi="Calibri" w:cs="Calibri"/>
        </w:rPr>
        <w:t>report</w:t>
      </w:r>
      <w:r w:rsidR="3962B682">
        <w:rPr>
          <w:rFonts w:ascii="Calibri" w:hAnsi="Calibri" w:cs="Calibri"/>
        </w:rPr>
        <w:t xml:space="preserve"> entitled</w:t>
      </w:r>
      <w:r w:rsidR="23AC28C4" w:rsidRPr="0017357E">
        <w:rPr>
          <w:rFonts w:ascii="Calibri" w:hAnsi="Calibri" w:cs="Calibri"/>
        </w:rPr>
        <w:t xml:space="preserve"> </w:t>
      </w:r>
      <w:r w:rsidR="23AC28C4" w:rsidRPr="7652D584">
        <w:rPr>
          <w:rFonts w:ascii="Calibri" w:hAnsi="Calibri" w:cs="Calibri"/>
          <w:i/>
          <w:iCs/>
        </w:rPr>
        <w:t xml:space="preserve">Slavery, Colonialism and Philanthropy at the University of Edinburgh </w:t>
      </w:r>
      <w:r w:rsidR="23AC28C4" w:rsidRPr="0017357E">
        <w:rPr>
          <w:rFonts w:ascii="Calibri" w:hAnsi="Calibri" w:cs="Calibri"/>
        </w:rPr>
        <w:t>(</w:t>
      </w:r>
      <w:r w:rsidR="23AC28C4" w:rsidRPr="00D72A0F">
        <w:rPr>
          <w:rFonts w:ascii="Calibri" w:hAnsi="Calibri" w:cs="Calibri"/>
        </w:rPr>
        <w:t>2024)</w:t>
      </w:r>
      <w:r w:rsidR="4CF00B86" w:rsidRPr="00D72A0F">
        <w:rPr>
          <w:rFonts w:ascii="Calibri" w:hAnsi="Calibri" w:cs="Calibri"/>
        </w:rPr>
        <w:t xml:space="preserve"> (</w:t>
      </w:r>
      <w:r w:rsidR="56AF01BC" w:rsidRPr="00D72A0F">
        <w:rPr>
          <w:rFonts w:ascii="Calibri" w:hAnsi="Calibri" w:cs="Calibri"/>
        </w:rPr>
        <w:t>A</w:t>
      </w:r>
      <w:r w:rsidR="4CF00B86" w:rsidRPr="00D72A0F">
        <w:rPr>
          <w:rFonts w:ascii="Calibri" w:hAnsi="Calibri" w:cs="Calibri"/>
        </w:rPr>
        <w:t xml:space="preserve">ppendix </w:t>
      </w:r>
      <w:r w:rsidR="002B21CF" w:rsidRPr="00D72A0F">
        <w:rPr>
          <w:rFonts w:ascii="Calibri" w:hAnsi="Calibri" w:cs="Calibri"/>
        </w:rPr>
        <w:t>1</w:t>
      </w:r>
      <w:r w:rsidR="56AF01BC" w:rsidRPr="00D72A0F">
        <w:rPr>
          <w:rFonts w:ascii="Calibri" w:hAnsi="Calibri" w:cs="Calibri"/>
        </w:rPr>
        <w:t>)</w:t>
      </w:r>
      <w:r w:rsidR="23AC28C4" w:rsidRPr="00D72A0F">
        <w:rPr>
          <w:rFonts w:ascii="Calibri" w:hAnsi="Calibri" w:cs="Calibri"/>
        </w:rPr>
        <w:t xml:space="preserve">. </w:t>
      </w:r>
      <w:r w:rsidR="4CF00B86" w:rsidRPr="00D72A0F">
        <w:rPr>
          <w:rFonts w:ascii="Calibri" w:hAnsi="Calibri" w:cs="Calibri"/>
        </w:rPr>
        <w:t>Additional</w:t>
      </w:r>
      <w:r w:rsidR="4CF00B86">
        <w:rPr>
          <w:rFonts w:ascii="Calibri" w:hAnsi="Calibri" w:cs="Calibri"/>
        </w:rPr>
        <w:t xml:space="preserve"> </w:t>
      </w:r>
      <w:r w:rsidR="23AC28C4" w:rsidRPr="0017357E">
        <w:rPr>
          <w:rFonts w:ascii="Calibri" w:hAnsi="Calibri" w:cs="Calibri"/>
        </w:rPr>
        <w:t xml:space="preserve">research </w:t>
      </w:r>
      <w:r w:rsidR="56AF01BC">
        <w:rPr>
          <w:rFonts w:ascii="Calibri" w:hAnsi="Calibri" w:cs="Calibri"/>
        </w:rPr>
        <w:t>was</w:t>
      </w:r>
      <w:r w:rsidR="23AC28C4" w:rsidRPr="0017357E">
        <w:rPr>
          <w:rFonts w:ascii="Calibri" w:hAnsi="Calibri" w:cs="Calibri"/>
        </w:rPr>
        <w:t xml:space="preserve"> conducted on other topics relating to the </w:t>
      </w:r>
      <w:r w:rsidR="00A27530">
        <w:rPr>
          <w:rFonts w:ascii="Calibri" w:hAnsi="Calibri" w:cs="Calibri"/>
        </w:rPr>
        <w:t>University of Edinburgh</w:t>
      </w:r>
      <w:r w:rsidR="23AC28C4" w:rsidRPr="0017357E">
        <w:rPr>
          <w:rFonts w:ascii="Calibri" w:hAnsi="Calibri" w:cs="Calibri"/>
        </w:rPr>
        <w:t>’s connections to enslavement and empire</w:t>
      </w:r>
      <w:r w:rsidR="1FC0A890">
        <w:rPr>
          <w:rFonts w:ascii="Calibri" w:hAnsi="Calibri" w:cs="Calibri"/>
        </w:rPr>
        <w:t>,</w:t>
      </w:r>
      <w:r w:rsidR="0EDEEE03">
        <w:rPr>
          <w:rFonts w:ascii="Calibri" w:hAnsi="Calibri" w:cs="Calibri"/>
        </w:rPr>
        <w:t xml:space="preserve"> includ</w:t>
      </w:r>
      <w:r w:rsidR="57DCA494">
        <w:rPr>
          <w:rFonts w:ascii="Calibri" w:hAnsi="Calibri" w:cs="Calibri"/>
        </w:rPr>
        <w:t>ing</w:t>
      </w:r>
      <w:r w:rsidR="0EDEEE03">
        <w:rPr>
          <w:rFonts w:ascii="Calibri" w:hAnsi="Calibri" w:cs="Calibri"/>
        </w:rPr>
        <w:t xml:space="preserve"> </w:t>
      </w:r>
      <w:r w:rsidR="6A984118">
        <w:rPr>
          <w:rFonts w:ascii="Calibri" w:hAnsi="Calibri" w:cs="Calibri"/>
        </w:rPr>
        <w:t>student debates on slavery and abolition</w:t>
      </w:r>
      <w:r w:rsidR="463DD794">
        <w:rPr>
          <w:rFonts w:ascii="Calibri" w:hAnsi="Calibri" w:cs="Calibri"/>
        </w:rPr>
        <w:t xml:space="preserve">, Edinburgh’s links to the Darien </w:t>
      </w:r>
      <w:r w:rsidR="3C474B98">
        <w:rPr>
          <w:rFonts w:ascii="Calibri" w:hAnsi="Calibri" w:cs="Calibri"/>
        </w:rPr>
        <w:t>s</w:t>
      </w:r>
      <w:r w:rsidR="463DD794">
        <w:rPr>
          <w:rFonts w:ascii="Calibri" w:hAnsi="Calibri" w:cs="Calibri"/>
        </w:rPr>
        <w:t xml:space="preserve">cheme and </w:t>
      </w:r>
      <w:r w:rsidR="772A3608">
        <w:rPr>
          <w:rFonts w:ascii="Calibri" w:hAnsi="Calibri" w:cs="Calibri"/>
        </w:rPr>
        <w:t xml:space="preserve">a closer look at </w:t>
      </w:r>
      <w:r w:rsidR="57DCA494">
        <w:rPr>
          <w:rFonts w:ascii="Calibri" w:hAnsi="Calibri" w:cs="Calibri"/>
        </w:rPr>
        <w:t>the links between</w:t>
      </w:r>
      <w:r w:rsidR="1FC0A890">
        <w:rPr>
          <w:rFonts w:ascii="Calibri" w:hAnsi="Calibri" w:cs="Calibri"/>
        </w:rPr>
        <w:t xml:space="preserve"> </w:t>
      </w:r>
      <w:r w:rsidR="4B4E68AB">
        <w:rPr>
          <w:rFonts w:ascii="Calibri" w:hAnsi="Calibri" w:cs="Calibri"/>
        </w:rPr>
        <w:t>some of</w:t>
      </w:r>
      <w:r w:rsidR="57DCA494">
        <w:rPr>
          <w:rFonts w:ascii="Calibri" w:hAnsi="Calibri" w:cs="Calibri"/>
        </w:rPr>
        <w:t xml:space="preserve"> </w:t>
      </w:r>
      <w:r w:rsidR="00CD781E">
        <w:rPr>
          <w:rFonts w:ascii="Calibri" w:hAnsi="Calibri" w:cs="Calibri"/>
        </w:rPr>
        <w:t xml:space="preserve">the </w:t>
      </w:r>
      <w:r w:rsidR="00A27530">
        <w:rPr>
          <w:rFonts w:ascii="Calibri" w:hAnsi="Calibri" w:cs="Calibri"/>
        </w:rPr>
        <w:t>University</w:t>
      </w:r>
      <w:r w:rsidR="4B4E68AB">
        <w:rPr>
          <w:rFonts w:ascii="Calibri" w:hAnsi="Calibri" w:cs="Calibri"/>
        </w:rPr>
        <w:t>’s</w:t>
      </w:r>
      <w:r w:rsidR="463DD794">
        <w:rPr>
          <w:rFonts w:ascii="Calibri" w:hAnsi="Calibri" w:cs="Calibri"/>
        </w:rPr>
        <w:t xml:space="preserve"> professors </w:t>
      </w:r>
      <w:r w:rsidR="57DCA494">
        <w:rPr>
          <w:rFonts w:ascii="Calibri" w:hAnsi="Calibri" w:cs="Calibri"/>
        </w:rPr>
        <w:t>and colonial medical networks</w:t>
      </w:r>
      <w:r w:rsidR="23646E0D">
        <w:rPr>
          <w:rFonts w:ascii="Calibri" w:hAnsi="Calibri" w:cs="Calibri"/>
        </w:rPr>
        <w:t>. These smaller project</w:t>
      </w:r>
      <w:r w:rsidR="1A462F6A">
        <w:rPr>
          <w:rFonts w:ascii="Calibri" w:hAnsi="Calibri" w:cs="Calibri"/>
        </w:rPr>
        <w:t>s</w:t>
      </w:r>
      <w:r w:rsidR="23646E0D">
        <w:rPr>
          <w:rFonts w:ascii="Calibri" w:hAnsi="Calibri" w:cs="Calibri"/>
        </w:rPr>
        <w:t xml:space="preserve"> are in the process of</w:t>
      </w:r>
      <w:r w:rsidR="14503BEE">
        <w:rPr>
          <w:rFonts w:ascii="Calibri" w:hAnsi="Calibri" w:cs="Calibri"/>
        </w:rPr>
        <w:t xml:space="preserve"> being transformed in</w:t>
      </w:r>
      <w:r w:rsidR="337F2492">
        <w:rPr>
          <w:rFonts w:ascii="Calibri" w:hAnsi="Calibri" w:cs="Calibri"/>
        </w:rPr>
        <w:t xml:space="preserve">to </w:t>
      </w:r>
      <w:r w:rsidR="337F2492">
        <w:rPr>
          <w:rFonts w:ascii="Calibri" w:hAnsi="Calibri" w:cs="Calibri"/>
        </w:rPr>
        <w:lastRenderedPageBreak/>
        <w:t>academic</w:t>
      </w:r>
      <w:r w:rsidR="14503BEE">
        <w:rPr>
          <w:rFonts w:ascii="Calibri" w:hAnsi="Calibri" w:cs="Calibri"/>
        </w:rPr>
        <w:t xml:space="preserve"> publications</w:t>
      </w:r>
      <w:r w:rsidR="1A462F6A">
        <w:rPr>
          <w:rFonts w:ascii="Calibri" w:hAnsi="Calibri" w:cs="Calibri"/>
        </w:rPr>
        <w:t>.</w:t>
      </w:r>
      <w:r w:rsidR="00387DED">
        <w:rPr>
          <w:rStyle w:val="FootnoteReference"/>
          <w:rFonts w:ascii="Calibri" w:hAnsi="Calibri" w:cs="Calibri"/>
        </w:rPr>
        <w:footnoteReference w:id="36"/>
      </w:r>
      <w:r w:rsidR="1A462F6A">
        <w:rPr>
          <w:rFonts w:ascii="Calibri" w:hAnsi="Calibri" w:cs="Calibri"/>
        </w:rPr>
        <w:t xml:space="preserve"> The research into the Darien Scheme has been used to support an online exhibition</w:t>
      </w:r>
      <w:r w:rsidR="4B4E68AB">
        <w:rPr>
          <w:rFonts w:ascii="Calibri" w:hAnsi="Calibri" w:cs="Calibri"/>
        </w:rPr>
        <w:t xml:space="preserve"> called ‘</w:t>
      </w:r>
      <w:hyperlink r:id="rId64" w:history="1">
        <w:r w:rsidR="4B4E68AB" w:rsidRPr="006E14B1">
          <w:rPr>
            <w:rStyle w:val="Hyperlink"/>
            <w:rFonts w:ascii="Calibri" w:hAnsi="Calibri" w:cs="Calibri"/>
          </w:rPr>
          <w:t>Dreams of Darien</w:t>
        </w:r>
      </w:hyperlink>
      <w:r w:rsidR="4B4E68AB">
        <w:rPr>
          <w:rFonts w:ascii="Calibri" w:hAnsi="Calibri" w:cs="Calibri"/>
        </w:rPr>
        <w:t>’</w:t>
      </w:r>
      <w:r w:rsidR="197A2A8A">
        <w:rPr>
          <w:rFonts w:ascii="Calibri" w:hAnsi="Calibri" w:cs="Calibri"/>
        </w:rPr>
        <w:t>.</w:t>
      </w:r>
      <w:r w:rsidR="601B663F">
        <w:rPr>
          <w:rFonts w:ascii="Calibri" w:hAnsi="Calibri" w:cs="Calibri"/>
        </w:rPr>
        <w:t xml:space="preserve"> </w:t>
      </w:r>
      <w:r w:rsidR="4B4E68AB">
        <w:rPr>
          <w:rFonts w:ascii="Calibri" w:hAnsi="Calibri" w:cs="Calibri"/>
        </w:rPr>
        <w:t>The intention is that the</w:t>
      </w:r>
      <w:r w:rsidR="601B663F">
        <w:rPr>
          <w:rFonts w:ascii="Calibri" w:hAnsi="Calibri" w:cs="Calibri"/>
        </w:rPr>
        <w:t xml:space="preserve"> findings will be used to support other publicly accessible exhibitions and educational materials</w:t>
      </w:r>
      <w:r w:rsidR="4B60C871">
        <w:rPr>
          <w:rFonts w:ascii="Calibri" w:hAnsi="Calibri" w:cs="Calibri"/>
        </w:rPr>
        <w:t xml:space="preserve"> </w:t>
      </w:r>
      <w:r w:rsidR="4B4E68AB">
        <w:rPr>
          <w:rFonts w:ascii="Calibri" w:hAnsi="Calibri" w:cs="Calibri"/>
        </w:rPr>
        <w:t xml:space="preserve">that will not only </w:t>
      </w:r>
      <w:r w:rsidR="4B60C871">
        <w:rPr>
          <w:rFonts w:ascii="Calibri" w:hAnsi="Calibri" w:cs="Calibri"/>
        </w:rPr>
        <w:t xml:space="preserve">inform students, staff and the </w:t>
      </w:r>
      <w:r w:rsidR="79488C88">
        <w:rPr>
          <w:rFonts w:ascii="Calibri" w:hAnsi="Calibri" w:cs="Calibri"/>
        </w:rPr>
        <w:t>public</w:t>
      </w:r>
      <w:r w:rsidR="4B60C871">
        <w:rPr>
          <w:rFonts w:ascii="Calibri" w:hAnsi="Calibri" w:cs="Calibri"/>
        </w:rPr>
        <w:t xml:space="preserve"> about </w:t>
      </w:r>
      <w:r w:rsidR="0060055A">
        <w:rPr>
          <w:rFonts w:ascii="Calibri" w:hAnsi="Calibri" w:cs="Calibri"/>
        </w:rPr>
        <w:t xml:space="preserve">the </w:t>
      </w:r>
      <w:r w:rsidR="00A27530">
        <w:rPr>
          <w:rFonts w:ascii="Calibri" w:hAnsi="Calibri" w:cs="Calibri"/>
        </w:rPr>
        <w:t>University of Edinburgh</w:t>
      </w:r>
      <w:r w:rsidR="4B60C871">
        <w:rPr>
          <w:rFonts w:ascii="Calibri" w:hAnsi="Calibri" w:cs="Calibri"/>
        </w:rPr>
        <w:t>’s historical links</w:t>
      </w:r>
      <w:r w:rsidR="4B4E68AB">
        <w:rPr>
          <w:rFonts w:ascii="Calibri" w:hAnsi="Calibri" w:cs="Calibri"/>
        </w:rPr>
        <w:t>, but will also</w:t>
      </w:r>
      <w:r w:rsidR="197A2A8A">
        <w:rPr>
          <w:rFonts w:ascii="Calibri" w:hAnsi="Calibri" w:cs="Calibri"/>
        </w:rPr>
        <w:t xml:space="preserve"> encourage further </w:t>
      </w:r>
      <w:r w:rsidR="4B4E68AB">
        <w:rPr>
          <w:rFonts w:ascii="Calibri" w:hAnsi="Calibri" w:cs="Calibri"/>
        </w:rPr>
        <w:t xml:space="preserve">academic and community </w:t>
      </w:r>
      <w:r w:rsidR="197A2A8A">
        <w:rPr>
          <w:rFonts w:ascii="Calibri" w:hAnsi="Calibri" w:cs="Calibri"/>
        </w:rPr>
        <w:t xml:space="preserve">research into this </w:t>
      </w:r>
      <w:r w:rsidR="42CCD43B">
        <w:rPr>
          <w:rFonts w:ascii="Calibri" w:hAnsi="Calibri" w:cs="Calibri"/>
        </w:rPr>
        <w:t xml:space="preserve">long and complex history. </w:t>
      </w:r>
    </w:p>
    <w:p w14:paraId="24576953" w14:textId="5918F755" w:rsidR="00773F7C" w:rsidRPr="00064984" w:rsidRDefault="00307969" w:rsidP="00057638">
      <w:pPr>
        <w:spacing w:line="259" w:lineRule="auto"/>
        <w:ind w:firstLine="720"/>
        <w:rPr>
          <w:rFonts w:ascii="Calibri" w:hAnsi="Calibri" w:cs="Calibri"/>
        </w:rPr>
      </w:pPr>
      <w:r>
        <w:rPr>
          <w:rFonts w:ascii="Calibri" w:hAnsi="Calibri" w:cs="Calibri"/>
        </w:rPr>
        <w:t>All</w:t>
      </w:r>
      <w:r w:rsidR="00773F7C" w:rsidRPr="0017357E">
        <w:rPr>
          <w:rFonts w:ascii="Calibri" w:hAnsi="Calibri" w:cs="Calibri"/>
        </w:rPr>
        <w:t xml:space="preserve"> outputs are based on archival and desk-based research using a variety of literatures and primary sources, including, but not limited to, </w:t>
      </w:r>
      <w:r w:rsidR="0060055A">
        <w:rPr>
          <w:rFonts w:ascii="Calibri" w:hAnsi="Calibri" w:cs="Calibri"/>
        </w:rPr>
        <w:t xml:space="preserve">the </w:t>
      </w:r>
      <w:r w:rsidR="00A27530">
        <w:rPr>
          <w:rFonts w:ascii="Calibri" w:hAnsi="Calibri" w:cs="Calibri"/>
        </w:rPr>
        <w:t>University of Edinburgh</w:t>
      </w:r>
      <w:r w:rsidR="00773F7C" w:rsidRPr="0017357E">
        <w:rPr>
          <w:rFonts w:ascii="Calibri" w:hAnsi="Calibri" w:cs="Calibri"/>
        </w:rPr>
        <w:t>’s own institutional records, professors’ correspondence, student society records and medical publications. Beyond an extensive use of</w:t>
      </w:r>
      <w:r w:rsidR="0060055A">
        <w:rPr>
          <w:rFonts w:ascii="Calibri" w:hAnsi="Calibri" w:cs="Calibri"/>
        </w:rPr>
        <w:t xml:space="preserve"> the</w:t>
      </w:r>
      <w:r w:rsidR="00773F7C" w:rsidRPr="0017357E">
        <w:rPr>
          <w:rFonts w:ascii="Calibri" w:hAnsi="Calibri" w:cs="Calibri"/>
        </w:rPr>
        <w:t xml:space="preserve"> </w:t>
      </w:r>
      <w:r w:rsidR="00A27530">
        <w:rPr>
          <w:rFonts w:ascii="Calibri" w:hAnsi="Calibri" w:cs="Calibri"/>
        </w:rPr>
        <w:t>University</w:t>
      </w:r>
      <w:r w:rsidR="00773F7C" w:rsidRPr="0017357E">
        <w:rPr>
          <w:rFonts w:ascii="Calibri" w:hAnsi="Calibri" w:cs="Calibri"/>
        </w:rPr>
        <w:t>’s own archival collections, in-person research has been conducted at National Records of Scotland, National Library of Scotland, Edinburgh City Archives, Royal Botanic Gardens Edinburgh Archives, Royal College of Physicians of Edinburgh Archives, University of Glasgow Special Collections, National Archives (Kew), the British Library and University of Bristol Archives and Special Collections.</w:t>
      </w:r>
    </w:p>
    <w:p w14:paraId="3C65F220" w14:textId="77777777" w:rsidR="00773F7C" w:rsidRPr="0017357E" w:rsidRDefault="00773F7C" w:rsidP="006A4B07">
      <w:pPr>
        <w:pStyle w:val="Heading2"/>
        <w:spacing w:before="0" w:after="0" w:line="259" w:lineRule="auto"/>
        <w:rPr>
          <w:rFonts w:ascii="Calibri" w:hAnsi="Calibri" w:cs="Calibri"/>
          <w:szCs w:val="24"/>
        </w:rPr>
      </w:pPr>
    </w:p>
    <w:p w14:paraId="437F5EFC" w14:textId="49E7CCD9" w:rsidR="00027876" w:rsidRDefault="00773F7C">
      <w:pPr>
        <w:pStyle w:val="Heading3"/>
      </w:pPr>
      <w:bookmarkStart w:id="28" w:name="_Toc190939406"/>
      <w:bookmarkStart w:id="29" w:name="_Toc202627089"/>
      <w:r w:rsidRPr="00027876">
        <w:t>Key Research Findings</w:t>
      </w:r>
      <w:bookmarkEnd w:id="28"/>
      <w:bookmarkEnd w:id="29"/>
    </w:p>
    <w:p w14:paraId="1C001338" w14:textId="07F29A20" w:rsidR="00773F7C" w:rsidRPr="0017357E" w:rsidRDefault="00773F7C" w:rsidP="00057638">
      <w:pPr>
        <w:pStyle w:val="Heading4"/>
        <w:jc w:val="left"/>
      </w:pPr>
      <w:r>
        <w:t xml:space="preserve">Research Finding 1: Slavery, Colonialism and Philanthropy at </w:t>
      </w:r>
      <w:r w:rsidR="3D79FB97">
        <w:t xml:space="preserve">the </w:t>
      </w:r>
      <w:r w:rsidR="00A27530">
        <w:t>University of Edinburgh</w:t>
      </w:r>
    </w:p>
    <w:p w14:paraId="487BD168" w14:textId="4F065408" w:rsidR="000D71CF" w:rsidRDefault="000B624B" w:rsidP="00057638">
      <w:pPr>
        <w:spacing w:line="259" w:lineRule="auto"/>
        <w:rPr>
          <w:rFonts w:ascii="Calibri" w:hAnsi="Calibri" w:cs="Calibri"/>
        </w:rPr>
      </w:pPr>
      <w:r>
        <w:rPr>
          <w:rFonts w:ascii="Calibri" w:hAnsi="Calibri" w:cs="Calibri"/>
        </w:rPr>
        <w:t>The research findings are divided</w:t>
      </w:r>
      <w:r w:rsidR="00093849">
        <w:rPr>
          <w:rFonts w:ascii="Calibri" w:hAnsi="Calibri" w:cs="Calibri"/>
        </w:rPr>
        <w:t xml:space="preserve"> into two areas</w:t>
      </w:r>
      <w:r w:rsidR="00CF5C4D">
        <w:rPr>
          <w:rFonts w:ascii="Calibri" w:hAnsi="Calibri" w:cs="Calibri"/>
        </w:rPr>
        <w:t>:</w:t>
      </w:r>
      <w:r w:rsidR="00093849">
        <w:rPr>
          <w:rFonts w:ascii="Calibri" w:hAnsi="Calibri" w:cs="Calibri"/>
        </w:rPr>
        <w:t xml:space="preserve"> ‘</w:t>
      </w:r>
      <w:r w:rsidR="00093849" w:rsidRPr="00093849">
        <w:rPr>
          <w:rFonts w:ascii="Calibri" w:hAnsi="Calibri" w:cs="Calibri"/>
        </w:rPr>
        <w:t>Endowments: Bursaries, Scholarship, Chairs and Fellowships</w:t>
      </w:r>
      <w:r w:rsidR="00093849">
        <w:rPr>
          <w:rFonts w:ascii="Calibri" w:hAnsi="Calibri" w:cs="Calibri"/>
        </w:rPr>
        <w:t>’</w:t>
      </w:r>
      <w:r w:rsidR="00CF5C4D">
        <w:rPr>
          <w:rFonts w:ascii="Calibri" w:hAnsi="Calibri" w:cs="Calibri"/>
        </w:rPr>
        <w:t>;</w:t>
      </w:r>
      <w:r w:rsidR="00093849">
        <w:rPr>
          <w:rFonts w:ascii="Calibri" w:hAnsi="Calibri" w:cs="Calibri"/>
        </w:rPr>
        <w:t xml:space="preserve"> and ‘</w:t>
      </w:r>
      <w:r w:rsidR="00093849" w:rsidRPr="00093849">
        <w:rPr>
          <w:rFonts w:ascii="Calibri" w:hAnsi="Calibri" w:cs="Calibri"/>
        </w:rPr>
        <w:t>Capital Campaigns: Old College (1789–94) and the Old Medical School (1873–83)</w:t>
      </w:r>
      <w:r w:rsidR="00093849">
        <w:rPr>
          <w:rFonts w:ascii="Calibri" w:hAnsi="Calibri" w:cs="Calibri"/>
        </w:rPr>
        <w:t xml:space="preserve">’. </w:t>
      </w:r>
      <w:r w:rsidR="00CF5C4D">
        <w:rPr>
          <w:rFonts w:ascii="Calibri" w:hAnsi="Calibri" w:cs="Calibri"/>
        </w:rPr>
        <w:t xml:space="preserve">For the first area, </w:t>
      </w:r>
      <w:r w:rsidR="00CF5C4D">
        <w:rPr>
          <w:rStyle w:val="normaltextrun"/>
          <w:rFonts w:ascii="Calibri" w:hAnsi="Calibri" w:cs="Calibri"/>
          <w:color w:val="000000"/>
          <w:shd w:val="clear" w:color="auto" w:fill="FFFFFF"/>
        </w:rPr>
        <w:t>a</w:t>
      </w:r>
      <w:r w:rsidR="00D30DFB">
        <w:rPr>
          <w:rStyle w:val="normaltextrun"/>
          <w:rFonts w:ascii="Calibri" w:hAnsi="Calibri" w:cs="Calibri"/>
          <w:color w:val="000000"/>
          <w:shd w:val="clear" w:color="auto" w:fill="FFFFFF"/>
        </w:rPr>
        <w:t>n investigation was conducted into benefactors</w:t>
      </w:r>
      <w:r w:rsidR="00193715">
        <w:rPr>
          <w:rStyle w:val="normaltextrun"/>
          <w:rFonts w:ascii="Calibri" w:hAnsi="Calibri" w:cs="Calibri"/>
          <w:color w:val="000000"/>
          <w:shd w:val="clear" w:color="auto" w:fill="FFFFFF"/>
        </w:rPr>
        <w:t xml:space="preserve"> </w:t>
      </w:r>
      <w:r w:rsidR="00193715" w:rsidRPr="0017357E">
        <w:rPr>
          <w:rFonts w:ascii="Calibri" w:hAnsi="Calibri" w:cs="Calibri"/>
        </w:rPr>
        <w:t>to identify whether they held links to slavery, or whether their wealth can be said to have derived in some direct or meaningful way from British colonial rule or imperialism.</w:t>
      </w:r>
      <w:r w:rsidR="00193715">
        <w:rPr>
          <w:rFonts w:ascii="Calibri" w:hAnsi="Calibri" w:cs="Calibri"/>
        </w:rPr>
        <w:t xml:space="preserve"> </w:t>
      </w:r>
      <w:r w:rsidR="00CF5C4D">
        <w:rPr>
          <w:rFonts w:ascii="Calibri" w:hAnsi="Calibri" w:cs="Calibri"/>
        </w:rPr>
        <w:t xml:space="preserve">For the second area, </w:t>
      </w:r>
      <w:r w:rsidR="00591C1D" w:rsidRPr="0017357E">
        <w:rPr>
          <w:rFonts w:ascii="Calibri" w:hAnsi="Calibri" w:cs="Calibri"/>
        </w:rPr>
        <w:t>published and private papers</w:t>
      </w:r>
      <w:r w:rsidR="00CF5C4D">
        <w:rPr>
          <w:rFonts w:ascii="Calibri" w:hAnsi="Calibri" w:cs="Calibri"/>
        </w:rPr>
        <w:t xml:space="preserve"> were used to compile</w:t>
      </w:r>
      <w:r w:rsidR="00591C1D" w:rsidRPr="0017357E">
        <w:rPr>
          <w:rFonts w:ascii="Calibri" w:hAnsi="Calibri" w:cs="Calibri"/>
        </w:rPr>
        <w:t xml:space="preserve"> lists of endowers and ‘subscribers’ (donors) to two capital campaigns</w:t>
      </w:r>
      <w:r w:rsidR="00C80276">
        <w:rPr>
          <w:rFonts w:ascii="Calibri" w:hAnsi="Calibri" w:cs="Calibri"/>
        </w:rPr>
        <w:t xml:space="preserve">, one to </w:t>
      </w:r>
      <w:r w:rsidR="001F4A85">
        <w:rPr>
          <w:rFonts w:ascii="Calibri" w:hAnsi="Calibri" w:cs="Calibri"/>
        </w:rPr>
        <w:t>finance the building of what is now called Old College and another to finance the construction of the</w:t>
      </w:r>
      <w:r w:rsidR="006A4B07">
        <w:rPr>
          <w:rFonts w:ascii="Calibri" w:hAnsi="Calibri" w:cs="Calibri"/>
        </w:rPr>
        <w:t xml:space="preserve"> Old</w:t>
      </w:r>
      <w:r w:rsidR="001F4A85">
        <w:rPr>
          <w:rFonts w:ascii="Calibri" w:hAnsi="Calibri" w:cs="Calibri"/>
        </w:rPr>
        <w:t xml:space="preserve"> Medical School</w:t>
      </w:r>
      <w:r w:rsidR="00591C1D" w:rsidRPr="0017357E">
        <w:rPr>
          <w:rFonts w:ascii="Calibri" w:hAnsi="Calibri" w:cs="Calibri"/>
        </w:rPr>
        <w:t>.</w:t>
      </w:r>
      <w:r w:rsidR="00591C1D" w:rsidRPr="0017357E">
        <w:rPr>
          <w:rStyle w:val="FootnoteReference"/>
          <w:rFonts w:ascii="Calibri" w:hAnsi="Calibri" w:cs="Calibri"/>
        </w:rPr>
        <w:footnoteReference w:id="37"/>
      </w:r>
      <w:r w:rsidR="00591C1D" w:rsidRPr="0017357E">
        <w:rPr>
          <w:rFonts w:ascii="Calibri" w:hAnsi="Calibri" w:cs="Calibri"/>
        </w:rPr>
        <w:t xml:space="preserve"> </w:t>
      </w:r>
    </w:p>
    <w:p w14:paraId="3F5D3983" w14:textId="4977655C" w:rsidR="00B34C66" w:rsidRPr="00D72A0F" w:rsidRDefault="00E40638" w:rsidP="00057638">
      <w:pPr>
        <w:spacing w:line="259" w:lineRule="auto"/>
        <w:ind w:firstLine="720"/>
        <w:rPr>
          <w:rFonts w:ascii="Calibri" w:hAnsi="Calibri" w:cs="Calibri"/>
        </w:rPr>
      </w:pPr>
      <w:r>
        <w:rPr>
          <w:rFonts w:ascii="Calibri" w:hAnsi="Calibri" w:cs="Calibri"/>
        </w:rPr>
        <w:t>In presenting these findings, it is important to note</w:t>
      </w:r>
      <w:r w:rsidR="00B34C66">
        <w:rPr>
          <w:rFonts w:ascii="Calibri" w:hAnsi="Calibri" w:cs="Calibri"/>
        </w:rPr>
        <w:t xml:space="preserve"> some of</w:t>
      </w:r>
      <w:r w:rsidR="00304135" w:rsidRPr="0017357E">
        <w:rPr>
          <w:rFonts w:ascii="Calibri" w:hAnsi="Calibri" w:cs="Calibri"/>
        </w:rPr>
        <w:t xml:space="preserve"> the methodological issues involved in identifying benefactors with links to slavery and colonialism, and in estimating the present-day values of historical sums of </w:t>
      </w:r>
      <w:r w:rsidR="00304135" w:rsidRPr="003354D8">
        <w:rPr>
          <w:rFonts w:ascii="Calibri" w:hAnsi="Calibri" w:cs="Calibri"/>
        </w:rPr>
        <w:t>money.</w:t>
      </w:r>
      <w:r w:rsidR="00B34C66" w:rsidRPr="003354D8">
        <w:rPr>
          <w:rFonts w:ascii="Calibri" w:hAnsi="Calibri" w:cs="Calibri"/>
        </w:rPr>
        <w:t xml:space="preserve"> </w:t>
      </w:r>
      <w:r w:rsidR="003354D8" w:rsidRPr="003354D8">
        <w:rPr>
          <w:rStyle w:val="normaltextrun"/>
          <w:color w:val="000000"/>
          <w:shd w:val="clear" w:color="auto" w:fill="FFFFFF"/>
        </w:rPr>
        <w:t xml:space="preserve">The results of this research are intended to be indicative rather than conclusive. As other projects have shown, identifying funds which a university or college received from individuals whose wealth was entangled to some degree from the enslavement of African-descended people </w:t>
      </w:r>
      <w:r w:rsidR="006F5823">
        <w:rPr>
          <w:rStyle w:val="normaltextrun"/>
          <w:rFonts w:ascii="Calibri" w:hAnsi="Calibri" w:cs="Calibri"/>
          <w:color w:val="000000"/>
          <w:shd w:val="clear" w:color="auto" w:fill="FFFFFF"/>
        </w:rPr>
        <w:t>—</w:t>
      </w:r>
      <w:r w:rsidR="003354D8" w:rsidRPr="003354D8">
        <w:rPr>
          <w:rStyle w:val="normaltextrun"/>
          <w:color w:val="000000"/>
          <w:shd w:val="clear" w:color="auto" w:fill="FFFFFF"/>
        </w:rPr>
        <w:t xml:space="preserve"> let alone to British or European colonialism more generally </w:t>
      </w:r>
      <w:r w:rsidR="006F5823">
        <w:rPr>
          <w:rStyle w:val="normaltextrun"/>
          <w:rFonts w:ascii="Calibri" w:hAnsi="Calibri" w:cs="Calibri"/>
          <w:color w:val="000000"/>
          <w:shd w:val="clear" w:color="auto" w:fill="FFFFFF"/>
        </w:rPr>
        <w:t>—</w:t>
      </w:r>
      <w:r w:rsidR="003354D8" w:rsidRPr="003354D8">
        <w:rPr>
          <w:rStyle w:val="normaltextrun"/>
          <w:color w:val="000000"/>
          <w:shd w:val="clear" w:color="auto" w:fill="FFFFFF"/>
        </w:rPr>
        <w:t xml:space="preserve"> is a mammoth task. The accessibility </w:t>
      </w:r>
      <w:r w:rsidR="003354D8" w:rsidRPr="003354D8">
        <w:rPr>
          <w:rStyle w:val="normaltextrun"/>
          <w:color w:val="000000"/>
          <w:shd w:val="clear" w:color="auto" w:fill="FFFFFF"/>
        </w:rPr>
        <w:lastRenderedPageBreak/>
        <w:t xml:space="preserve">and reliability of extant sources necessitates interpretation, contextualisation and, at times, informed speculation and revision in the face of new sources. Given what recent historiography tells us about the embeddedness of empire, slavery and the profits accrued in </w:t>
      </w:r>
      <w:r w:rsidR="006A4B07">
        <w:rPr>
          <w:rStyle w:val="normaltextrun"/>
          <w:color w:val="000000"/>
          <w:shd w:val="clear" w:color="auto" w:fill="FFFFFF"/>
        </w:rPr>
        <w:t>17</w:t>
      </w:r>
      <w:r w:rsidR="006A4B07" w:rsidRPr="003354D8">
        <w:rPr>
          <w:rStyle w:val="normaltextrun"/>
          <w:color w:val="000000"/>
          <w:shd w:val="clear" w:color="auto" w:fill="FFFFFF"/>
        </w:rPr>
        <w:t>th</w:t>
      </w:r>
      <w:r w:rsidR="003354D8" w:rsidRPr="003354D8">
        <w:rPr>
          <w:rStyle w:val="normaltextrun"/>
          <w:color w:val="000000"/>
          <w:shd w:val="clear" w:color="auto" w:fill="FFFFFF"/>
        </w:rPr>
        <w:t xml:space="preserve">-, </w:t>
      </w:r>
      <w:r w:rsidR="006A4B07">
        <w:rPr>
          <w:rStyle w:val="normaltextrun"/>
          <w:color w:val="000000"/>
          <w:shd w:val="clear" w:color="auto" w:fill="FFFFFF"/>
        </w:rPr>
        <w:t>18</w:t>
      </w:r>
      <w:r w:rsidR="006A4B07" w:rsidRPr="003354D8">
        <w:rPr>
          <w:rStyle w:val="normaltextrun"/>
          <w:color w:val="000000"/>
          <w:shd w:val="clear" w:color="auto" w:fill="FFFFFF"/>
        </w:rPr>
        <w:t>th</w:t>
      </w:r>
      <w:r w:rsidR="003354D8" w:rsidRPr="003354D8">
        <w:rPr>
          <w:rStyle w:val="normaltextrun"/>
          <w:color w:val="000000"/>
          <w:shd w:val="clear" w:color="auto" w:fill="FFFFFF"/>
        </w:rPr>
        <w:t xml:space="preserve">- and </w:t>
      </w:r>
      <w:r w:rsidR="006A4B07">
        <w:rPr>
          <w:rStyle w:val="normaltextrun"/>
          <w:color w:val="000000"/>
          <w:shd w:val="clear" w:color="auto" w:fill="FFFFFF"/>
        </w:rPr>
        <w:t>19</w:t>
      </w:r>
      <w:r w:rsidR="006A4B07" w:rsidRPr="003354D8">
        <w:rPr>
          <w:rStyle w:val="normaltextrun"/>
          <w:color w:val="000000"/>
          <w:shd w:val="clear" w:color="auto" w:fill="FFFFFF"/>
        </w:rPr>
        <w:t>th</w:t>
      </w:r>
      <w:r w:rsidR="003354D8" w:rsidRPr="003354D8">
        <w:rPr>
          <w:rStyle w:val="normaltextrun"/>
          <w:color w:val="000000"/>
          <w:shd w:val="clear" w:color="auto" w:fill="FFFFFF"/>
        </w:rPr>
        <w:t>-</w:t>
      </w:r>
      <w:r w:rsidR="006A4B07">
        <w:rPr>
          <w:rStyle w:val="normaltextrun"/>
          <w:color w:val="000000"/>
          <w:shd w:val="clear" w:color="auto" w:fill="FFFFFF"/>
        </w:rPr>
        <w:t>C</w:t>
      </w:r>
      <w:r w:rsidR="003354D8" w:rsidRPr="003354D8">
        <w:rPr>
          <w:rStyle w:val="normaltextrun"/>
          <w:color w:val="000000"/>
          <w:shd w:val="clear" w:color="auto" w:fill="FFFFFF"/>
        </w:rPr>
        <w:t>entury Scottish and British society, the search for a total ‘sum’ of any British institution’s receipt of slavery-linked wealth is an elusive</w:t>
      </w:r>
      <w:r w:rsidR="0089684C">
        <w:rPr>
          <w:rStyle w:val="normaltextrun"/>
          <w:color w:val="000000"/>
          <w:shd w:val="clear" w:color="auto" w:fill="FFFFFF"/>
        </w:rPr>
        <w:t xml:space="preserve"> and</w:t>
      </w:r>
      <w:r w:rsidR="003354D8" w:rsidRPr="003354D8">
        <w:rPr>
          <w:rStyle w:val="normaltextrun"/>
          <w:color w:val="000000"/>
          <w:shd w:val="clear" w:color="auto" w:fill="FFFFFF"/>
        </w:rPr>
        <w:t xml:space="preserve"> arguably impossible goal. The archival and conceptual difficulties in identifying and quantifying the impact of slavery-associated and colonially</w:t>
      </w:r>
      <w:r w:rsidR="0078157A">
        <w:rPr>
          <w:rStyle w:val="normaltextrun"/>
          <w:color w:val="000000"/>
          <w:shd w:val="clear" w:color="auto" w:fill="FFFFFF"/>
        </w:rPr>
        <w:t>-</w:t>
      </w:r>
      <w:r w:rsidR="003354D8" w:rsidRPr="003354D8">
        <w:rPr>
          <w:rStyle w:val="normaltextrun"/>
          <w:color w:val="000000"/>
          <w:shd w:val="clear" w:color="auto" w:fill="FFFFFF"/>
        </w:rPr>
        <w:t xml:space="preserve">derived wealth back in Britain should not, however, automatically prohibit an attempt to study some of the more </w:t>
      </w:r>
      <w:r w:rsidR="003354D8" w:rsidRPr="006F5823">
        <w:rPr>
          <w:rStyle w:val="normaltextrun"/>
          <w:i/>
          <w:iCs/>
          <w:color w:val="000000"/>
          <w:shd w:val="clear" w:color="auto" w:fill="FFFFFF"/>
        </w:rPr>
        <w:t>identifiable</w:t>
      </w:r>
      <w:r w:rsidR="003354D8" w:rsidRPr="003354D8">
        <w:rPr>
          <w:rStyle w:val="normaltextrun"/>
          <w:color w:val="000000"/>
          <w:shd w:val="clear" w:color="auto" w:fill="FFFFFF"/>
        </w:rPr>
        <w:t xml:space="preserve"> ways in which British colonialism and </w:t>
      </w:r>
      <w:r w:rsidR="00EC2D3E">
        <w:rPr>
          <w:rStyle w:val="normaltextrun"/>
          <w:color w:val="000000"/>
          <w:shd w:val="clear" w:color="auto" w:fill="FFFFFF"/>
        </w:rPr>
        <w:t>systems of enslavement</w:t>
      </w:r>
      <w:r w:rsidR="003354D8" w:rsidRPr="003354D8">
        <w:rPr>
          <w:rStyle w:val="normaltextrun"/>
          <w:color w:val="000000"/>
          <w:shd w:val="clear" w:color="auto" w:fill="FFFFFF"/>
        </w:rPr>
        <w:t xml:space="preserve"> generated discrete sums of wealth for British institutions. These questions are particularly relevant for universities that generated the knowledge</w:t>
      </w:r>
      <w:r w:rsidR="002C0D92">
        <w:rPr>
          <w:rStyle w:val="normaltextrun"/>
          <w:color w:val="000000"/>
          <w:shd w:val="clear" w:color="auto" w:fill="FFFFFF"/>
        </w:rPr>
        <w:t>, as well as</w:t>
      </w:r>
      <w:r w:rsidR="00EC2D3E">
        <w:rPr>
          <w:rStyle w:val="normaltextrun"/>
          <w:color w:val="000000"/>
          <w:shd w:val="clear" w:color="auto" w:fill="FFFFFF"/>
        </w:rPr>
        <w:t xml:space="preserve"> the</w:t>
      </w:r>
      <w:r w:rsidR="003354D8" w:rsidRPr="003354D8">
        <w:rPr>
          <w:rStyle w:val="normaltextrun"/>
          <w:color w:val="000000"/>
          <w:shd w:val="clear" w:color="auto" w:fill="FFFFFF"/>
        </w:rPr>
        <w:t xml:space="preserve"> academics and graduates</w:t>
      </w:r>
      <w:r w:rsidR="002C0D92">
        <w:rPr>
          <w:rStyle w:val="normaltextrun"/>
          <w:color w:val="000000"/>
          <w:shd w:val="clear" w:color="auto" w:fill="FFFFFF"/>
        </w:rPr>
        <w:t>,</w:t>
      </w:r>
      <w:r w:rsidR="003354D8" w:rsidRPr="003354D8">
        <w:rPr>
          <w:rStyle w:val="normaltextrun"/>
          <w:color w:val="000000"/>
          <w:shd w:val="clear" w:color="auto" w:fill="FFFFFF"/>
        </w:rPr>
        <w:t xml:space="preserve"> necessary for the administration, expansion and justification of enslavement and </w:t>
      </w:r>
      <w:r w:rsidR="002C0D92">
        <w:rPr>
          <w:rStyle w:val="normaltextrun"/>
          <w:color w:val="000000"/>
          <w:shd w:val="clear" w:color="auto" w:fill="FFFFFF"/>
        </w:rPr>
        <w:t xml:space="preserve">other </w:t>
      </w:r>
      <w:r w:rsidR="003354D8" w:rsidRPr="003354D8">
        <w:rPr>
          <w:rStyle w:val="normaltextrun"/>
          <w:color w:val="000000"/>
          <w:shd w:val="clear" w:color="auto" w:fill="FFFFFF"/>
        </w:rPr>
        <w:t>colonial enterprises.</w:t>
      </w:r>
      <w:r w:rsidR="003354D8" w:rsidRPr="003354D8">
        <w:rPr>
          <w:rFonts w:ascii="Calibri" w:hAnsi="Calibri" w:cs="Calibri"/>
        </w:rPr>
        <w:t xml:space="preserve"> </w:t>
      </w:r>
      <w:r w:rsidR="00EC2D3E">
        <w:rPr>
          <w:rFonts w:ascii="Calibri" w:hAnsi="Calibri" w:cs="Calibri"/>
        </w:rPr>
        <w:t xml:space="preserve">For a more detailed explanation of the methodology used, </w:t>
      </w:r>
      <w:r w:rsidR="00EC2D3E" w:rsidRPr="00D72A0F">
        <w:rPr>
          <w:rFonts w:ascii="Calibri" w:hAnsi="Calibri" w:cs="Calibri"/>
        </w:rPr>
        <w:t xml:space="preserve">see </w:t>
      </w:r>
      <w:r w:rsidRPr="00D72A0F">
        <w:rPr>
          <w:rFonts w:ascii="Calibri" w:hAnsi="Calibri" w:cs="Calibri"/>
        </w:rPr>
        <w:t xml:space="preserve">Appendix </w:t>
      </w:r>
      <w:r w:rsidR="002B21CF" w:rsidRPr="00D72A0F">
        <w:rPr>
          <w:rFonts w:ascii="Calibri" w:hAnsi="Calibri" w:cs="Calibri"/>
        </w:rPr>
        <w:t>1</w:t>
      </w:r>
      <w:r w:rsidR="00EC2D3E" w:rsidRPr="00D72A0F">
        <w:rPr>
          <w:rFonts w:ascii="Calibri" w:hAnsi="Calibri" w:cs="Calibri"/>
        </w:rPr>
        <w:t>.</w:t>
      </w:r>
    </w:p>
    <w:p w14:paraId="46515D6C" w14:textId="1C56FC65" w:rsidR="00191F30" w:rsidRPr="00AB52BC" w:rsidRDefault="00191F30" w:rsidP="00057638">
      <w:pPr>
        <w:spacing w:line="259" w:lineRule="auto"/>
        <w:ind w:firstLine="720"/>
        <w:rPr>
          <w:rFonts w:ascii="Calibri" w:eastAsia="Calibri" w:hAnsi="Calibri" w:cs="Calibri"/>
        </w:rPr>
      </w:pPr>
      <w:r w:rsidRPr="00D72A0F">
        <w:rPr>
          <w:rStyle w:val="normaltextrun"/>
          <w:color w:val="000000"/>
          <w:shd w:val="clear" w:color="auto" w:fill="FFFFFF"/>
        </w:rPr>
        <w:t xml:space="preserve">Importantly, </w:t>
      </w:r>
      <w:r w:rsidR="00C33F44" w:rsidRPr="00D72A0F">
        <w:rPr>
          <w:rStyle w:val="normaltextrun"/>
          <w:color w:val="000000"/>
          <w:shd w:val="clear" w:color="auto" w:fill="FFFFFF"/>
        </w:rPr>
        <w:t xml:space="preserve">this report and accompanying </w:t>
      </w:r>
      <w:r w:rsidR="00CA409C" w:rsidRPr="00D72A0F">
        <w:rPr>
          <w:rStyle w:val="normaltextrun"/>
          <w:color w:val="000000"/>
          <w:shd w:val="clear" w:color="auto" w:fill="FFFFFF"/>
        </w:rPr>
        <w:t>appendi</w:t>
      </w:r>
      <w:r w:rsidR="0042560C" w:rsidRPr="00D72A0F">
        <w:rPr>
          <w:rStyle w:val="normaltextrun"/>
          <w:color w:val="000000"/>
          <w:shd w:val="clear" w:color="auto" w:fill="FFFFFF"/>
        </w:rPr>
        <w:t>x</w:t>
      </w:r>
      <w:r w:rsidR="00C33F44" w:rsidRPr="00D72A0F">
        <w:rPr>
          <w:rStyle w:val="normaltextrun"/>
          <w:color w:val="000000"/>
          <w:shd w:val="clear" w:color="auto" w:fill="FFFFFF"/>
        </w:rPr>
        <w:t xml:space="preserve"> offer </w:t>
      </w:r>
      <w:r w:rsidRPr="00D72A0F">
        <w:rPr>
          <w:rStyle w:val="normaltextrun"/>
          <w:color w:val="000000"/>
          <w:shd w:val="clear" w:color="auto" w:fill="FFFFFF"/>
        </w:rPr>
        <w:t>a new perspective</w:t>
      </w:r>
      <w:r w:rsidRPr="00AB52BC">
        <w:rPr>
          <w:rStyle w:val="normaltextrun"/>
          <w:color w:val="000000"/>
          <w:shd w:val="clear" w:color="auto" w:fill="FFFFFF"/>
        </w:rPr>
        <w:t xml:space="preserve"> on the history of philanthropy at the </w:t>
      </w:r>
      <w:r w:rsidR="00A27530">
        <w:rPr>
          <w:rStyle w:val="normaltextrun"/>
          <w:color w:val="000000"/>
          <w:shd w:val="clear" w:color="auto" w:fill="FFFFFF"/>
        </w:rPr>
        <w:t>University of Edinburgh</w:t>
      </w:r>
      <w:r w:rsidR="00C33F44" w:rsidRPr="00AB52BC">
        <w:rPr>
          <w:rStyle w:val="normaltextrun"/>
          <w:color w:val="000000"/>
          <w:shd w:val="clear" w:color="auto" w:fill="FFFFFF"/>
        </w:rPr>
        <w:t xml:space="preserve">. The work </w:t>
      </w:r>
      <w:r w:rsidRPr="00AB52BC">
        <w:rPr>
          <w:rStyle w:val="normaltextrun"/>
          <w:color w:val="000000"/>
          <w:shd w:val="clear" w:color="auto" w:fill="FFFFFF"/>
        </w:rPr>
        <w:t xml:space="preserve">constitutes the first </w:t>
      </w:r>
      <w:r w:rsidRPr="00AB52BC">
        <w:rPr>
          <w:rStyle w:val="findhit"/>
          <w:color w:val="000000"/>
          <w:shd w:val="clear" w:color="auto" w:fill="FFFFFF"/>
        </w:rPr>
        <w:t>method</w:t>
      </w:r>
      <w:r w:rsidRPr="00AB52BC">
        <w:rPr>
          <w:rStyle w:val="normaltextrun"/>
          <w:color w:val="000000"/>
          <w:shd w:val="clear" w:color="auto" w:fill="FFFFFF"/>
        </w:rPr>
        <w:t xml:space="preserve">ical assessment of the slavery- and empire-connected origins of gifts received by the </w:t>
      </w:r>
      <w:r w:rsidR="00A27530">
        <w:rPr>
          <w:rStyle w:val="normaltextrun"/>
          <w:color w:val="000000"/>
          <w:shd w:val="clear" w:color="auto" w:fill="FFFFFF"/>
        </w:rPr>
        <w:t>University of Edinburgh</w:t>
      </w:r>
      <w:r w:rsidRPr="00AB52BC">
        <w:rPr>
          <w:rStyle w:val="normaltextrun"/>
          <w:color w:val="000000"/>
          <w:shd w:val="clear" w:color="auto" w:fill="FFFFFF"/>
        </w:rPr>
        <w:t xml:space="preserve"> over its history. It shows how some of the gifts, which provided members of the </w:t>
      </w:r>
      <w:r w:rsidR="00A27530">
        <w:rPr>
          <w:rStyle w:val="normaltextrun"/>
          <w:color w:val="000000"/>
          <w:shd w:val="clear" w:color="auto" w:fill="FFFFFF"/>
        </w:rPr>
        <w:t>University of Edinburgh</w:t>
      </w:r>
      <w:r w:rsidRPr="00AB52BC">
        <w:rPr>
          <w:rStyle w:val="normaltextrun"/>
          <w:color w:val="000000"/>
          <w:shd w:val="clear" w:color="auto" w:fill="FFFFFF"/>
        </w:rPr>
        <w:t xml:space="preserve"> both tangible and intangible benefits, derived, at least in part, from the enslavement, conquest and subjugation of non-European peoples. That the </w:t>
      </w:r>
      <w:r w:rsidR="00A27530">
        <w:rPr>
          <w:rStyle w:val="normaltextrun"/>
          <w:color w:val="000000"/>
          <w:shd w:val="clear" w:color="auto" w:fill="FFFFFF"/>
        </w:rPr>
        <w:t>University of Edinburgh</w:t>
      </w:r>
      <w:r w:rsidRPr="00AB52BC">
        <w:rPr>
          <w:rStyle w:val="normaltextrun"/>
          <w:color w:val="000000"/>
          <w:shd w:val="clear" w:color="auto" w:fill="FFFFFF"/>
        </w:rPr>
        <w:t xml:space="preserve">’s history of philanthropy (a charitable act of </w:t>
      </w:r>
      <w:r w:rsidRPr="00AB52BC">
        <w:rPr>
          <w:rStyle w:val="normaltextrun"/>
          <w:i/>
          <w:iCs/>
          <w:color w:val="000000"/>
          <w:shd w:val="clear" w:color="auto" w:fill="FFFFFF"/>
        </w:rPr>
        <w:t>giving</w:t>
      </w:r>
      <w:r w:rsidRPr="00AB52BC">
        <w:rPr>
          <w:rStyle w:val="normaltextrun"/>
          <w:color w:val="000000"/>
          <w:shd w:val="clear" w:color="auto" w:fill="FFFFFF"/>
        </w:rPr>
        <w:t>)</w:t>
      </w:r>
      <w:r w:rsidRPr="00AB52BC">
        <w:rPr>
          <w:rStyle w:val="normaltextrun"/>
          <w:i/>
          <w:iCs/>
          <w:color w:val="000000"/>
          <w:shd w:val="clear" w:color="auto" w:fill="FFFFFF"/>
        </w:rPr>
        <w:t xml:space="preserve"> </w:t>
      </w:r>
      <w:r w:rsidRPr="00AB52BC">
        <w:rPr>
          <w:rStyle w:val="normaltextrun"/>
          <w:color w:val="000000"/>
          <w:shd w:val="clear" w:color="auto" w:fill="FFFFFF"/>
        </w:rPr>
        <w:t xml:space="preserve">was in different ways connected to slavery and colonialism (the violent </w:t>
      </w:r>
      <w:r w:rsidRPr="00AB52BC">
        <w:rPr>
          <w:rStyle w:val="normaltextrun"/>
          <w:i/>
          <w:iCs/>
          <w:color w:val="000000"/>
          <w:shd w:val="clear" w:color="auto" w:fill="FFFFFF"/>
        </w:rPr>
        <w:t>taking</w:t>
      </w:r>
      <w:r w:rsidRPr="00AB52BC">
        <w:rPr>
          <w:rStyle w:val="normaltextrun"/>
          <w:color w:val="000000"/>
          <w:shd w:val="clear" w:color="auto" w:fill="FFFFFF"/>
        </w:rPr>
        <w:t xml:space="preserve"> of bodies, labour, rights, resources, land and knowledge) is deeply jarring, not least for an institution so closely associated with the humanistic and liberal values of the Scottish Enlightenment.</w:t>
      </w:r>
    </w:p>
    <w:p w14:paraId="467AE555" w14:textId="77777777" w:rsidR="00D85CDC" w:rsidRPr="00AB52BC" w:rsidRDefault="00D85CDC" w:rsidP="00057638">
      <w:pPr>
        <w:spacing w:line="259" w:lineRule="auto"/>
        <w:rPr>
          <w:rFonts w:ascii="Calibri" w:eastAsia="Calibri" w:hAnsi="Calibri" w:cs="Calibri"/>
        </w:rPr>
      </w:pPr>
    </w:p>
    <w:p w14:paraId="067D1E1B" w14:textId="44346E02" w:rsidR="00D85CDC" w:rsidRPr="00D85CDC" w:rsidRDefault="00D85CDC" w:rsidP="006A4B07">
      <w:pPr>
        <w:pStyle w:val="Heading5"/>
      </w:pPr>
      <w:r w:rsidRPr="00D85CDC">
        <w:t>Endowments: Bursaries, Scholarship, Chairs and Fellowships</w:t>
      </w:r>
    </w:p>
    <w:p w14:paraId="49EE0A35" w14:textId="209FBDF6" w:rsidR="00773F7C" w:rsidRPr="006C60F3" w:rsidRDefault="00E40638" w:rsidP="00057638">
      <w:pPr>
        <w:spacing w:line="259" w:lineRule="auto"/>
        <w:rPr>
          <w:rFonts w:ascii="Calibri" w:eastAsia="Calibri" w:hAnsi="Calibri" w:cs="Calibri"/>
        </w:rPr>
      </w:pPr>
      <w:r w:rsidRPr="6FEE1A6D">
        <w:rPr>
          <w:rFonts w:ascii="Calibri" w:eastAsia="Calibri" w:hAnsi="Calibri" w:cs="Calibri"/>
        </w:rPr>
        <w:t>Overall, the research revealed that</w:t>
      </w:r>
      <w:r w:rsidR="000D71CF" w:rsidRPr="6FEE1A6D">
        <w:rPr>
          <w:rFonts w:ascii="Calibri" w:eastAsia="Calibri" w:hAnsi="Calibri" w:cs="Calibri"/>
        </w:rPr>
        <w:t xml:space="preserve"> </w:t>
      </w:r>
      <w:r w:rsidR="006A4B07">
        <w:rPr>
          <w:rFonts w:ascii="Calibri" w:eastAsia="Calibri" w:hAnsi="Calibri" w:cs="Calibri"/>
        </w:rPr>
        <w:t>15</w:t>
      </w:r>
      <w:r w:rsidR="006A4B07" w:rsidRPr="6FEE1A6D">
        <w:rPr>
          <w:rFonts w:ascii="Calibri" w:eastAsia="Calibri" w:hAnsi="Calibri" w:cs="Calibri"/>
        </w:rPr>
        <w:t xml:space="preserve"> </w:t>
      </w:r>
      <w:r w:rsidR="00773F7C" w:rsidRPr="6FEE1A6D">
        <w:rPr>
          <w:rFonts w:ascii="Calibri" w:eastAsia="Calibri" w:hAnsi="Calibri" w:cs="Calibri"/>
        </w:rPr>
        <w:t xml:space="preserve">of the </w:t>
      </w:r>
      <w:r w:rsidR="00A27530" w:rsidRPr="6FEE1A6D">
        <w:rPr>
          <w:rFonts w:ascii="Calibri" w:eastAsia="Calibri" w:hAnsi="Calibri" w:cs="Calibri"/>
        </w:rPr>
        <w:t>University of Edinburgh</w:t>
      </w:r>
      <w:r w:rsidR="00773F7C" w:rsidRPr="6FEE1A6D">
        <w:rPr>
          <w:rFonts w:ascii="Calibri" w:eastAsia="Calibri" w:hAnsi="Calibri" w:cs="Calibri"/>
        </w:rPr>
        <w:t xml:space="preserve">’s historic endowments </w:t>
      </w:r>
      <w:r w:rsidR="00343B3D" w:rsidRPr="6FEE1A6D">
        <w:rPr>
          <w:rFonts w:ascii="Calibri" w:eastAsia="Calibri" w:hAnsi="Calibri" w:cs="Calibri"/>
        </w:rPr>
        <w:t>have</w:t>
      </w:r>
      <w:r w:rsidR="00773F7C" w:rsidRPr="6FEE1A6D">
        <w:rPr>
          <w:rFonts w:ascii="Calibri" w:eastAsia="Calibri" w:hAnsi="Calibri" w:cs="Calibri"/>
        </w:rPr>
        <w:t xml:space="preserve"> direct or indirect links to African enslavement. A further </w:t>
      </w:r>
      <w:r w:rsidR="006A4B07">
        <w:rPr>
          <w:rFonts w:ascii="Calibri" w:eastAsia="Calibri" w:hAnsi="Calibri" w:cs="Calibri"/>
        </w:rPr>
        <w:t>12</w:t>
      </w:r>
      <w:r w:rsidR="006A4B07" w:rsidRPr="6FEE1A6D">
        <w:rPr>
          <w:rFonts w:ascii="Calibri" w:eastAsia="Calibri" w:hAnsi="Calibri" w:cs="Calibri"/>
        </w:rPr>
        <w:t xml:space="preserve"> </w:t>
      </w:r>
      <w:r w:rsidR="00773F7C" w:rsidRPr="6FEE1A6D">
        <w:rPr>
          <w:rFonts w:ascii="Calibri" w:eastAsia="Calibri" w:hAnsi="Calibri" w:cs="Calibri"/>
        </w:rPr>
        <w:t xml:space="preserve">endowments have been identified as having connections to British colonialism in India, Singapore and South Africa. </w:t>
      </w:r>
      <w:r w:rsidR="00DF0B51" w:rsidRPr="6FEE1A6D">
        <w:rPr>
          <w:rFonts w:ascii="Calibri" w:eastAsia="Calibri" w:hAnsi="Calibri" w:cs="Calibri"/>
        </w:rPr>
        <w:t xml:space="preserve"> </w:t>
      </w:r>
    </w:p>
    <w:p w14:paraId="6F3C995F" w14:textId="77777777" w:rsidR="00773F7C" w:rsidRPr="0017357E" w:rsidRDefault="00773F7C" w:rsidP="00057638">
      <w:pPr>
        <w:spacing w:line="259" w:lineRule="auto"/>
        <w:rPr>
          <w:rFonts w:ascii="Calibri" w:eastAsia="Calibri" w:hAnsi="Calibri" w:cs="Calibri"/>
        </w:rPr>
      </w:pPr>
    </w:p>
    <w:p w14:paraId="4C0A7C4E" w14:textId="133260E4" w:rsidR="00773F7C" w:rsidRPr="00C31B38" w:rsidRDefault="00C31B38" w:rsidP="00C43ECF">
      <w:pPr>
        <w:pStyle w:val="Heading5"/>
        <w:spacing w:before="0" w:after="0" w:line="259" w:lineRule="auto"/>
        <w:rPr>
          <w:rFonts w:ascii="Calibri" w:hAnsi="Calibri" w:cs="Calibri"/>
          <w:i w:val="0"/>
        </w:rPr>
      </w:pPr>
      <w:r w:rsidRPr="00C31B38">
        <w:rPr>
          <w:rFonts w:ascii="Calibri" w:eastAsia="Calibri" w:hAnsi="Calibri" w:cs="Calibri"/>
          <w:i w:val="0"/>
          <w:u w:val="single"/>
        </w:rPr>
        <w:t>Table 1</w:t>
      </w:r>
      <w:r w:rsidRPr="00C31B38">
        <w:rPr>
          <w:rFonts w:ascii="Calibri" w:eastAsia="Calibri" w:hAnsi="Calibri" w:cs="Calibri"/>
          <w:i w:val="0"/>
        </w:rPr>
        <w:t xml:space="preserve">: </w:t>
      </w:r>
      <w:r w:rsidR="00773F7C" w:rsidRPr="00C31B38">
        <w:rPr>
          <w:rFonts w:ascii="Calibri" w:eastAsia="Calibri" w:hAnsi="Calibri" w:cs="Calibri"/>
          <w:i w:val="0"/>
        </w:rPr>
        <w:t>Endowments with Links to Enslavement</w:t>
      </w:r>
      <w:r w:rsidR="00773F7C" w:rsidRPr="00C31B38">
        <w:rPr>
          <w:rFonts w:ascii="Calibri" w:hAnsi="Calibri" w:cs="Calibri"/>
        </w:rPr>
        <w:br/>
      </w:r>
    </w:p>
    <w:tbl>
      <w:tblPr>
        <w:tblStyle w:val="PlainTable2"/>
        <w:tblW w:w="9072" w:type="dxa"/>
        <w:tblLook w:val="04A0" w:firstRow="1" w:lastRow="0" w:firstColumn="1" w:lastColumn="0" w:noHBand="0" w:noVBand="1"/>
      </w:tblPr>
      <w:tblGrid>
        <w:gridCol w:w="2268"/>
        <w:gridCol w:w="2552"/>
        <w:gridCol w:w="1276"/>
        <w:gridCol w:w="2976"/>
      </w:tblGrid>
      <w:tr w:rsidR="00773F7C" w:rsidRPr="0017357E" w14:paraId="1287A23C" w14:textId="77777777" w:rsidTr="00D85CDC">
        <w:trPr>
          <w:cnfStyle w:val="100000000000" w:firstRow="1" w:lastRow="0" w:firstColumn="0" w:lastColumn="0" w:oddVBand="0" w:evenVBand="0" w:oddHBand="0"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2268" w:type="dxa"/>
          </w:tcPr>
          <w:p w14:paraId="494F8923" w14:textId="77777777" w:rsidR="00773F7C" w:rsidRPr="0017357E" w:rsidRDefault="00773F7C" w:rsidP="006E2DA4">
            <w:pPr>
              <w:spacing w:line="259" w:lineRule="auto"/>
              <w:jc w:val="both"/>
              <w:rPr>
                <w:rFonts w:ascii="Calibri" w:eastAsia="Calibri" w:hAnsi="Calibri" w:cs="Calibri"/>
                <w:sz w:val="24"/>
                <w:szCs w:val="24"/>
              </w:rPr>
            </w:pPr>
            <w:r w:rsidRPr="0017357E">
              <w:rPr>
                <w:rFonts w:ascii="Calibri" w:hAnsi="Calibri" w:cs="Calibri"/>
                <w:sz w:val="24"/>
                <w:szCs w:val="24"/>
              </w:rPr>
              <w:t>BENEFACTION</w:t>
            </w:r>
          </w:p>
        </w:tc>
        <w:tc>
          <w:tcPr>
            <w:tcW w:w="2552" w:type="dxa"/>
          </w:tcPr>
          <w:p w14:paraId="0B4CE487" w14:textId="77777777" w:rsidR="00773F7C" w:rsidRPr="0017357E" w:rsidRDefault="00773F7C" w:rsidP="006E2DA4">
            <w:pPr>
              <w:spacing w:line="259"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BENEFACTOR</w:t>
            </w:r>
          </w:p>
        </w:tc>
        <w:tc>
          <w:tcPr>
            <w:tcW w:w="1276" w:type="dxa"/>
          </w:tcPr>
          <w:p w14:paraId="1FE7B63C" w14:textId="77777777" w:rsidR="00773F7C" w:rsidRPr="0017357E" w:rsidRDefault="00773F7C" w:rsidP="006E2DA4">
            <w:pPr>
              <w:spacing w:line="259" w:lineRule="auto"/>
              <w:jc w:val="both"/>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DATE</w:t>
            </w:r>
          </w:p>
        </w:tc>
        <w:tc>
          <w:tcPr>
            <w:tcW w:w="2976" w:type="dxa"/>
          </w:tcPr>
          <w:p w14:paraId="1746CF33" w14:textId="77777777" w:rsidR="00773F7C" w:rsidRPr="0017357E" w:rsidRDefault="00773F7C" w:rsidP="006E2DA4">
            <w:pPr>
              <w:spacing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LINK</w:t>
            </w:r>
          </w:p>
        </w:tc>
      </w:tr>
      <w:tr w:rsidR="00773F7C" w:rsidRPr="0017357E" w14:paraId="64B5CFD1" w14:textId="77777777" w:rsidTr="00D85CD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78678EF1" w14:textId="77777777" w:rsidR="00773F7C" w:rsidRPr="0017357E" w:rsidRDefault="00773F7C" w:rsidP="00D85CDC">
            <w:pPr>
              <w:spacing w:line="259" w:lineRule="auto"/>
              <w:rPr>
                <w:rFonts w:ascii="Calibri" w:eastAsia="Calibri" w:hAnsi="Calibri" w:cs="Calibri"/>
                <w:b w:val="0"/>
                <w:bCs w:val="0"/>
                <w:iCs/>
                <w:sz w:val="24"/>
                <w:szCs w:val="24"/>
              </w:rPr>
            </w:pPr>
            <w:r w:rsidRPr="0017357E">
              <w:rPr>
                <w:rFonts w:ascii="Calibri" w:eastAsia="Calibri" w:hAnsi="Calibri" w:cs="Calibri"/>
                <w:b w:val="0"/>
                <w:bCs w:val="0"/>
                <w:iCs/>
                <w:sz w:val="24"/>
                <w:szCs w:val="24"/>
              </w:rPr>
              <w:t>McLurg Bursary</w:t>
            </w:r>
          </w:p>
        </w:tc>
        <w:tc>
          <w:tcPr>
            <w:tcW w:w="2552" w:type="dxa"/>
            <w:vAlign w:val="center"/>
          </w:tcPr>
          <w:p w14:paraId="37E3A7C4"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Sir James McLurg</w:t>
            </w:r>
          </w:p>
        </w:tc>
        <w:tc>
          <w:tcPr>
            <w:tcW w:w="1276" w:type="dxa"/>
            <w:vAlign w:val="center"/>
          </w:tcPr>
          <w:p w14:paraId="33A7D98E"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1714</w:t>
            </w:r>
          </w:p>
        </w:tc>
        <w:tc>
          <w:tcPr>
            <w:tcW w:w="2976" w:type="dxa"/>
            <w:vAlign w:val="center"/>
          </w:tcPr>
          <w:p w14:paraId="4951DDC6"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Company of Scotland investor</w:t>
            </w:r>
          </w:p>
        </w:tc>
      </w:tr>
      <w:tr w:rsidR="00773F7C" w:rsidRPr="0017357E" w14:paraId="2202B613" w14:textId="77777777" w:rsidTr="00D85CDC">
        <w:trPr>
          <w:trHeight w:val="449"/>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2DF26B6E" w14:textId="77777777" w:rsidR="00773F7C" w:rsidRPr="0017357E" w:rsidRDefault="00773F7C" w:rsidP="00D85CDC">
            <w:pPr>
              <w:spacing w:line="259" w:lineRule="auto"/>
              <w:rPr>
                <w:rFonts w:ascii="Calibri" w:eastAsia="Calibri" w:hAnsi="Calibri" w:cs="Calibri"/>
                <w:b w:val="0"/>
                <w:bCs w:val="0"/>
                <w:i/>
                <w:sz w:val="24"/>
                <w:szCs w:val="24"/>
              </w:rPr>
            </w:pPr>
            <w:r w:rsidRPr="0017357E">
              <w:rPr>
                <w:rFonts w:ascii="Calibri" w:eastAsia="Calibri" w:hAnsi="Calibri" w:cs="Calibri"/>
                <w:b w:val="0"/>
                <w:bCs w:val="0"/>
                <w:iCs/>
                <w:sz w:val="24"/>
                <w:szCs w:val="24"/>
              </w:rPr>
              <w:t>William Wardrop Bursary</w:t>
            </w:r>
          </w:p>
        </w:tc>
        <w:tc>
          <w:tcPr>
            <w:tcW w:w="2552" w:type="dxa"/>
            <w:vAlign w:val="center"/>
          </w:tcPr>
          <w:p w14:paraId="48102105"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sz w:val="24"/>
                <w:szCs w:val="24"/>
              </w:rPr>
            </w:pPr>
            <w:r w:rsidRPr="0017357E">
              <w:rPr>
                <w:rFonts w:ascii="Calibri" w:eastAsia="Calibri" w:hAnsi="Calibri" w:cs="Calibri"/>
                <w:bCs/>
                <w:sz w:val="24"/>
                <w:szCs w:val="24"/>
              </w:rPr>
              <w:t>William Wardrop</w:t>
            </w:r>
          </w:p>
        </w:tc>
        <w:tc>
          <w:tcPr>
            <w:tcW w:w="1276" w:type="dxa"/>
            <w:vAlign w:val="center"/>
          </w:tcPr>
          <w:p w14:paraId="2DCF904A"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1725</w:t>
            </w:r>
          </w:p>
        </w:tc>
        <w:tc>
          <w:tcPr>
            <w:tcW w:w="2976" w:type="dxa"/>
            <w:vAlign w:val="center"/>
          </w:tcPr>
          <w:p w14:paraId="0EDF27B3"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Company of Scotland investor</w:t>
            </w:r>
          </w:p>
        </w:tc>
      </w:tr>
      <w:tr w:rsidR="00773F7C" w:rsidRPr="0017357E" w14:paraId="7B40F6B8" w14:textId="77777777" w:rsidTr="00D85CD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D0FCBA5" w14:textId="77777777" w:rsidR="00773F7C" w:rsidRPr="0017357E" w:rsidRDefault="00773F7C" w:rsidP="00D85CDC">
            <w:pPr>
              <w:spacing w:line="259" w:lineRule="auto"/>
              <w:rPr>
                <w:rFonts w:ascii="Calibri" w:eastAsia="Calibri" w:hAnsi="Calibri" w:cs="Calibri"/>
                <w:b w:val="0"/>
                <w:bCs w:val="0"/>
                <w:iCs/>
                <w:sz w:val="24"/>
                <w:szCs w:val="24"/>
              </w:rPr>
            </w:pPr>
            <w:r w:rsidRPr="0017357E">
              <w:rPr>
                <w:rFonts w:ascii="Calibri" w:eastAsia="Calibri" w:hAnsi="Calibri" w:cs="Calibri"/>
                <w:b w:val="0"/>
                <w:bCs w:val="0"/>
                <w:iCs/>
                <w:sz w:val="24"/>
                <w:szCs w:val="24"/>
              </w:rPr>
              <w:t>Chair of Agriculture</w:t>
            </w:r>
          </w:p>
        </w:tc>
        <w:tc>
          <w:tcPr>
            <w:tcW w:w="2552" w:type="dxa"/>
            <w:vAlign w:val="center"/>
          </w:tcPr>
          <w:p w14:paraId="4204637D"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Sir William (Johnstone) Pulteney</w:t>
            </w:r>
          </w:p>
        </w:tc>
        <w:tc>
          <w:tcPr>
            <w:tcW w:w="1276" w:type="dxa"/>
            <w:vAlign w:val="center"/>
          </w:tcPr>
          <w:p w14:paraId="3D69977D"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1790</w:t>
            </w:r>
          </w:p>
        </w:tc>
        <w:tc>
          <w:tcPr>
            <w:tcW w:w="2976" w:type="dxa"/>
            <w:vAlign w:val="center"/>
          </w:tcPr>
          <w:p w14:paraId="16E57187"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Owner of estate and likely enslaved people in Caribbean</w:t>
            </w:r>
          </w:p>
        </w:tc>
      </w:tr>
      <w:tr w:rsidR="00773F7C" w:rsidRPr="0017357E" w14:paraId="510FC11F" w14:textId="77777777" w:rsidTr="00D85CDC">
        <w:trPr>
          <w:trHeight w:val="655"/>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645F745" w14:textId="77777777" w:rsidR="00773F7C" w:rsidRPr="0017357E" w:rsidRDefault="00773F7C" w:rsidP="00D85CDC">
            <w:pPr>
              <w:spacing w:line="259" w:lineRule="auto"/>
              <w:rPr>
                <w:rFonts w:ascii="Calibri" w:eastAsia="Calibri" w:hAnsi="Calibri" w:cs="Calibri"/>
                <w:b w:val="0"/>
                <w:bCs w:val="0"/>
                <w:sz w:val="24"/>
                <w:szCs w:val="24"/>
              </w:rPr>
            </w:pPr>
            <w:r w:rsidRPr="0017357E">
              <w:rPr>
                <w:rFonts w:ascii="Calibri" w:eastAsia="Calibri" w:hAnsi="Calibri" w:cs="Calibri"/>
                <w:b w:val="0"/>
                <w:bCs w:val="0"/>
                <w:sz w:val="24"/>
                <w:szCs w:val="24"/>
              </w:rPr>
              <w:t>Stuart Bursaries</w:t>
            </w:r>
          </w:p>
        </w:tc>
        <w:tc>
          <w:tcPr>
            <w:tcW w:w="2552" w:type="dxa"/>
            <w:vAlign w:val="center"/>
          </w:tcPr>
          <w:p w14:paraId="452BC04C"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Rev. James Stuart</w:t>
            </w:r>
          </w:p>
        </w:tc>
        <w:tc>
          <w:tcPr>
            <w:tcW w:w="1276" w:type="dxa"/>
            <w:vAlign w:val="center"/>
          </w:tcPr>
          <w:p w14:paraId="3A7D0039"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1809</w:t>
            </w:r>
          </w:p>
        </w:tc>
        <w:tc>
          <w:tcPr>
            <w:tcW w:w="2976" w:type="dxa"/>
            <w:vAlign w:val="center"/>
          </w:tcPr>
          <w:p w14:paraId="687E51A9"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Owner of an enslaved person in North America</w:t>
            </w:r>
          </w:p>
        </w:tc>
      </w:tr>
      <w:tr w:rsidR="00773F7C" w:rsidRPr="0017357E" w14:paraId="362B72FF" w14:textId="77777777" w:rsidTr="00D85CD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4709E59" w14:textId="77777777" w:rsidR="00773F7C" w:rsidRPr="0017357E" w:rsidRDefault="00773F7C" w:rsidP="00D85CDC">
            <w:pPr>
              <w:spacing w:line="259" w:lineRule="auto"/>
              <w:rPr>
                <w:rFonts w:ascii="Calibri" w:eastAsia="Calibri" w:hAnsi="Calibri" w:cs="Calibri"/>
                <w:b w:val="0"/>
                <w:bCs w:val="0"/>
                <w:sz w:val="24"/>
                <w:szCs w:val="24"/>
              </w:rPr>
            </w:pPr>
            <w:r w:rsidRPr="0017357E">
              <w:rPr>
                <w:rFonts w:ascii="Calibri" w:eastAsia="Calibri" w:hAnsi="Calibri" w:cs="Calibri"/>
                <w:b w:val="0"/>
                <w:bCs w:val="0"/>
                <w:sz w:val="24"/>
                <w:szCs w:val="24"/>
              </w:rPr>
              <w:t>Chair of Music</w:t>
            </w:r>
          </w:p>
        </w:tc>
        <w:tc>
          <w:tcPr>
            <w:tcW w:w="2552" w:type="dxa"/>
            <w:vAlign w:val="center"/>
          </w:tcPr>
          <w:p w14:paraId="4F779F3D"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General John Reid</w:t>
            </w:r>
          </w:p>
        </w:tc>
        <w:tc>
          <w:tcPr>
            <w:tcW w:w="1276" w:type="dxa"/>
            <w:vAlign w:val="center"/>
          </w:tcPr>
          <w:p w14:paraId="3B24B802"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1839</w:t>
            </w:r>
          </w:p>
        </w:tc>
        <w:tc>
          <w:tcPr>
            <w:tcW w:w="2976" w:type="dxa"/>
            <w:vAlign w:val="center"/>
          </w:tcPr>
          <w:p w14:paraId="0AB3FE32"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Inherited slavery-linked wealth</w:t>
            </w:r>
          </w:p>
        </w:tc>
      </w:tr>
      <w:tr w:rsidR="00773F7C" w:rsidRPr="0017357E" w14:paraId="5C29F3A2" w14:textId="77777777" w:rsidTr="00D85CDC">
        <w:trPr>
          <w:trHeight w:val="5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BE76845" w14:textId="77777777" w:rsidR="00773F7C" w:rsidRPr="0017357E" w:rsidRDefault="00773F7C" w:rsidP="00D85CDC">
            <w:pPr>
              <w:spacing w:line="259" w:lineRule="auto"/>
              <w:rPr>
                <w:rFonts w:ascii="Calibri" w:eastAsia="Calibri" w:hAnsi="Calibri" w:cs="Calibri"/>
                <w:b w:val="0"/>
                <w:bCs w:val="0"/>
                <w:sz w:val="24"/>
                <w:szCs w:val="24"/>
              </w:rPr>
            </w:pPr>
            <w:r w:rsidRPr="0017357E">
              <w:rPr>
                <w:rFonts w:ascii="Calibri" w:eastAsia="Calibri" w:hAnsi="Calibri" w:cs="Calibri"/>
                <w:b w:val="0"/>
                <w:bCs w:val="0"/>
                <w:sz w:val="24"/>
                <w:szCs w:val="24"/>
              </w:rPr>
              <w:lastRenderedPageBreak/>
              <w:t xml:space="preserve">Baxter Mathematical and Philosophical Scholarships and </w:t>
            </w:r>
          </w:p>
        </w:tc>
        <w:tc>
          <w:tcPr>
            <w:tcW w:w="2552" w:type="dxa"/>
            <w:vAlign w:val="center"/>
          </w:tcPr>
          <w:p w14:paraId="3797EB6B"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Sir David Baxter</w:t>
            </w:r>
          </w:p>
        </w:tc>
        <w:tc>
          <w:tcPr>
            <w:tcW w:w="1276" w:type="dxa"/>
            <w:vAlign w:val="center"/>
          </w:tcPr>
          <w:p w14:paraId="5A2F453B"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 xml:space="preserve">1863 </w:t>
            </w:r>
          </w:p>
        </w:tc>
        <w:tc>
          <w:tcPr>
            <w:tcW w:w="2976" w:type="dxa"/>
            <w:vAlign w:val="center"/>
          </w:tcPr>
          <w:p w14:paraId="627FCEB5"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Slavery-associated Atlantic trade (linen)</w:t>
            </w:r>
          </w:p>
        </w:tc>
      </w:tr>
      <w:tr w:rsidR="00773F7C" w:rsidRPr="0017357E" w14:paraId="1DF87AB9" w14:textId="77777777" w:rsidTr="00D85CD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0746DAF" w14:textId="77777777" w:rsidR="00773F7C" w:rsidRPr="0017357E" w:rsidRDefault="00773F7C" w:rsidP="00D85CDC">
            <w:pPr>
              <w:spacing w:line="259" w:lineRule="auto"/>
              <w:rPr>
                <w:rFonts w:ascii="Calibri" w:eastAsia="Calibri" w:hAnsi="Calibri" w:cs="Calibri"/>
                <w:sz w:val="24"/>
                <w:szCs w:val="24"/>
              </w:rPr>
            </w:pPr>
            <w:r w:rsidRPr="0017357E">
              <w:rPr>
                <w:rFonts w:ascii="Calibri" w:eastAsia="Calibri" w:hAnsi="Calibri" w:cs="Calibri"/>
                <w:b w:val="0"/>
                <w:bCs w:val="0"/>
                <w:sz w:val="24"/>
                <w:szCs w:val="24"/>
              </w:rPr>
              <w:t>Baxter Natural and Physical Science Scholarships</w:t>
            </w:r>
          </w:p>
        </w:tc>
        <w:tc>
          <w:tcPr>
            <w:tcW w:w="2552" w:type="dxa"/>
            <w:vAlign w:val="center"/>
          </w:tcPr>
          <w:p w14:paraId="1DA0B8A1"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Sir David Baxter</w:t>
            </w:r>
          </w:p>
        </w:tc>
        <w:tc>
          <w:tcPr>
            <w:tcW w:w="1276" w:type="dxa"/>
            <w:vAlign w:val="center"/>
          </w:tcPr>
          <w:p w14:paraId="39D7BB1A"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1865</w:t>
            </w:r>
          </w:p>
        </w:tc>
        <w:tc>
          <w:tcPr>
            <w:tcW w:w="2976" w:type="dxa"/>
            <w:vAlign w:val="center"/>
          </w:tcPr>
          <w:p w14:paraId="24319A48"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Slavery-associated Atlantic trade (linen)</w:t>
            </w:r>
          </w:p>
        </w:tc>
      </w:tr>
      <w:tr w:rsidR="00773F7C" w:rsidRPr="0017357E" w14:paraId="6B90F422" w14:textId="77777777" w:rsidTr="00D85CDC">
        <w:trPr>
          <w:trHeight w:val="5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6088D862" w14:textId="77777777" w:rsidR="00773F7C" w:rsidRPr="0017357E" w:rsidRDefault="00773F7C" w:rsidP="00D85CDC">
            <w:pPr>
              <w:spacing w:line="259" w:lineRule="auto"/>
              <w:rPr>
                <w:rFonts w:ascii="Calibri" w:eastAsia="Calibri" w:hAnsi="Calibri" w:cs="Calibri"/>
                <w:b w:val="0"/>
                <w:bCs w:val="0"/>
                <w:sz w:val="24"/>
                <w:szCs w:val="24"/>
              </w:rPr>
            </w:pPr>
            <w:r w:rsidRPr="0017357E">
              <w:rPr>
                <w:rFonts w:ascii="Calibri" w:eastAsia="Calibri" w:hAnsi="Calibri" w:cs="Calibri"/>
                <w:b w:val="0"/>
                <w:bCs w:val="0"/>
                <w:sz w:val="24"/>
                <w:szCs w:val="24"/>
              </w:rPr>
              <w:t>Horsliehill Scott Bursaries</w:t>
            </w:r>
          </w:p>
        </w:tc>
        <w:tc>
          <w:tcPr>
            <w:tcW w:w="2552" w:type="dxa"/>
            <w:vAlign w:val="center"/>
          </w:tcPr>
          <w:p w14:paraId="7CE204E2"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Francis James Scott</w:t>
            </w:r>
          </w:p>
        </w:tc>
        <w:tc>
          <w:tcPr>
            <w:tcW w:w="1276" w:type="dxa"/>
            <w:vAlign w:val="center"/>
          </w:tcPr>
          <w:p w14:paraId="05E257C7"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1865</w:t>
            </w:r>
          </w:p>
        </w:tc>
        <w:tc>
          <w:tcPr>
            <w:tcW w:w="2976" w:type="dxa"/>
            <w:vAlign w:val="center"/>
          </w:tcPr>
          <w:p w14:paraId="574E2291"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Investment in Caribbean estate that likely included enslaved people</w:t>
            </w:r>
          </w:p>
        </w:tc>
      </w:tr>
      <w:tr w:rsidR="00773F7C" w:rsidRPr="0017357E" w14:paraId="3CAB9F65" w14:textId="77777777" w:rsidTr="00D85CD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2F2A5ED" w14:textId="77777777" w:rsidR="00773F7C" w:rsidRPr="0017357E" w:rsidRDefault="00773F7C" w:rsidP="00D85CDC">
            <w:pPr>
              <w:spacing w:line="259" w:lineRule="auto"/>
              <w:rPr>
                <w:rFonts w:ascii="Calibri" w:eastAsia="Calibri" w:hAnsi="Calibri" w:cs="Calibri"/>
                <w:b w:val="0"/>
                <w:bCs w:val="0"/>
                <w:sz w:val="24"/>
                <w:szCs w:val="24"/>
              </w:rPr>
            </w:pPr>
            <w:r w:rsidRPr="0017357E">
              <w:rPr>
                <w:rFonts w:ascii="Calibri" w:eastAsia="Calibri" w:hAnsi="Calibri" w:cs="Calibri"/>
                <w:b w:val="0"/>
                <w:bCs w:val="0"/>
                <w:sz w:val="24"/>
                <w:szCs w:val="24"/>
              </w:rPr>
              <w:t>Chair of Engineering</w:t>
            </w:r>
          </w:p>
        </w:tc>
        <w:tc>
          <w:tcPr>
            <w:tcW w:w="2552" w:type="dxa"/>
            <w:vAlign w:val="center"/>
          </w:tcPr>
          <w:p w14:paraId="21D44C64"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Sir David Baxter</w:t>
            </w:r>
          </w:p>
        </w:tc>
        <w:tc>
          <w:tcPr>
            <w:tcW w:w="1276" w:type="dxa"/>
            <w:vAlign w:val="center"/>
          </w:tcPr>
          <w:p w14:paraId="68836341"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1868</w:t>
            </w:r>
          </w:p>
        </w:tc>
        <w:tc>
          <w:tcPr>
            <w:tcW w:w="2976" w:type="dxa"/>
            <w:vAlign w:val="center"/>
          </w:tcPr>
          <w:p w14:paraId="1383A708"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Slavery-associated Atlantic trade (linen)</w:t>
            </w:r>
          </w:p>
        </w:tc>
      </w:tr>
      <w:tr w:rsidR="00773F7C" w:rsidRPr="0017357E" w14:paraId="1C44643D" w14:textId="77777777" w:rsidTr="00D85CDC">
        <w:trPr>
          <w:trHeight w:val="5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F0EB618" w14:textId="77777777" w:rsidR="00773F7C" w:rsidRPr="0017357E" w:rsidRDefault="00773F7C" w:rsidP="00D85CDC">
            <w:pPr>
              <w:spacing w:line="259" w:lineRule="auto"/>
              <w:rPr>
                <w:rFonts w:ascii="Calibri" w:eastAsia="Calibri" w:hAnsi="Calibri" w:cs="Calibri"/>
                <w:b w:val="0"/>
                <w:bCs w:val="0"/>
                <w:sz w:val="24"/>
                <w:szCs w:val="24"/>
              </w:rPr>
            </w:pPr>
            <w:r w:rsidRPr="0017357E">
              <w:rPr>
                <w:rFonts w:ascii="Calibri" w:eastAsia="Calibri" w:hAnsi="Calibri" w:cs="Calibri"/>
                <w:b w:val="0"/>
                <w:bCs w:val="0"/>
                <w:sz w:val="24"/>
                <w:szCs w:val="24"/>
              </w:rPr>
              <w:t>Misses Baxter of Balavies Scholarship</w:t>
            </w:r>
          </w:p>
        </w:tc>
        <w:tc>
          <w:tcPr>
            <w:tcW w:w="2552" w:type="dxa"/>
            <w:vAlign w:val="center"/>
          </w:tcPr>
          <w:p w14:paraId="126C6660"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Mary Ann Baxter</w:t>
            </w:r>
          </w:p>
        </w:tc>
        <w:tc>
          <w:tcPr>
            <w:tcW w:w="1276" w:type="dxa"/>
            <w:vAlign w:val="center"/>
          </w:tcPr>
          <w:p w14:paraId="63A0386E"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1869</w:t>
            </w:r>
          </w:p>
        </w:tc>
        <w:tc>
          <w:tcPr>
            <w:tcW w:w="2976" w:type="dxa"/>
            <w:vAlign w:val="center"/>
          </w:tcPr>
          <w:p w14:paraId="14A1BFB6"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Inherited wealth from slavery-associated Atlantic trade (linen)</w:t>
            </w:r>
          </w:p>
        </w:tc>
      </w:tr>
      <w:tr w:rsidR="00773F7C" w:rsidRPr="0017357E" w14:paraId="1CB3F62F" w14:textId="77777777" w:rsidTr="00D85CD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06C637B4" w14:textId="77777777" w:rsidR="00773F7C" w:rsidRPr="0017357E" w:rsidRDefault="00773F7C" w:rsidP="00D85CDC">
            <w:pPr>
              <w:spacing w:line="259" w:lineRule="auto"/>
              <w:rPr>
                <w:rFonts w:ascii="Calibri" w:eastAsia="Calibri" w:hAnsi="Calibri" w:cs="Calibri"/>
                <w:b w:val="0"/>
                <w:bCs w:val="0"/>
                <w:sz w:val="24"/>
                <w:szCs w:val="24"/>
              </w:rPr>
            </w:pPr>
            <w:r w:rsidRPr="0017357E">
              <w:rPr>
                <w:rFonts w:ascii="Calibri" w:eastAsia="Calibri" w:hAnsi="Calibri" w:cs="Calibri"/>
                <w:b w:val="0"/>
                <w:bCs w:val="0"/>
                <w:sz w:val="24"/>
                <w:szCs w:val="24"/>
              </w:rPr>
              <w:t xml:space="preserve">Baxter Salary Fund </w:t>
            </w:r>
          </w:p>
        </w:tc>
        <w:tc>
          <w:tcPr>
            <w:tcW w:w="2552" w:type="dxa"/>
            <w:vAlign w:val="center"/>
          </w:tcPr>
          <w:p w14:paraId="7D53A910"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Sir David Baxter</w:t>
            </w:r>
          </w:p>
        </w:tc>
        <w:tc>
          <w:tcPr>
            <w:tcW w:w="1276" w:type="dxa"/>
            <w:vAlign w:val="center"/>
          </w:tcPr>
          <w:p w14:paraId="0D89BF41"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1872</w:t>
            </w:r>
          </w:p>
        </w:tc>
        <w:tc>
          <w:tcPr>
            <w:tcW w:w="2976" w:type="dxa"/>
            <w:vAlign w:val="center"/>
          </w:tcPr>
          <w:p w14:paraId="787ADE6D"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Slavery-associated Atlantic trade (linen)</w:t>
            </w:r>
          </w:p>
        </w:tc>
      </w:tr>
      <w:tr w:rsidR="00773F7C" w:rsidRPr="0017357E" w14:paraId="194703CF" w14:textId="77777777" w:rsidTr="00D85CDC">
        <w:trPr>
          <w:trHeight w:val="605"/>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3EF822D8" w14:textId="77777777" w:rsidR="00773F7C" w:rsidRPr="0017357E" w:rsidRDefault="00773F7C" w:rsidP="00D85CDC">
            <w:pPr>
              <w:spacing w:line="259" w:lineRule="auto"/>
              <w:rPr>
                <w:rFonts w:ascii="Calibri" w:eastAsia="Calibri" w:hAnsi="Calibri" w:cs="Calibri"/>
                <w:b w:val="0"/>
                <w:bCs w:val="0"/>
                <w:sz w:val="24"/>
                <w:szCs w:val="24"/>
              </w:rPr>
            </w:pPr>
            <w:r w:rsidRPr="0017357E">
              <w:rPr>
                <w:rFonts w:ascii="Calibri" w:eastAsia="Calibri" w:hAnsi="Calibri" w:cs="Calibri"/>
                <w:b w:val="0"/>
                <w:bCs w:val="0"/>
                <w:sz w:val="24"/>
                <w:szCs w:val="24"/>
              </w:rPr>
              <w:t>John Edward Baxter Scholarships</w:t>
            </w:r>
          </w:p>
        </w:tc>
        <w:tc>
          <w:tcPr>
            <w:tcW w:w="2552" w:type="dxa"/>
            <w:vAlign w:val="center"/>
          </w:tcPr>
          <w:p w14:paraId="505D9408"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John Edward Baxter</w:t>
            </w:r>
          </w:p>
        </w:tc>
        <w:tc>
          <w:tcPr>
            <w:tcW w:w="1276" w:type="dxa"/>
            <w:vAlign w:val="center"/>
          </w:tcPr>
          <w:p w14:paraId="3104CF66"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1876</w:t>
            </w:r>
          </w:p>
        </w:tc>
        <w:tc>
          <w:tcPr>
            <w:tcW w:w="2976" w:type="dxa"/>
            <w:vAlign w:val="center"/>
          </w:tcPr>
          <w:p w14:paraId="20954363"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Slavery-associated Atlantic trade (linen)</w:t>
            </w:r>
          </w:p>
        </w:tc>
      </w:tr>
      <w:tr w:rsidR="00773F7C" w:rsidRPr="0017357E" w14:paraId="0B261576" w14:textId="77777777" w:rsidTr="00D85CDC">
        <w:trPr>
          <w:cnfStyle w:val="000000100000" w:firstRow="0" w:lastRow="0" w:firstColumn="0" w:lastColumn="0" w:oddVBand="0" w:evenVBand="0" w:oddHBand="1" w:evenHBand="0"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5469E3AE" w14:textId="77777777" w:rsidR="00773F7C" w:rsidRPr="0017357E" w:rsidRDefault="00773F7C" w:rsidP="00D85CDC">
            <w:pPr>
              <w:spacing w:line="259" w:lineRule="auto"/>
              <w:rPr>
                <w:rFonts w:ascii="Calibri" w:eastAsia="Calibri" w:hAnsi="Calibri" w:cs="Calibri"/>
                <w:b w:val="0"/>
                <w:bCs w:val="0"/>
                <w:sz w:val="24"/>
                <w:szCs w:val="24"/>
              </w:rPr>
            </w:pPr>
            <w:r w:rsidRPr="0017357E">
              <w:rPr>
                <w:rFonts w:ascii="Calibri" w:eastAsia="Calibri" w:hAnsi="Calibri" w:cs="Calibri"/>
                <w:b w:val="0"/>
                <w:bCs w:val="0"/>
                <w:sz w:val="24"/>
                <w:szCs w:val="24"/>
              </w:rPr>
              <w:t>Steven of Bellahouston Scholarship</w:t>
            </w:r>
          </w:p>
        </w:tc>
        <w:tc>
          <w:tcPr>
            <w:tcW w:w="2552" w:type="dxa"/>
            <w:vAlign w:val="center"/>
          </w:tcPr>
          <w:p w14:paraId="7D506EFC"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Elizabeth and Grace Steven</w:t>
            </w:r>
          </w:p>
        </w:tc>
        <w:tc>
          <w:tcPr>
            <w:tcW w:w="1276" w:type="dxa"/>
            <w:vAlign w:val="center"/>
          </w:tcPr>
          <w:p w14:paraId="11BEC584"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1882</w:t>
            </w:r>
          </w:p>
        </w:tc>
        <w:tc>
          <w:tcPr>
            <w:tcW w:w="2976" w:type="dxa"/>
            <w:vAlign w:val="center"/>
          </w:tcPr>
          <w:p w14:paraId="5EAC181E"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Inherited wealth from slavery-associated Atlantic trade (sugar)</w:t>
            </w:r>
          </w:p>
        </w:tc>
      </w:tr>
      <w:tr w:rsidR="00773F7C" w:rsidRPr="0017357E" w14:paraId="5284CE16" w14:textId="77777777" w:rsidTr="00D85CDC">
        <w:trPr>
          <w:trHeight w:val="5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F120C2F" w14:textId="77777777" w:rsidR="00773F7C" w:rsidRPr="0017357E" w:rsidRDefault="00773F7C" w:rsidP="00D85CDC">
            <w:pPr>
              <w:spacing w:line="259" w:lineRule="auto"/>
              <w:rPr>
                <w:rFonts w:ascii="Calibri" w:eastAsia="Calibri" w:hAnsi="Calibri" w:cs="Calibri"/>
                <w:b w:val="0"/>
                <w:bCs w:val="0"/>
                <w:sz w:val="24"/>
                <w:szCs w:val="24"/>
              </w:rPr>
            </w:pPr>
            <w:r w:rsidRPr="0017357E">
              <w:rPr>
                <w:rFonts w:ascii="Calibri" w:eastAsia="Calibri" w:hAnsi="Calibri" w:cs="Calibri"/>
                <w:b w:val="0"/>
                <w:bCs w:val="0"/>
                <w:sz w:val="24"/>
                <w:szCs w:val="24"/>
              </w:rPr>
              <w:t>Buchanan Scholarship</w:t>
            </w:r>
          </w:p>
        </w:tc>
        <w:tc>
          <w:tcPr>
            <w:tcW w:w="2552" w:type="dxa"/>
            <w:vAlign w:val="center"/>
          </w:tcPr>
          <w:p w14:paraId="026A4962"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Jane Buchanan</w:t>
            </w:r>
          </w:p>
        </w:tc>
        <w:tc>
          <w:tcPr>
            <w:tcW w:w="1276" w:type="dxa"/>
            <w:vAlign w:val="center"/>
          </w:tcPr>
          <w:p w14:paraId="428DF411"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1883</w:t>
            </w:r>
          </w:p>
        </w:tc>
        <w:tc>
          <w:tcPr>
            <w:tcW w:w="2976" w:type="dxa"/>
            <w:vAlign w:val="center"/>
          </w:tcPr>
          <w:p w14:paraId="5AD9043F"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Inherited wealth from slavery-associated Atlantic trade (sugar)</w:t>
            </w:r>
          </w:p>
        </w:tc>
      </w:tr>
      <w:tr w:rsidR="00773F7C" w:rsidRPr="0017357E" w14:paraId="14A0B306" w14:textId="77777777" w:rsidTr="00D85CD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BE2FCBB" w14:textId="77777777" w:rsidR="00773F7C" w:rsidRPr="0017357E" w:rsidRDefault="00773F7C" w:rsidP="00D85CDC">
            <w:pPr>
              <w:spacing w:line="259" w:lineRule="auto"/>
              <w:rPr>
                <w:rFonts w:ascii="Calibri" w:eastAsia="Calibri" w:hAnsi="Calibri" w:cs="Calibri"/>
                <w:b w:val="0"/>
                <w:bCs w:val="0"/>
                <w:sz w:val="24"/>
                <w:szCs w:val="24"/>
              </w:rPr>
            </w:pPr>
            <w:r w:rsidRPr="0017357E">
              <w:rPr>
                <w:rFonts w:ascii="Calibri" w:eastAsia="Calibri" w:hAnsi="Calibri" w:cs="Calibri"/>
                <w:b w:val="0"/>
                <w:bCs w:val="0"/>
                <w:sz w:val="24"/>
                <w:szCs w:val="24"/>
              </w:rPr>
              <w:t>Gunning Victoria Jubilee Medical and Divinity Prizes</w:t>
            </w:r>
          </w:p>
        </w:tc>
        <w:tc>
          <w:tcPr>
            <w:tcW w:w="2552" w:type="dxa"/>
            <w:vAlign w:val="center"/>
          </w:tcPr>
          <w:p w14:paraId="5E066A7F"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Robert Halliday Gunning</w:t>
            </w:r>
          </w:p>
        </w:tc>
        <w:tc>
          <w:tcPr>
            <w:tcW w:w="1276" w:type="dxa"/>
            <w:vAlign w:val="center"/>
          </w:tcPr>
          <w:p w14:paraId="37307ECD"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eastAsia="Calibri" w:hAnsi="Calibri" w:cs="Calibri"/>
                <w:sz w:val="24"/>
                <w:szCs w:val="24"/>
              </w:rPr>
              <w:t>1890</w:t>
            </w:r>
          </w:p>
        </w:tc>
        <w:tc>
          <w:tcPr>
            <w:tcW w:w="2976" w:type="dxa"/>
            <w:vAlign w:val="center"/>
          </w:tcPr>
          <w:p w14:paraId="5A7D5131"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0017357E">
              <w:rPr>
                <w:rFonts w:ascii="Calibri" w:hAnsi="Calibri" w:cs="Calibri"/>
                <w:sz w:val="24"/>
                <w:szCs w:val="24"/>
              </w:rPr>
              <w:t>Slavery-associated Atlantic trade (gold) and owner of enslaved people in Brazil</w:t>
            </w:r>
          </w:p>
        </w:tc>
      </w:tr>
    </w:tbl>
    <w:p w14:paraId="7400A812" w14:textId="77777777" w:rsidR="00773F7C" w:rsidRPr="0017357E" w:rsidRDefault="00773F7C" w:rsidP="00A15CDE">
      <w:pPr>
        <w:spacing w:line="259" w:lineRule="auto"/>
        <w:jc w:val="both"/>
        <w:rPr>
          <w:rFonts w:ascii="Calibri" w:eastAsia="Calibri" w:hAnsi="Calibri" w:cs="Calibri"/>
        </w:rPr>
      </w:pPr>
    </w:p>
    <w:p w14:paraId="583CB1E6" w14:textId="0FECAD4E" w:rsidR="00773F7C" w:rsidRPr="00D85CDC" w:rsidRDefault="00D85CDC" w:rsidP="00C43ECF">
      <w:pPr>
        <w:pStyle w:val="Heading5"/>
        <w:spacing w:before="0" w:after="0" w:line="259" w:lineRule="auto"/>
        <w:rPr>
          <w:rFonts w:ascii="Calibri" w:hAnsi="Calibri" w:cs="Calibri"/>
        </w:rPr>
      </w:pPr>
      <w:r w:rsidRPr="00D85CDC">
        <w:rPr>
          <w:rFonts w:ascii="Calibri" w:hAnsi="Calibri" w:cs="Calibri"/>
          <w:i w:val="0"/>
          <w:u w:val="single"/>
        </w:rPr>
        <w:t>Table 2</w:t>
      </w:r>
      <w:r w:rsidRPr="00D85CDC">
        <w:rPr>
          <w:rFonts w:ascii="Calibri" w:hAnsi="Calibri" w:cs="Calibri"/>
          <w:i w:val="0"/>
        </w:rPr>
        <w:t xml:space="preserve">: </w:t>
      </w:r>
      <w:r w:rsidR="00773F7C" w:rsidRPr="00D85CDC">
        <w:rPr>
          <w:rFonts w:ascii="Calibri" w:hAnsi="Calibri" w:cs="Calibri"/>
          <w:i w:val="0"/>
        </w:rPr>
        <w:t>Endowments with Links to Colonialism</w:t>
      </w:r>
      <w:r w:rsidR="00773F7C" w:rsidRPr="00D85CDC">
        <w:rPr>
          <w:rFonts w:ascii="Calibri" w:hAnsi="Calibri" w:cs="Calibri"/>
        </w:rPr>
        <w:br/>
      </w:r>
    </w:p>
    <w:tbl>
      <w:tblPr>
        <w:tblStyle w:val="PlainTable2"/>
        <w:tblW w:w="5001" w:type="pct"/>
        <w:jc w:val="center"/>
        <w:tblLook w:val="04A0" w:firstRow="1" w:lastRow="0" w:firstColumn="1" w:lastColumn="0" w:noHBand="0" w:noVBand="1"/>
      </w:tblPr>
      <w:tblGrid>
        <w:gridCol w:w="3258"/>
        <w:gridCol w:w="2696"/>
        <w:gridCol w:w="1536"/>
        <w:gridCol w:w="1532"/>
      </w:tblGrid>
      <w:tr w:rsidR="00773F7C" w:rsidRPr="0017357E" w14:paraId="795A5F4F" w14:textId="77777777" w:rsidTr="006E2DA4">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6" w:type="pct"/>
          </w:tcPr>
          <w:p w14:paraId="2B81AC08" w14:textId="77777777" w:rsidR="00773F7C" w:rsidRPr="0017357E" w:rsidRDefault="00773F7C" w:rsidP="006E2DA4">
            <w:pPr>
              <w:spacing w:line="259" w:lineRule="auto"/>
              <w:jc w:val="both"/>
              <w:rPr>
                <w:rFonts w:ascii="Calibri" w:hAnsi="Calibri" w:cs="Calibri"/>
                <w:sz w:val="24"/>
                <w:szCs w:val="24"/>
              </w:rPr>
            </w:pPr>
            <w:r w:rsidRPr="0017357E">
              <w:rPr>
                <w:rFonts w:ascii="Calibri" w:hAnsi="Calibri" w:cs="Calibri"/>
                <w:sz w:val="24"/>
                <w:szCs w:val="24"/>
              </w:rPr>
              <w:t>BENEFACTION</w:t>
            </w:r>
          </w:p>
        </w:tc>
        <w:tc>
          <w:tcPr>
            <w:tcW w:w="1494" w:type="pct"/>
          </w:tcPr>
          <w:p w14:paraId="28B182D4" w14:textId="77777777" w:rsidR="00773F7C" w:rsidRPr="0017357E" w:rsidRDefault="00773F7C" w:rsidP="006E2DA4">
            <w:pPr>
              <w:spacing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BENEFACTOR</w:t>
            </w:r>
          </w:p>
        </w:tc>
        <w:tc>
          <w:tcPr>
            <w:tcW w:w="851" w:type="pct"/>
          </w:tcPr>
          <w:p w14:paraId="3CF4C347" w14:textId="77777777" w:rsidR="00773F7C" w:rsidRPr="0017357E" w:rsidRDefault="00773F7C" w:rsidP="006E2DA4">
            <w:pPr>
              <w:spacing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DATE</w:t>
            </w:r>
          </w:p>
        </w:tc>
        <w:tc>
          <w:tcPr>
            <w:tcW w:w="849" w:type="pct"/>
          </w:tcPr>
          <w:p w14:paraId="14F4407B" w14:textId="77777777" w:rsidR="00773F7C" w:rsidRPr="0017357E" w:rsidRDefault="00773F7C" w:rsidP="006E2DA4">
            <w:pPr>
              <w:spacing w:line="259" w:lineRule="auto"/>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PLACE</w:t>
            </w:r>
          </w:p>
        </w:tc>
      </w:tr>
      <w:tr w:rsidR="00773F7C" w:rsidRPr="0017357E" w14:paraId="77CF0284" w14:textId="77777777" w:rsidTr="006E2DA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6" w:type="pct"/>
            <w:vAlign w:val="center"/>
          </w:tcPr>
          <w:p w14:paraId="1B07557C" w14:textId="77777777" w:rsidR="00773F7C" w:rsidRPr="0017357E" w:rsidRDefault="00773F7C" w:rsidP="00D85CDC">
            <w:pPr>
              <w:spacing w:line="259" w:lineRule="auto"/>
              <w:rPr>
                <w:rFonts w:ascii="Calibri" w:hAnsi="Calibri" w:cs="Calibri"/>
                <w:b w:val="0"/>
                <w:bCs w:val="0"/>
                <w:sz w:val="24"/>
                <w:szCs w:val="24"/>
              </w:rPr>
            </w:pPr>
            <w:r w:rsidRPr="0017357E">
              <w:rPr>
                <w:rFonts w:ascii="Calibri" w:hAnsi="Calibri" w:cs="Calibri"/>
                <w:b w:val="0"/>
                <w:bCs w:val="0"/>
                <w:sz w:val="24"/>
                <w:szCs w:val="24"/>
              </w:rPr>
              <w:t>Macpherson Bursary</w:t>
            </w:r>
          </w:p>
        </w:tc>
        <w:tc>
          <w:tcPr>
            <w:tcW w:w="1494" w:type="pct"/>
            <w:vAlign w:val="center"/>
          </w:tcPr>
          <w:p w14:paraId="03672C39"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Sir John Macpherson</w:t>
            </w:r>
          </w:p>
        </w:tc>
        <w:tc>
          <w:tcPr>
            <w:tcW w:w="851" w:type="pct"/>
            <w:vAlign w:val="center"/>
          </w:tcPr>
          <w:p w14:paraId="281846B3"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1817</w:t>
            </w:r>
          </w:p>
        </w:tc>
        <w:tc>
          <w:tcPr>
            <w:tcW w:w="849" w:type="pct"/>
            <w:vAlign w:val="center"/>
          </w:tcPr>
          <w:p w14:paraId="465CF926"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India</w:t>
            </w:r>
          </w:p>
        </w:tc>
      </w:tr>
      <w:tr w:rsidR="00773F7C" w:rsidRPr="0017357E" w14:paraId="36E792B3" w14:textId="77777777" w:rsidTr="006E2DA4">
        <w:trPr>
          <w:trHeight w:val="20"/>
          <w:jc w:val="center"/>
        </w:trPr>
        <w:tc>
          <w:tcPr>
            <w:cnfStyle w:val="001000000000" w:firstRow="0" w:lastRow="0" w:firstColumn="1" w:lastColumn="0" w:oddVBand="0" w:evenVBand="0" w:oddHBand="0" w:evenHBand="0" w:firstRowFirstColumn="0" w:firstRowLastColumn="0" w:lastRowFirstColumn="0" w:lastRowLastColumn="0"/>
            <w:tcW w:w="1806" w:type="pct"/>
            <w:vAlign w:val="center"/>
          </w:tcPr>
          <w:p w14:paraId="5BA06861" w14:textId="77777777" w:rsidR="00773F7C" w:rsidRPr="0017357E" w:rsidRDefault="00773F7C" w:rsidP="00D85CDC">
            <w:pPr>
              <w:spacing w:line="259" w:lineRule="auto"/>
              <w:rPr>
                <w:rFonts w:ascii="Calibri" w:hAnsi="Calibri" w:cs="Calibri"/>
                <w:b w:val="0"/>
                <w:bCs w:val="0"/>
                <w:sz w:val="24"/>
                <w:szCs w:val="24"/>
              </w:rPr>
            </w:pPr>
            <w:r w:rsidRPr="0017357E">
              <w:rPr>
                <w:rFonts w:ascii="Calibri" w:hAnsi="Calibri" w:cs="Calibri"/>
                <w:b w:val="0"/>
                <w:bCs w:val="0"/>
                <w:sz w:val="24"/>
                <w:szCs w:val="24"/>
              </w:rPr>
              <w:t>Sanskrit Chair</w:t>
            </w:r>
          </w:p>
        </w:tc>
        <w:tc>
          <w:tcPr>
            <w:tcW w:w="1494" w:type="pct"/>
            <w:vAlign w:val="center"/>
          </w:tcPr>
          <w:p w14:paraId="33D136C4"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John Muir</w:t>
            </w:r>
          </w:p>
        </w:tc>
        <w:tc>
          <w:tcPr>
            <w:tcW w:w="851" w:type="pct"/>
            <w:vAlign w:val="center"/>
          </w:tcPr>
          <w:p w14:paraId="7C2EDBC2"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1863</w:t>
            </w:r>
          </w:p>
        </w:tc>
        <w:tc>
          <w:tcPr>
            <w:tcW w:w="849" w:type="pct"/>
            <w:vAlign w:val="center"/>
          </w:tcPr>
          <w:p w14:paraId="2CB1AA86"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India</w:t>
            </w:r>
          </w:p>
        </w:tc>
      </w:tr>
      <w:tr w:rsidR="00773F7C" w:rsidRPr="0017357E" w14:paraId="762C7142" w14:textId="77777777" w:rsidTr="006E2DA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6" w:type="pct"/>
            <w:vAlign w:val="center"/>
          </w:tcPr>
          <w:p w14:paraId="6CF3A375" w14:textId="77777777" w:rsidR="00773F7C" w:rsidRPr="0017357E" w:rsidRDefault="00773F7C" w:rsidP="00D85CDC">
            <w:pPr>
              <w:spacing w:line="259" w:lineRule="auto"/>
              <w:rPr>
                <w:rFonts w:ascii="Calibri" w:hAnsi="Calibri" w:cs="Calibri"/>
                <w:b w:val="0"/>
                <w:bCs w:val="0"/>
                <w:sz w:val="24"/>
                <w:szCs w:val="24"/>
              </w:rPr>
            </w:pPr>
            <w:r w:rsidRPr="0017357E">
              <w:rPr>
                <w:rFonts w:ascii="Calibri" w:hAnsi="Calibri" w:cs="Calibri"/>
                <w:b w:val="0"/>
                <w:bCs w:val="0"/>
                <w:sz w:val="24"/>
                <w:szCs w:val="24"/>
              </w:rPr>
              <w:t>Abercrombie Bursary</w:t>
            </w:r>
          </w:p>
        </w:tc>
        <w:tc>
          <w:tcPr>
            <w:tcW w:w="1494" w:type="pct"/>
            <w:vAlign w:val="center"/>
          </w:tcPr>
          <w:p w14:paraId="59D2B5D0"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Dr James Abercrombie Sr</w:t>
            </w:r>
          </w:p>
        </w:tc>
        <w:tc>
          <w:tcPr>
            <w:tcW w:w="851" w:type="pct"/>
            <w:vAlign w:val="center"/>
          </w:tcPr>
          <w:p w14:paraId="0395E593"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1864</w:t>
            </w:r>
          </w:p>
        </w:tc>
        <w:tc>
          <w:tcPr>
            <w:tcW w:w="849" w:type="pct"/>
            <w:vAlign w:val="center"/>
          </w:tcPr>
          <w:p w14:paraId="2894F94B"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South Africa</w:t>
            </w:r>
          </w:p>
        </w:tc>
      </w:tr>
      <w:tr w:rsidR="00773F7C" w:rsidRPr="0017357E" w14:paraId="096C3CDF" w14:textId="77777777" w:rsidTr="006E2DA4">
        <w:trPr>
          <w:trHeight w:val="20"/>
          <w:jc w:val="center"/>
        </w:trPr>
        <w:tc>
          <w:tcPr>
            <w:cnfStyle w:val="001000000000" w:firstRow="0" w:lastRow="0" w:firstColumn="1" w:lastColumn="0" w:oddVBand="0" w:evenVBand="0" w:oddHBand="0" w:evenHBand="0" w:firstRowFirstColumn="0" w:firstRowLastColumn="0" w:lastRowFirstColumn="0" w:lastRowLastColumn="0"/>
            <w:tcW w:w="1806" w:type="pct"/>
            <w:vAlign w:val="center"/>
          </w:tcPr>
          <w:p w14:paraId="2201E7F7" w14:textId="77777777" w:rsidR="00773F7C" w:rsidRPr="0017357E" w:rsidRDefault="00773F7C" w:rsidP="00D85CDC">
            <w:pPr>
              <w:spacing w:line="259" w:lineRule="auto"/>
              <w:rPr>
                <w:rFonts w:ascii="Calibri" w:hAnsi="Calibri" w:cs="Calibri"/>
                <w:b w:val="0"/>
                <w:bCs w:val="0"/>
                <w:sz w:val="24"/>
                <w:szCs w:val="24"/>
              </w:rPr>
            </w:pPr>
            <w:r w:rsidRPr="0017357E">
              <w:rPr>
                <w:rFonts w:ascii="Calibri" w:hAnsi="Calibri" w:cs="Calibri"/>
                <w:b w:val="0"/>
                <w:bCs w:val="0"/>
                <w:sz w:val="24"/>
                <w:szCs w:val="24"/>
              </w:rPr>
              <w:t>Bruce of Grangehill and Falkland Scholarships and Bursaries</w:t>
            </w:r>
          </w:p>
        </w:tc>
        <w:tc>
          <w:tcPr>
            <w:tcW w:w="1494" w:type="pct"/>
            <w:vAlign w:val="center"/>
          </w:tcPr>
          <w:p w14:paraId="3E2CB34A"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Margaret Stuart Tyndall Bruce</w:t>
            </w:r>
          </w:p>
        </w:tc>
        <w:tc>
          <w:tcPr>
            <w:tcW w:w="851" w:type="pct"/>
            <w:vAlign w:val="center"/>
          </w:tcPr>
          <w:p w14:paraId="53E6FF70"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1865</w:t>
            </w:r>
          </w:p>
        </w:tc>
        <w:tc>
          <w:tcPr>
            <w:tcW w:w="849" w:type="pct"/>
            <w:vAlign w:val="center"/>
          </w:tcPr>
          <w:p w14:paraId="5FE2588F"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India</w:t>
            </w:r>
          </w:p>
        </w:tc>
      </w:tr>
      <w:tr w:rsidR="00773F7C" w:rsidRPr="0017357E" w14:paraId="332329AA" w14:textId="77777777" w:rsidTr="006E2DA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6" w:type="pct"/>
            <w:vAlign w:val="center"/>
          </w:tcPr>
          <w:p w14:paraId="1867DF1A" w14:textId="77777777" w:rsidR="00773F7C" w:rsidRPr="0017357E" w:rsidRDefault="00773F7C" w:rsidP="00D85CDC">
            <w:pPr>
              <w:spacing w:line="259" w:lineRule="auto"/>
              <w:rPr>
                <w:rFonts w:ascii="Calibri" w:hAnsi="Calibri" w:cs="Calibri"/>
                <w:b w:val="0"/>
                <w:bCs w:val="0"/>
                <w:sz w:val="24"/>
                <w:szCs w:val="24"/>
              </w:rPr>
            </w:pPr>
            <w:r w:rsidRPr="0017357E">
              <w:rPr>
                <w:rFonts w:ascii="Calibri" w:hAnsi="Calibri" w:cs="Calibri"/>
                <w:b w:val="0"/>
                <w:bCs w:val="0"/>
                <w:sz w:val="24"/>
                <w:szCs w:val="24"/>
              </w:rPr>
              <w:t>Guthrie Fellowship</w:t>
            </w:r>
          </w:p>
        </w:tc>
        <w:tc>
          <w:tcPr>
            <w:tcW w:w="1494" w:type="pct"/>
            <w:vAlign w:val="center"/>
          </w:tcPr>
          <w:p w14:paraId="63E6A2BD"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James Guthrie</w:t>
            </w:r>
          </w:p>
        </w:tc>
        <w:tc>
          <w:tcPr>
            <w:tcW w:w="851" w:type="pct"/>
            <w:vAlign w:val="center"/>
          </w:tcPr>
          <w:p w14:paraId="21FE12A4"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1865</w:t>
            </w:r>
          </w:p>
        </w:tc>
        <w:tc>
          <w:tcPr>
            <w:tcW w:w="849" w:type="pct"/>
            <w:vAlign w:val="center"/>
          </w:tcPr>
          <w:p w14:paraId="2B1DD939"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Singapore</w:t>
            </w:r>
          </w:p>
        </w:tc>
      </w:tr>
      <w:tr w:rsidR="00773F7C" w:rsidRPr="0017357E" w14:paraId="47B3A373" w14:textId="77777777" w:rsidTr="006E2DA4">
        <w:trPr>
          <w:trHeight w:val="20"/>
          <w:jc w:val="center"/>
        </w:trPr>
        <w:tc>
          <w:tcPr>
            <w:cnfStyle w:val="001000000000" w:firstRow="0" w:lastRow="0" w:firstColumn="1" w:lastColumn="0" w:oddVBand="0" w:evenVBand="0" w:oddHBand="0" w:evenHBand="0" w:firstRowFirstColumn="0" w:firstRowLastColumn="0" w:lastRowFirstColumn="0" w:lastRowLastColumn="0"/>
            <w:tcW w:w="1806" w:type="pct"/>
            <w:vAlign w:val="center"/>
          </w:tcPr>
          <w:p w14:paraId="67021CF2" w14:textId="77777777" w:rsidR="00773F7C" w:rsidRPr="0017357E" w:rsidRDefault="00773F7C" w:rsidP="00D85CDC">
            <w:pPr>
              <w:spacing w:line="259" w:lineRule="auto"/>
              <w:rPr>
                <w:rFonts w:ascii="Calibri" w:hAnsi="Calibri" w:cs="Calibri"/>
                <w:b w:val="0"/>
                <w:bCs w:val="0"/>
                <w:sz w:val="24"/>
                <w:szCs w:val="24"/>
              </w:rPr>
            </w:pPr>
            <w:r w:rsidRPr="0017357E">
              <w:rPr>
                <w:rFonts w:ascii="Calibri" w:hAnsi="Calibri" w:cs="Calibri"/>
                <w:b w:val="0"/>
                <w:bCs w:val="0"/>
                <w:sz w:val="24"/>
                <w:szCs w:val="24"/>
              </w:rPr>
              <w:t>Falconer Memorial Fellowship</w:t>
            </w:r>
          </w:p>
        </w:tc>
        <w:tc>
          <w:tcPr>
            <w:tcW w:w="1494" w:type="pct"/>
            <w:vAlign w:val="center"/>
          </w:tcPr>
          <w:p w14:paraId="571D66F9"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Multiple subscribers</w:t>
            </w:r>
          </w:p>
        </w:tc>
        <w:tc>
          <w:tcPr>
            <w:tcW w:w="851" w:type="pct"/>
            <w:vAlign w:val="center"/>
          </w:tcPr>
          <w:p w14:paraId="1E04505A"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1869</w:t>
            </w:r>
          </w:p>
        </w:tc>
        <w:tc>
          <w:tcPr>
            <w:tcW w:w="849" w:type="pct"/>
            <w:vAlign w:val="center"/>
          </w:tcPr>
          <w:p w14:paraId="268B43C5"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India</w:t>
            </w:r>
          </w:p>
        </w:tc>
      </w:tr>
      <w:tr w:rsidR="00773F7C" w:rsidRPr="0017357E" w14:paraId="0E52F3D5" w14:textId="77777777" w:rsidTr="006E2DA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6" w:type="pct"/>
            <w:vAlign w:val="center"/>
          </w:tcPr>
          <w:p w14:paraId="5192462C" w14:textId="77777777" w:rsidR="00773F7C" w:rsidRPr="0017357E" w:rsidRDefault="00773F7C" w:rsidP="00D85CDC">
            <w:pPr>
              <w:spacing w:line="259" w:lineRule="auto"/>
              <w:rPr>
                <w:rFonts w:ascii="Calibri" w:hAnsi="Calibri" w:cs="Calibri"/>
                <w:b w:val="0"/>
                <w:bCs w:val="0"/>
                <w:sz w:val="24"/>
                <w:szCs w:val="24"/>
              </w:rPr>
            </w:pPr>
            <w:r w:rsidRPr="0017357E">
              <w:rPr>
                <w:rFonts w:ascii="Calibri" w:hAnsi="Calibri" w:cs="Calibri"/>
                <w:b w:val="0"/>
                <w:bCs w:val="0"/>
                <w:sz w:val="24"/>
                <w:szCs w:val="24"/>
              </w:rPr>
              <w:t>Neil Arnott Prize for Experimental Physics</w:t>
            </w:r>
          </w:p>
        </w:tc>
        <w:tc>
          <w:tcPr>
            <w:tcW w:w="1494" w:type="pct"/>
            <w:vAlign w:val="center"/>
          </w:tcPr>
          <w:p w14:paraId="739AE631"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Dr Neil Arnott</w:t>
            </w:r>
          </w:p>
        </w:tc>
        <w:tc>
          <w:tcPr>
            <w:tcW w:w="851" w:type="pct"/>
            <w:vAlign w:val="center"/>
          </w:tcPr>
          <w:p w14:paraId="187DC856"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1869</w:t>
            </w:r>
          </w:p>
        </w:tc>
        <w:tc>
          <w:tcPr>
            <w:tcW w:w="849" w:type="pct"/>
            <w:vAlign w:val="center"/>
          </w:tcPr>
          <w:p w14:paraId="2C7B3953"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India</w:t>
            </w:r>
          </w:p>
        </w:tc>
      </w:tr>
      <w:tr w:rsidR="00773F7C" w:rsidRPr="0017357E" w14:paraId="3E939D18" w14:textId="77777777" w:rsidTr="006E2DA4">
        <w:trPr>
          <w:trHeight w:val="20"/>
          <w:jc w:val="center"/>
        </w:trPr>
        <w:tc>
          <w:tcPr>
            <w:cnfStyle w:val="001000000000" w:firstRow="0" w:lastRow="0" w:firstColumn="1" w:lastColumn="0" w:oddVBand="0" w:evenVBand="0" w:oddHBand="0" w:evenHBand="0" w:firstRowFirstColumn="0" w:firstRowLastColumn="0" w:lastRowFirstColumn="0" w:lastRowLastColumn="0"/>
            <w:tcW w:w="1806" w:type="pct"/>
            <w:vAlign w:val="center"/>
          </w:tcPr>
          <w:p w14:paraId="1F60DB38" w14:textId="77777777" w:rsidR="00773F7C" w:rsidRPr="0017357E" w:rsidRDefault="00773F7C" w:rsidP="00D85CDC">
            <w:pPr>
              <w:spacing w:line="259" w:lineRule="auto"/>
              <w:rPr>
                <w:rFonts w:ascii="Calibri" w:hAnsi="Calibri" w:cs="Calibri"/>
                <w:b w:val="0"/>
                <w:bCs w:val="0"/>
                <w:sz w:val="24"/>
                <w:szCs w:val="24"/>
              </w:rPr>
            </w:pPr>
            <w:r w:rsidRPr="0017357E">
              <w:rPr>
                <w:rFonts w:ascii="Calibri" w:hAnsi="Calibri" w:cs="Calibri"/>
                <w:b w:val="0"/>
                <w:bCs w:val="0"/>
                <w:sz w:val="24"/>
                <w:szCs w:val="24"/>
              </w:rPr>
              <w:t>Shaw Philosophical Fellowship</w:t>
            </w:r>
          </w:p>
        </w:tc>
        <w:tc>
          <w:tcPr>
            <w:tcW w:w="1494" w:type="pct"/>
            <w:vAlign w:val="center"/>
          </w:tcPr>
          <w:p w14:paraId="61C6A698"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Multiple subscribers</w:t>
            </w:r>
          </w:p>
        </w:tc>
        <w:tc>
          <w:tcPr>
            <w:tcW w:w="851" w:type="pct"/>
            <w:vAlign w:val="center"/>
          </w:tcPr>
          <w:p w14:paraId="1CF1F85A"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1869</w:t>
            </w:r>
          </w:p>
        </w:tc>
        <w:tc>
          <w:tcPr>
            <w:tcW w:w="849" w:type="pct"/>
            <w:vAlign w:val="center"/>
          </w:tcPr>
          <w:p w14:paraId="09D15417"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India</w:t>
            </w:r>
          </w:p>
        </w:tc>
      </w:tr>
      <w:tr w:rsidR="00773F7C" w:rsidRPr="0017357E" w14:paraId="2CA62D1A" w14:textId="77777777" w:rsidTr="006E2DA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6" w:type="pct"/>
            <w:vAlign w:val="center"/>
          </w:tcPr>
          <w:p w14:paraId="3FFE7809" w14:textId="77777777" w:rsidR="00773F7C" w:rsidRPr="0017357E" w:rsidRDefault="00773F7C" w:rsidP="00D85CDC">
            <w:pPr>
              <w:spacing w:line="259" w:lineRule="auto"/>
              <w:rPr>
                <w:rFonts w:ascii="Calibri" w:hAnsi="Calibri" w:cs="Calibri"/>
                <w:b w:val="0"/>
                <w:bCs w:val="0"/>
                <w:sz w:val="24"/>
                <w:szCs w:val="24"/>
              </w:rPr>
            </w:pPr>
            <w:r w:rsidRPr="0017357E">
              <w:rPr>
                <w:rFonts w:ascii="Calibri" w:hAnsi="Calibri" w:cs="Calibri"/>
                <w:b w:val="0"/>
                <w:bCs w:val="0"/>
                <w:sz w:val="24"/>
                <w:szCs w:val="24"/>
              </w:rPr>
              <w:t>Shaw Macfie Lang Fellowship</w:t>
            </w:r>
          </w:p>
        </w:tc>
        <w:tc>
          <w:tcPr>
            <w:tcW w:w="1494" w:type="pct"/>
            <w:vAlign w:val="center"/>
          </w:tcPr>
          <w:p w14:paraId="204FD4B4"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General William Lang</w:t>
            </w:r>
          </w:p>
        </w:tc>
        <w:tc>
          <w:tcPr>
            <w:tcW w:w="851" w:type="pct"/>
            <w:vAlign w:val="center"/>
          </w:tcPr>
          <w:p w14:paraId="319FB24B"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1870</w:t>
            </w:r>
          </w:p>
        </w:tc>
        <w:tc>
          <w:tcPr>
            <w:tcW w:w="849" w:type="pct"/>
            <w:vAlign w:val="center"/>
          </w:tcPr>
          <w:p w14:paraId="5687A3DD"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India</w:t>
            </w:r>
          </w:p>
        </w:tc>
      </w:tr>
      <w:tr w:rsidR="00773F7C" w:rsidRPr="0017357E" w14:paraId="42C80728" w14:textId="77777777" w:rsidTr="006E2DA4">
        <w:trPr>
          <w:trHeight w:val="20"/>
          <w:jc w:val="center"/>
        </w:trPr>
        <w:tc>
          <w:tcPr>
            <w:cnfStyle w:val="001000000000" w:firstRow="0" w:lastRow="0" w:firstColumn="1" w:lastColumn="0" w:oddVBand="0" w:evenVBand="0" w:oddHBand="0" w:evenHBand="0" w:firstRowFirstColumn="0" w:firstRowLastColumn="0" w:lastRowFirstColumn="0" w:lastRowLastColumn="0"/>
            <w:tcW w:w="1806" w:type="pct"/>
            <w:vAlign w:val="center"/>
          </w:tcPr>
          <w:p w14:paraId="7E1D13C9" w14:textId="77777777" w:rsidR="00773F7C" w:rsidRPr="0017357E" w:rsidRDefault="00773F7C" w:rsidP="00D85CDC">
            <w:pPr>
              <w:spacing w:line="259" w:lineRule="auto"/>
              <w:rPr>
                <w:rFonts w:ascii="Calibri" w:hAnsi="Calibri" w:cs="Calibri"/>
                <w:b w:val="0"/>
                <w:bCs w:val="0"/>
                <w:sz w:val="24"/>
                <w:szCs w:val="24"/>
              </w:rPr>
            </w:pPr>
            <w:r w:rsidRPr="0017357E">
              <w:rPr>
                <w:rFonts w:ascii="Calibri" w:hAnsi="Calibri" w:cs="Calibri"/>
                <w:b w:val="0"/>
                <w:bCs w:val="0"/>
                <w:sz w:val="24"/>
                <w:szCs w:val="24"/>
              </w:rPr>
              <w:lastRenderedPageBreak/>
              <w:t>Vans-Dunlop Scholarships</w:t>
            </w:r>
          </w:p>
        </w:tc>
        <w:tc>
          <w:tcPr>
            <w:tcW w:w="1494" w:type="pct"/>
            <w:vAlign w:val="center"/>
          </w:tcPr>
          <w:p w14:paraId="3C8D01F4"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Dr Andrew Vans Dunlop</w:t>
            </w:r>
          </w:p>
        </w:tc>
        <w:tc>
          <w:tcPr>
            <w:tcW w:w="851" w:type="pct"/>
            <w:vAlign w:val="center"/>
          </w:tcPr>
          <w:p w14:paraId="0890B1C1"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1880</w:t>
            </w:r>
          </w:p>
        </w:tc>
        <w:tc>
          <w:tcPr>
            <w:tcW w:w="849" w:type="pct"/>
            <w:vAlign w:val="center"/>
          </w:tcPr>
          <w:p w14:paraId="31FFF0DC"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India</w:t>
            </w:r>
          </w:p>
        </w:tc>
      </w:tr>
      <w:tr w:rsidR="00773F7C" w:rsidRPr="0017357E" w14:paraId="241D9BCC" w14:textId="77777777" w:rsidTr="006E2DA4">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806" w:type="pct"/>
            <w:vAlign w:val="center"/>
          </w:tcPr>
          <w:p w14:paraId="0EC75E34" w14:textId="77777777" w:rsidR="00773F7C" w:rsidRPr="0017357E" w:rsidRDefault="00773F7C" w:rsidP="00D85CDC">
            <w:pPr>
              <w:spacing w:line="259" w:lineRule="auto"/>
              <w:rPr>
                <w:rFonts w:ascii="Calibri" w:hAnsi="Calibri" w:cs="Calibri"/>
                <w:b w:val="0"/>
                <w:bCs w:val="0"/>
                <w:sz w:val="24"/>
                <w:szCs w:val="24"/>
              </w:rPr>
            </w:pPr>
            <w:r w:rsidRPr="0017357E">
              <w:rPr>
                <w:rFonts w:ascii="Calibri" w:hAnsi="Calibri" w:cs="Calibri"/>
                <w:b w:val="0"/>
                <w:bCs w:val="0"/>
                <w:sz w:val="24"/>
                <w:szCs w:val="24"/>
              </w:rPr>
              <w:t>Mouat Scholarships in Practice of Physic</w:t>
            </w:r>
          </w:p>
        </w:tc>
        <w:tc>
          <w:tcPr>
            <w:tcW w:w="1494" w:type="pct"/>
            <w:vAlign w:val="center"/>
          </w:tcPr>
          <w:p w14:paraId="1175AE1C" w14:textId="77777777" w:rsidR="00773F7C" w:rsidRPr="0017357E" w:rsidRDefault="00773F7C" w:rsidP="00D85CDC">
            <w:pPr>
              <w:spacing w:line="259"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Dr John Mouat</w:t>
            </w:r>
          </w:p>
        </w:tc>
        <w:tc>
          <w:tcPr>
            <w:tcW w:w="851" w:type="pct"/>
            <w:vAlign w:val="center"/>
          </w:tcPr>
          <w:p w14:paraId="6AA52B01"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1883</w:t>
            </w:r>
          </w:p>
        </w:tc>
        <w:tc>
          <w:tcPr>
            <w:tcW w:w="849" w:type="pct"/>
            <w:vAlign w:val="center"/>
          </w:tcPr>
          <w:p w14:paraId="5D6FC677" w14:textId="77777777" w:rsidR="00773F7C" w:rsidRPr="0017357E" w:rsidRDefault="00773F7C" w:rsidP="006E2DA4">
            <w:pPr>
              <w:spacing w:line="259"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India</w:t>
            </w:r>
          </w:p>
        </w:tc>
      </w:tr>
      <w:tr w:rsidR="00773F7C" w:rsidRPr="0017357E" w14:paraId="11912543" w14:textId="77777777" w:rsidTr="006E2DA4">
        <w:trPr>
          <w:trHeight w:val="525"/>
          <w:jc w:val="center"/>
        </w:trPr>
        <w:tc>
          <w:tcPr>
            <w:cnfStyle w:val="001000000000" w:firstRow="0" w:lastRow="0" w:firstColumn="1" w:lastColumn="0" w:oddVBand="0" w:evenVBand="0" w:oddHBand="0" w:evenHBand="0" w:firstRowFirstColumn="0" w:firstRowLastColumn="0" w:lastRowFirstColumn="0" w:lastRowLastColumn="0"/>
            <w:tcW w:w="1806" w:type="pct"/>
            <w:vAlign w:val="center"/>
          </w:tcPr>
          <w:p w14:paraId="1EEEAF69" w14:textId="57A29D45" w:rsidR="00773F7C" w:rsidRPr="00097BBC" w:rsidRDefault="00773F7C" w:rsidP="00D85CDC">
            <w:pPr>
              <w:spacing w:line="259" w:lineRule="auto"/>
              <w:rPr>
                <w:rFonts w:ascii="Calibri" w:hAnsi="Calibri" w:cs="Calibri"/>
                <w:sz w:val="24"/>
                <w:szCs w:val="24"/>
              </w:rPr>
            </w:pPr>
            <w:r w:rsidRPr="0017357E">
              <w:rPr>
                <w:rFonts w:ascii="Calibri" w:hAnsi="Calibri" w:cs="Calibri"/>
                <w:b w:val="0"/>
                <w:bCs w:val="0"/>
                <w:sz w:val="24"/>
                <w:szCs w:val="24"/>
              </w:rPr>
              <w:t>Robert Mackenzie Campbell Scholarship</w:t>
            </w:r>
          </w:p>
        </w:tc>
        <w:tc>
          <w:tcPr>
            <w:tcW w:w="1494" w:type="pct"/>
            <w:vAlign w:val="center"/>
          </w:tcPr>
          <w:p w14:paraId="45CC21DE" w14:textId="77777777" w:rsidR="00773F7C" w:rsidRPr="0017357E" w:rsidRDefault="00773F7C" w:rsidP="00D85CDC">
            <w:pPr>
              <w:spacing w:line="259"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Isabel William Campbell</w:t>
            </w:r>
          </w:p>
        </w:tc>
        <w:tc>
          <w:tcPr>
            <w:tcW w:w="851" w:type="pct"/>
            <w:vAlign w:val="center"/>
          </w:tcPr>
          <w:p w14:paraId="433C0981"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1915</w:t>
            </w:r>
          </w:p>
        </w:tc>
        <w:tc>
          <w:tcPr>
            <w:tcW w:w="849" w:type="pct"/>
            <w:vAlign w:val="center"/>
          </w:tcPr>
          <w:p w14:paraId="71457B1E" w14:textId="77777777" w:rsidR="00773F7C" w:rsidRPr="0017357E" w:rsidRDefault="00773F7C" w:rsidP="006E2DA4">
            <w:pPr>
              <w:spacing w:line="259"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4"/>
                <w:szCs w:val="24"/>
              </w:rPr>
            </w:pPr>
            <w:r w:rsidRPr="0017357E">
              <w:rPr>
                <w:rFonts w:ascii="Calibri" w:hAnsi="Calibri" w:cs="Calibri"/>
                <w:sz w:val="24"/>
                <w:szCs w:val="24"/>
              </w:rPr>
              <w:t>South Africa</w:t>
            </w:r>
          </w:p>
        </w:tc>
      </w:tr>
    </w:tbl>
    <w:p w14:paraId="084F3C75" w14:textId="77777777" w:rsidR="00773F7C" w:rsidRPr="0017357E" w:rsidRDefault="00773F7C" w:rsidP="00A15CDE">
      <w:pPr>
        <w:spacing w:line="259" w:lineRule="auto"/>
        <w:jc w:val="both"/>
        <w:rPr>
          <w:rFonts w:ascii="Calibri" w:hAnsi="Calibri" w:cs="Calibri"/>
        </w:rPr>
      </w:pPr>
    </w:p>
    <w:p w14:paraId="7098D541" w14:textId="2B47539F" w:rsidR="2B3EB77C" w:rsidRDefault="2B3EB77C" w:rsidP="00057638">
      <w:pPr>
        <w:spacing w:line="259" w:lineRule="auto"/>
        <w:rPr>
          <w:rFonts w:ascii="Calibri" w:eastAsia="Calibri" w:hAnsi="Calibri" w:cs="Calibri"/>
        </w:rPr>
      </w:pPr>
      <w:r w:rsidRPr="6901CDDB">
        <w:rPr>
          <w:rFonts w:ascii="Calibri" w:eastAsia="Calibri" w:hAnsi="Calibri" w:cs="Calibri"/>
        </w:rPr>
        <w:t>It has not been possible to ascertain the accrued financial impact of these endowments over time, though they undoubtedly generated significant dividends for the University of Edinburgh in the years following their investment and, in some cases (e.g. the Gunning Victoria Jubilee Divinity Prizes and Lectures), continue to do so. In other words, profits derived in part from British colonialism and the enslavement of African people continue to financially benefit the institution today.</w:t>
      </w:r>
      <w:r w:rsidR="00CE2EBB">
        <w:rPr>
          <w:rFonts w:ascii="Calibri" w:eastAsia="Calibri" w:hAnsi="Calibri" w:cs="Calibri"/>
        </w:rPr>
        <w:t xml:space="preserve"> </w:t>
      </w:r>
      <w:r w:rsidRPr="5718D05C">
        <w:rPr>
          <w:rFonts w:ascii="Calibri" w:eastAsia="Calibri" w:hAnsi="Calibri" w:cs="Calibri"/>
        </w:rPr>
        <w:t xml:space="preserve">Most of the endowments discussed here seem to have still been active within the </w:t>
      </w:r>
      <w:r w:rsidR="00463091">
        <w:rPr>
          <w:rFonts w:ascii="Calibri" w:eastAsia="Calibri" w:hAnsi="Calibri" w:cs="Calibri"/>
        </w:rPr>
        <w:t>University of Edinburgh</w:t>
      </w:r>
      <w:r w:rsidRPr="5718D05C">
        <w:rPr>
          <w:rFonts w:ascii="Calibri" w:eastAsia="Calibri" w:hAnsi="Calibri" w:cs="Calibri"/>
        </w:rPr>
        <w:t>’s accounts by at least 1971, when they were recorded under the University of Edinburgh (Fellowships, Scholarships and Bursaries) Scheme (1971).</w:t>
      </w:r>
      <w:r w:rsidR="00463091">
        <w:rPr>
          <w:rStyle w:val="FootnoteReference"/>
          <w:rFonts w:ascii="Calibri" w:eastAsia="Calibri" w:hAnsi="Calibri" w:cs="Calibri"/>
        </w:rPr>
        <w:footnoteReference w:id="38"/>
      </w:r>
      <w:r w:rsidR="00463091" w:rsidRPr="6901CDDB" w:rsidDel="00463091">
        <w:rPr>
          <w:rFonts w:ascii="Calibri" w:eastAsia="Calibri" w:hAnsi="Calibri" w:cs="Calibri"/>
        </w:rPr>
        <w:t xml:space="preserve"> </w:t>
      </w:r>
      <w:r w:rsidR="2F6F9989" w:rsidRPr="6901CDDB">
        <w:rPr>
          <w:rFonts w:ascii="Calibri" w:eastAsia="Calibri" w:hAnsi="Calibri" w:cs="Calibri"/>
        </w:rPr>
        <w:t>Those</w:t>
      </w:r>
      <w:r w:rsidRPr="6901CDDB">
        <w:rPr>
          <w:rFonts w:ascii="Calibri" w:eastAsia="Calibri" w:hAnsi="Calibri" w:cs="Calibri"/>
        </w:rPr>
        <w:t xml:space="preserve"> identified as ‘active’ or ‘live’ at the time of writing </w:t>
      </w:r>
      <w:r w:rsidR="10F5D604" w:rsidRPr="6901CDDB">
        <w:rPr>
          <w:rFonts w:ascii="Calibri" w:eastAsia="Calibri" w:hAnsi="Calibri" w:cs="Calibri"/>
        </w:rPr>
        <w:t>can be seen</w:t>
      </w:r>
      <w:r w:rsidRPr="6901CDDB">
        <w:rPr>
          <w:rFonts w:ascii="Calibri" w:eastAsia="Calibri" w:hAnsi="Calibri" w:cs="Calibri"/>
        </w:rPr>
        <w:t xml:space="preserve"> in the table</w:t>
      </w:r>
      <w:r w:rsidR="00463091">
        <w:rPr>
          <w:rFonts w:ascii="Calibri" w:eastAsia="Calibri" w:hAnsi="Calibri" w:cs="Calibri"/>
        </w:rPr>
        <w:t xml:space="preserve"> </w:t>
      </w:r>
      <w:r w:rsidR="00463091" w:rsidRPr="6901CDDB">
        <w:rPr>
          <w:rFonts w:ascii="Calibri" w:eastAsia="Calibri" w:hAnsi="Calibri" w:cs="Calibri"/>
        </w:rPr>
        <w:t>below</w:t>
      </w:r>
      <w:r w:rsidRPr="6901CDDB">
        <w:rPr>
          <w:rFonts w:ascii="Calibri" w:eastAsia="Calibri" w:hAnsi="Calibri" w:cs="Calibri"/>
        </w:rPr>
        <w:t xml:space="preserve">. There are possibly more that have not yet been identified. The Finances team </w:t>
      </w:r>
      <w:r w:rsidR="006A4B07">
        <w:rPr>
          <w:rFonts w:ascii="Calibri" w:eastAsia="Calibri" w:hAnsi="Calibri" w:cs="Calibri"/>
        </w:rPr>
        <w:t>in</w:t>
      </w:r>
      <w:r w:rsidR="006A4B07" w:rsidRPr="6901CDDB">
        <w:rPr>
          <w:rFonts w:ascii="Calibri" w:eastAsia="Calibri" w:hAnsi="Calibri" w:cs="Calibri"/>
        </w:rPr>
        <w:t xml:space="preserve"> </w:t>
      </w:r>
      <w:r w:rsidRPr="6901CDDB">
        <w:rPr>
          <w:rFonts w:ascii="Calibri" w:eastAsia="Calibri" w:hAnsi="Calibri" w:cs="Calibri"/>
        </w:rPr>
        <w:t>the College of Arts, Humanities and Social Sciences has returned an information request on the present-day value of some of these active endowments</w:t>
      </w:r>
      <w:r w:rsidR="00720948">
        <w:rPr>
          <w:rFonts w:ascii="Calibri" w:eastAsia="Calibri" w:hAnsi="Calibri" w:cs="Calibri"/>
        </w:rPr>
        <w:t>.</w:t>
      </w:r>
      <w:r w:rsidRPr="6901CDDB">
        <w:rPr>
          <w:rFonts w:ascii="Calibri" w:eastAsia="Calibri" w:hAnsi="Calibri" w:cs="Calibri"/>
        </w:rPr>
        <w:t xml:space="preserve"> </w:t>
      </w:r>
      <w:r w:rsidR="00720948">
        <w:rPr>
          <w:rFonts w:ascii="Calibri" w:eastAsia="Calibri" w:hAnsi="Calibri" w:cs="Calibri"/>
        </w:rPr>
        <w:t xml:space="preserve">The </w:t>
      </w:r>
      <w:r w:rsidRPr="6901CDDB">
        <w:rPr>
          <w:rFonts w:ascii="Calibri" w:eastAsia="Calibri" w:hAnsi="Calibri" w:cs="Calibri"/>
        </w:rPr>
        <w:t>available figures are provided below</w:t>
      </w:r>
      <w:r w:rsidR="00720948">
        <w:rPr>
          <w:rFonts w:ascii="Calibri" w:eastAsia="Calibri" w:hAnsi="Calibri" w:cs="Calibri"/>
        </w:rPr>
        <w:t>.</w:t>
      </w:r>
      <w:r w:rsidRPr="6901CDDB">
        <w:rPr>
          <w:rFonts w:ascii="Calibri" w:eastAsia="Calibri" w:hAnsi="Calibri" w:cs="Calibri"/>
        </w:rPr>
        <w:t xml:space="preserve"> </w:t>
      </w:r>
      <w:r w:rsidR="00720948">
        <w:rPr>
          <w:rFonts w:ascii="Calibri" w:eastAsia="Calibri" w:hAnsi="Calibri" w:cs="Calibri"/>
        </w:rPr>
        <w:t>I</w:t>
      </w:r>
      <w:r w:rsidRPr="6901CDDB">
        <w:rPr>
          <w:rFonts w:ascii="Calibri" w:eastAsia="Calibri" w:hAnsi="Calibri" w:cs="Calibri"/>
        </w:rPr>
        <w:t xml:space="preserve">nformation on the present-day value of other endowments is still pending. Each fund holds a certain number of Capital Units, which derive from the original endowment; the value of these units is regularly updated and the economic value (£) of the sum of a fund’s Units is referred to as Capital Investment. Funds which have underspent over several years against the dividends received have additionally acquired what is known as Accumulated Income Assets. Adding together these two figures (i.e. Capital Investment plus Accumulated Income Assets) provides the total present-day (i.e. 2024) worth of the funds. </w:t>
      </w:r>
    </w:p>
    <w:p w14:paraId="449FFA70" w14:textId="429FAA58" w:rsidR="6901CDDB" w:rsidRDefault="6901CDDB" w:rsidP="6901CDDB">
      <w:pPr>
        <w:spacing w:line="259" w:lineRule="auto"/>
        <w:jc w:val="both"/>
        <w:rPr>
          <w:rFonts w:ascii="Calibri" w:eastAsia="Calibri" w:hAnsi="Calibri" w:cs="Calibri"/>
        </w:rPr>
      </w:pPr>
    </w:p>
    <w:tbl>
      <w:tblPr>
        <w:tblStyle w:val="PlainTable2"/>
        <w:tblW w:w="9148" w:type="dxa"/>
        <w:tblLayout w:type="fixed"/>
        <w:tblLook w:val="04A0" w:firstRow="1" w:lastRow="0" w:firstColumn="1" w:lastColumn="0" w:noHBand="0" w:noVBand="1"/>
      </w:tblPr>
      <w:tblGrid>
        <w:gridCol w:w="2752"/>
        <w:gridCol w:w="2072"/>
        <w:gridCol w:w="4324"/>
      </w:tblGrid>
      <w:tr w:rsidR="6901CDDB" w14:paraId="0FA48BE5" w14:textId="77777777" w:rsidTr="00A7594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464FF354" w14:textId="3DEF3525" w:rsidR="6901CDDB" w:rsidRPr="00A7594F" w:rsidRDefault="6901CDDB">
            <w:pPr>
              <w:rPr>
                <w:rFonts w:eastAsiaTheme="minorEastAsia"/>
              </w:rPr>
            </w:pPr>
            <w:r w:rsidRPr="00A7594F">
              <w:rPr>
                <w:rFonts w:eastAsiaTheme="minorEastAsia"/>
              </w:rPr>
              <w:t>NAME</w:t>
            </w:r>
          </w:p>
        </w:tc>
        <w:tc>
          <w:tcPr>
            <w:tcW w:w="207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6D6A4C9E" w14:textId="2C9F4751" w:rsidR="6901CDDB" w:rsidRPr="00A7594F" w:rsidRDefault="6901CDDB">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7594F">
              <w:rPr>
                <w:rFonts w:eastAsiaTheme="minorEastAsia"/>
                <w:lang w:val="en-US"/>
              </w:rPr>
              <w:t>SCHOOL</w:t>
            </w:r>
          </w:p>
        </w:tc>
        <w:tc>
          <w:tcPr>
            <w:tcW w:w="4324"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3724DBFB" w14:textId="79E74D35" w:rsidR="6901CDDB" w:rsidRPr="00A7594F" w:rsidRDefault="6901CDDB">
            <w:pPr>
              <w:cnfStyle w:val="100000000000" w:firstRow="1" w:lastRow="0" w:firstColumn="0" w:lastColumn="0" w:oddVBand="0" w:evenVBand="0" w:oddHBand="0" w:evenHBand="0" w:firstRowFirstColumn="0" w:firstRowLastColumn="0" w:lastRowFirstColumn="0" w:lastRowLastColumn="0"/>
              <w:rPr>
                <w:rFonts w:eastAsiaTheme="minorEastAsia"/>
                <w:lang w:val="en-US"/>
              </w:rPr>
            </w:pPr>
            <w:r w:rsidRPr="00A7594F">
              <w:rPr>
                <w:rFonts w:eastAsiaTheme="minorEastAsia"/>
                <w:lang w:val="en-US"/>
              </w:rPr>
              <w:t>VALUE IN 2024</w:t>
            </w:r>
          </w:p>
        </w:tc>
      </w:tr>
      <w:tr w:rsidR="6901CDDB" w14:paraId="110B728D" w14:textId="77777777" w:rsidTr="00A759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47ADDD96" w14:textId="6D9CCCF5" w:rsidR="6901CDDB" w:rsidRPr="00A7594F" w:rsidRDefault="6901CDDB">
            <w:pPr>
              <w:rPr>
                <w:rFonts w:eastAsiaTheme="minorEastAsia"/>
                <w:b w:val="0"/>
                <w:lang w:val="en-US"/>
              </w:rPr>
            </w:pPr>
            <w:r w:rsidRPr="00A7594F">
              <w:rPr>
                <w:rFonts w:eastAsiaTheme="minorEastAsia"/>
                <w:lang w:val="en-US"/>
              </w:rPr>
              <w:t>Horsliehill-Scott Bursaries (Classics)</w:t>
            </w:r>
          </w:p>
        </w:tc>
        <w:tc>
          <w:tcPr>
            <w:tcW w:w="207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3516F5F2" w14:textId="0C726CEB"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7594F">
              <w:rPr>
                <w:rFonts w:eastAsiaTheme="minorEastAsia"/>
                <w:lang w:val="en-US"/>
              </w:rPr>
              <w:t>History, Classics and Archaeology</w:t>
            </w:r>
          </w:p>
        </w:tc>
        <w:tc>
          <w:tcPr>
            <w:tcW w:w="4324"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5C476634" w14:textId="5F06BC08"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rPr>
            </w:pPr>
            <w:r w:rsidRPr="00A7594F">
              <w:rPr>
                <w:rFonts w:eastAsiaTheme="minorEastAsia"/>
              </w:rPr>
              <w:t xml:space="preserve">No exact figure available as amalgamated into </w:t>
            </w:r>
            <w:r w:rsidRPr="00997CEA">
              <w:rPr>
                <w:rFonts w:eastAsiaTheme="minorEastAsia"/>
              </w:rPr>
              <w:t>two school</w:t>
            </w:r>
            <w:r w:rsidR="00997CEA" w:rsidRPr="00997CEA">
              <w:rPr>
                <w:rFonts w:eastAsiaTheme="minorEastAsia"/>
              </w:rPr>
              <w:t>s’</w:t>
            </w:r>
            <w:r w:rsidRPr="00997CEA">
              <w:rPr>
                <w:rFonts w:eastAsiaTheme="minorEastAsia"/>
              </w:rPr>
              <w:t xml:space="preserve"> funds</w:t>
            </w:r>
            <w:r w:rsidRPr="00A7594F">
              <w:rPr>
                <w:rFonts w:eastAsiaTheme="minorEastAsia"/>
              </w:rPr>
              <w:t xml:space="preserve"> (Classics and Philosophy)</w:t>
            </w:r>
          </w:p>
        </w:tc>
      </w:tr>
      <w:tr w:rsidR="6901CDDB" w14:paraId="37B6FB52" w14:textId="77777777" w:rsidTr="00A7594F">
        <w:trPr>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single" w:sz="8" w:space="0" w:color="7F7F7F" w:themeColor="text1" w:themeTint="80"/>
              <w:left w:val="nil"/>
              <w:bottom w:val="nil"/>
              <w:right w:val="nil"/>
            </w:tcBorders>
            <w:tcMar>
              <w:left w:w="108" w:type="dxa"/>
              <w:right w:w="108" w:type="dxa"/>
            </w:tcMar>
          </w:tcPr>
          <w:p w14:paraId="0A8C2AC3" w14:textId="07BA4B74" w:rsidR="6901CDDB" w:rsidRPr="00A7594F" w:rsidRDefault="6901CDDB">
            <w:pPr>
              <w:rPr>
                <w:rFonts w:eastAsiaTheme="minorEastAsia"/>
                <w:b w:val="0"/>
                <w:lang w:val="en-US"/>
              </w:rPr>
            </w:pPr>
            <w:r w:rsidRPr="00A7594F">
              <w:rPr>
                <w:rFonts w:eastAsiaTheme="minorEastAsia"/>
                <w:lang w:val="en-US"/>
              </w:rPr>
              <w:t>Horsliehill-Scott Bursaries (Philosophy)</w:t>
            </w:r>
          </w:p>
        </w:tc>
        <w:tc>
          <w:tcPr>
            <w:tcW w:w="2072" w:type="dxa"/>
            <w:tcBorders>
              <w:top w:val="single" w:sz="8" w:space="0" w:color="7F7F7F" w:themeColor="text1" w:themeTint="80"/>
              <w:left w:val="nil"/>
              <w:bottom w:val="nil"/>
              <w:right w:val="nil"/>
            </w:tcBorders>
            <w:tcMar>
              <w:left w:w="108" w:type="dxa"/>
              <w:right w:w="108" w:type="dxa"/>
            </w:tcMar>
          </w:tcPr>
          <w:p w14:paraId="4FAC31B0" w14:textId="3F498789" w:rsidR="6901CDDB" w:rsidRPr="00A7594F" w:rsidRDefault="6901CDDB">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7594F">
              <w:rPr>
                <w:rFonts w:eastAsiaTheme="minorEastAsia"/>
                <w:lang w:val="en-US"/>
              </w:rPr>
              <w:t>Philosophy, Psychology and Language Sciences</w:t>
            </w:r>
          </w:p>
        </w:tc>
        <w:tc>
          <w:tcPr>
            <w:tcW w:w="4324" w:type="dxa"/>
            <w:tcBorders>
              <w:top w:val="single" w:sz="8" w:space="0" w:color="7F7F7F" w:themeColor="text1" w:themeTint="80"/>
              <w:left w:val="nil"/>
              <w:bottom w:val="nil"/>
              <w:right w:val="nil"/>
            </w:tcBorders>
            <w:tcMar>
              <w:left w:w="108" w:type="dxa"/>
              <w:right w:w="108" w:type="dxa"/>
            </w:tcMar>
          </w:tcPr>
          <w:p w14:paraId="54954136" w14:textId="078754A5" w:rsidR="6901CDDB" w:rsidRPr="00A7594F" w:rsidRDefault="6901CDDB">
            <w:pPr>
              <w:cnfStyle w:val="000000000000" w:firstRow="0" w:lastRow="0" w:firstColumn="0" w:lastColumn="0" w:oddVBand="0" w:evenVBand="0" w:oddHBand="0" w:evenHBand="0" w:firstRowFirstColumn="0" w:firstRowLastColumn="0" w:lastRowFirstColumn="0" w:lastRowLastColumn="0"/>
              <w:rPr>
                <w:rFonts w:eastAsiaTheme="minorEastAsia"/>
              </w:rPr>
            </w:pPr>
            <w:r w:rsidRPr="00A7594F">
              <w:rPr>
                <w:rFonts w:eastAsiaTheme="minorEastAsia"/>
              </w:rPr>
              <w:t>No exact figure available as amalgamated into two school</w:t>
            </w:r>
            <w:r w:rsidR="00D9372B">
              <w:rPr>
                <w:rFonts w:eastAsiaTheme="minorEastAsia"/>
              </w:rPr>
              <w:t>s’</w:t>
            </w:r>
            <w:r w:rsidRPr="00A7594F">
              <w:rPr>
                <w:rFonts w:eastAsiaTheme="minorEastAsia"/>
              </w:rPr>
              <w:t xml:space="preserve"> funds (Classics and Philosophy)</w:t>
            </w:r>
          </w:p>
        </w:tc>
      </w:tr>
      <w:tr w:rsidR="6901CDDB" w14:paraId="1C78D676" w14:textId="77777777" w:rsidTr="00A759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0E9D39FA" w14:textId="00032A45" w:rsidR="6901CDDB" w:rsidRPr="00A7594F" w:rsidRDefault="6901CDDB">
            <w:pPr>
              <w:rPr>
                <w:rFonts w:eastAsiaTheme="minorEastAsia"/>
                <w:b w:val="0"/>
                <w:lang w:val="en-US"/>
              </w:rPr>
            </w:pPr>
            <w:r w:rsidRPr="00A7594F">
              <w:rPr>
                <w:rFonts w:eastAsiaTheme="minorEastAsia"/>
                <w:lang w:val="en-US"/>
              </w:rPr>
              <w:t>Horsliehill-Scott Bursaries (Mathematics)</w:t>
            </w:r>
          </w:p>
        </w:tc>
        <w:tc>
          <w:tcPr>
            <w:tcW w:w="207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492576CA" w14:textId="52E0346C"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7594F">
              <w:rPr>
                <w:rFonts w:eastAsiaTheme="minorEastAsia"/>
                <w:lang w:val="en-US"/>
              </w:rPr>
              <w:t>Mathematics</w:t>
            </w:r>
          </w:p>
        </w:tc>
        <w:tc>
          <w:tcPr>
            <w:tcW w:w="4324"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206000DE" w14:textId="6F7762AB"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7594F">
              <w:rPr>
                <w:rFonts w:eastAsiaTheme="minorEastAsia"/>
                <w:lang w:val="en-US"/>
              </w:rPr>
              <w:t>-</w:t>
            </w:r>
          </w:p>
        </w:tc>
      </w:tr>
      <w:tr w:rsidR="6901CDDB" w14:paraId="10B43277" w14:textId="77777777" w:rsidTr="00A7594F">
        <w:trPr>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single" w:sz="8" w:space="0" w:color="7F7F7F" w:themeColor="text1" w:themeTint="80"/>
              <w:left w:val="nil"/>
              <w:bottom w:val="nil"/>
              <w:right w:val="nil"/>
            </w:tcBorders>
            <w:tcMar>
              <w:left w:w="108" w:type="dxa"/>
              <w:right w:w="108" w:type="dxa"/>
            </w:tcMar>
          </w:tcPr>
          <w:p w14:paraId="6FF68874" w14:textId="6A6203CC" w:rsidR="6901CDDB" w:rsidRPr="00A7594F" w:rsidRDefault="6901CDDB">
            <w:pPr>
              <w:rPr>
                <w:rFonts w:eastAsiaTheme="minorEastAsia"/>
                <w:b w:val="0"/>
                <w:lang w:val="en-US"/>
              </w:rPr>
            </w:pPr>
            <w:r w:rsidRPr="00A7594F">
              <w:rPr>
                <w:rFonts w:eastAsiaTheme="minorEastAsia"/>
                <w:lang w:val="en-US"/>
              </w:rPr>
              <w:t>Neil Arnott Scholarship for Experimental Physics</w:t>
            </w:r>
          </w:p>
        </w:tc>
        <w:tc>
          <w:tcPr>
            <w:tcW w:w="2072" w:type="dxa"/>
            <w:tcBorders>
              <w:top w:val="single" w:sz="8" w:space="0" w:color="7F7F7F" w:themeColor="text1" w:themeTint="80"/>
              <w:left w:val="nil"/>
              <w:bottom w:val="nil"/>
              <w:right w:val="nil"/>
            </w:tcBorders>
            <w:tcMar>
              <w:left w:w="108" w:type="dxa"/>
              <w:right w:w="108" w:type="dxa"/>
            </w:tcMar>
          </w:tcPr>
          <w:p w14:paraId="37B1ACD2" w14:textId="2CB6FEED" w:rsidR="6901CDDB" w:rsidRPr="00A7594F" w:rsidRDefault="6901CDDB">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7594F">
              <w:rPr>
                <w:rFonts w:eastAsiaTheme="minorEastAsia"/>
                <w:lang w:val="en-US"/>
              </w:rPr>
              <w:t>Physics and Astronomy</w:t>
            </w:r>
          </w:p>
        </w:tc>
        <w:tc>
          <w:tcPr>
            <w:tcW w:w="4324" w:type="dxa"/>
            <w:tcBorders>
              <w:top w:val="single" w:sz="8" w:space="0" w:color="7F7F7F" w:themeColor="text1" w:themeTint="80"/>
              <w:left w:val="nil"/>
              <w:bottom w:val="nil"/>
              <w:right w:val="nil"/>
            </w:tcBorders>
            <w:tcMar>
              <w:left w:w="108" w:type="dxa"/>
              <w:right w:w="108" w:type="dxa"/>
            </w:tcMar>
          </w:tcPr>
          <w:p w14:paraId="5D3DD90C" w14:textId="27C4878A" w:rsidR="6901CDDB" w:rsidRPr="00A7594F" w:rsidRDefault="6901CDDB">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7594F">
              <w:rPr>
                <w:rFonts w:eastAsiaTheme="minorEastAsia"/>
                <w:lang w:val="en-US"/>
              </w:rPr>
              <w:t>-</w:t>
            </w:r>
          </w:p>
        </w:tc>
      </w:tr>
      <w:tr w:rsidR="6901CDDB" w14:paraId="1BE57A2F" w14:textId="77777777" w:rsidTr="00A759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584D6B33" w14:textId="7CEE8888" w:rsidR="6901CDDB" w:rsidRPr="00A7594F" w:rsidRDefault="6901CDDB">
            <w:pPr>
              <w:rPr>
                <w:rFonts w:eastAsiaTheme="minorEastAsia"/>
                <w:b w:val="0"/>
                <w:lang w:val="en-US"/>
              </w:rPr>
            </w:pPr>
            <w:r w:rsidRPr="00A7594F">
              <w:rPr>
                <w:rFonts w:eastAsiaTheme="minorEastAsia"/>
                <w:lang w:val="en-US"/>
              </w:rPr>
              <w:t>Vans Dunlop Scholarship</w:t>
            </w:r>
          </w:p>
        </w:tc>
        <w:tc>
          <w:tcPr>
            <w:tcW w:w="207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181D529C" w14:textId="60374D15"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7594F">
              <w:rPr>
                <w:rFonts w:eastAsiaTheme="minorEastAsia"/>
                <w:lang w:val="en-US"/>
              </w:rPr>
              <w:t>Law</w:t>
            </w:r>
          </w:p>
        </w:tc>
        <w:tc>
          <w:tcPr>
            <w:tcW w:w="4324"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01F99CDA" w14:textId="0E81F860"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7594F">
              <w:rPr>
                <w:rFonts w:eastAsiaTheme="minorEastAsia"/>
                <w:lang w:val="en-US"/>
              </w:rPr>
              <w:t>-</w:t>
            </w:r>
          </w:p>
        </w:tc>
      </w:tr>
      <w:tr w:rsidR="6901CDDB" w14:paraId="72C78DF3" w14:textId="77777777" w:rsidTr="00A7594F">
        <w:trPr>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single" w:sz="8" w:space="0" w:color="7F7F7F" w:themeColor="text1" w:themeTint="80"/>
              <w:left w:val="nil"/>
              <w:bottom w:val="nil"/>
              <w:right w:val="nil"/>
            </w:tcBorders>
            <w:tcMar>
              <w:left w:w="108" w:type="dxa"/>
              <w:right w:w="108" w:type="dxa"/>
            </w:tcMar>
          </w:tcPr>
          <w:p w14:paraId="2785F430" w14:textId="498F6382" w:rsidR="6901CDDB" w:rsidRPr="00A7594F" w:rsidRDefault="6901CDDB">
            <w:pPr>
              <w:rPr>
                <w:rFonts w:eastAsiaTheme="minorEastAsia"/>
                <w:b w:val="0"/>
                <w:lang w:val="en-US"/>
              </w:rPr>
            </w:pPr>
            <w:r w:rsidRPr="00A7594F">
              <w:rPr>
                <w:rFonts w:eastAsiaTheme="minorEastAsia"/>
                <w:lang w:val="en-US"/>
              </w:rPr>
              <w:t>Misses Baxter of Balgavies Bursary Fund</w:t>
            </w:r>
          </w:p>
        </w:tc>
        <w:tc>
          <w:tcPr>
            <w:tcW w:w="2072" w:type="dxa"/>
            <w:tcBorders>
              <w:top w:val="single" w:sz="8" w:space="0" w:color="7F7F7F" w:themeColor="text1" w:themeTint="80"/>
              <w:left w:val="nil"/>
              <w:bottom w:val="nil"/>
              <w:right w:val="nil"/>
            </w:tcBorders>
            <w:tcMar>
              <w:left w:w="108" w:type="dxa"/>
              <w:right w:w="108" w:type="dxa"/>
            </w:tcMar>
          </w:tcPr>
          <w:p w14:paraId="54BDF440" w14:textId="002965A5" w:rsidR="6901CDDB" w:rsidRPr="00A7594F" w:rsidRDefault="6901CDDB">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7594F">
              <w:rPr>
                <w:rFonts w:eastAsiaTheme="minorEastAsia"/>
                <w:lang w:val="en-US"/>
              </w:rPr>
              <w:t>n/a (external)</w:t>
            </w:r>
          </w:p>
        </w:tc>
        <w:tc>
          <w:tcPr>
            <w:tcW w:w="4324" w:type="dxa"/>
            <w:tcBorders>
              <w:top w:val="single" w:sz="8" w:space="0" w:color="7F7F7F" w:themeColor="text1" w:themeTint="80"/>
              <w:left w:val="nil"/>
              <w:bottom w:val="nil"/>
              <w:right w:val="nil"/>
            </w:tcBorders>
            <w:tcMar>
              <w:left w:w="108" w:type="dxa"/>
              <w:right w:w="108" w:type="dxa"/>
            </w:tcMar>
          </w:tcPr>
          <w:p w14:paraId="680025BB" w14:textId="33385190" w:rsidR="6901CDDB" w:rsidRPr="00A7594F" w:rsidRDefault="6901CDDB">
            <w:pPr>
              <w:cnfStyle w:val="000000000000" w:firstRow="0" w:lastRow="0" w:firstColumn="0" w:lastColumn="0" w:oddVBand="0" w:evenVBand="0" w:oddHBand="0" w:evenHBand="0" w:firstRowFirstColumn="0" w:firstRowLastColumn="0" w:lastRowFirstColumn="0" w:lastRowLastColumn="0"/>
              <w:rPr>
                <w:rFonts w:eastAsiaTheme="minorEastAsia"/>
              </w:rPr>
            </w:pPr>
            <w:r w:rsidRPr="00A7594F">
              <w:rPr>
                <w:rFonts w:eastAsiaTheme="minorEastAsia"/>
              </w:rPr>
              <w:t>-</w:t>
            </w:r>
          </w:p>
        </w:tc>
      </w:tr>
      <w:tr w:rsidR="6901CDDB" w14:paraId="089180CA" w14:textId="77777777" w:rsidTr="00A759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41ECF342" w14:textId="03015B9B" w:rsidR="6901CDDB" w:rsidRPr="00A7594F" w:rsidRDefault="6901CDDB">
            <w:pPr>
              <w:rPr>
                <w:rFonts w:eastAsiaTheme="minorEastAsia"/>
                <w:b w:val="0"/>
              </w:rPr>
            </w:pPr>
            <w:r w:rsidRPr="00A7594F">
              <w:rPr>
                <w:rFonts w:eastAsiaTheme="minorEastAsia"/>
              </w:rPr>
              <w:lastRenderedPageBreak/>
              <w:t>Bruce of Grangehill Prizes</w:t>
            </w:r>
          </w:p>
        </w:tc>
        <w:tc>
          <w:tcPr>
            <w:tcW w:w="207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49476D4C" w14:textId="592C49EE"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rPr>
            </w:pPr>
            <w:r w:rsidRPr="00A7594F">
              <w:rPr>
                <w:rFonts w:eastAsiaTheme="minorEastAsia"/>
              </w:rPr>
              <w:t>Philosophy, Psychology and Language Sciences</w:t>
            </w:r>
          </w:p>
        </w:tc>
        <w:tc>
          <w:tcPr>
            <w:tcW w:w="4324"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39541273" w14:textId="0493D9BF"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b/>
                <w:lang w:val="en-US"/>
              </w:rPr>
            </w:pPr>
            <w:r w:rsidRPr="00A7594F">
              <w:rPr>
                <w:rFonts w:eastAsiaTheme="minorEastAsia"/>
                <w:lang w:val="en-US"/>
              </w:rPr>
              <w:t>Capital Units: 18,600</w:t>
            </w:r>
            <w:r>
              <w:br/>
            </w:r>
            <w:r w:rsidRPr="00A7594F">
              <w:rPr>
                <w:rFonts w:eastAsiaTheme="minorEastAsia"/>
                <w:lang w:val="en-US"/>
              </w:rPr>
              <w:t xml:space="preserve"> Capital Investment: £904,863</w:t>
            </w:r>
            <w:r>
              <w:br/>
            </w:r>
            <w:r w:rsidRPr="00A7594F">
              <w:rPr>
                <w:rFonts w:eastAsiaTheme="minorEastAsia"/>
                <w:lang w:val="en-US"/>
              </w:rPr>
              <w:t xml:space="preserve"> Accumulated Income Assets: £695,515</w:t>
            </w:r>
            <w:r>
              <w:br/>
            </w:r>
            <w:r w:rsidRPr="00A7594F">
              <w:rPr>
                <w:rFonts w:eastAsiaTheme="minorEastAsia"/>
                <w:lang w:val="en-US"/>
              </w:rPr>
              <w:t xml:space="preserve"> </w:t>
            </w:r>
            <w:r w:rsidRPr="00A7594F">
              <w:rPr>
                <w:rFonts w:eastAsiaTheme="minorEastAsia"/>
                <w:b/>
                <w:lang w:val="en-US"/>
              </w:rPr>
              <w:t>Total value: £1,600,378</w:t>
            </w:r>
          </w:p>
        </w:tc>
      </w:tr>
      <w:tr w:rsidR="6901CDDB" w14:paraId="40BE9CFC" w14:textId="77777777" w:rsidTr="00A7594F">
        <w:trPr>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single" w:sz="8" w:space="0" w:color="7F7F7F" w:themeColor="text1" w:themeTint="80"/>
              <w:left w:val="nil"/>
              <w:bottom w:val="nil"/>
              <w:right w:val="nil"/>
            </w:tcBorders>
            <w:tcMar>
              <w:left w:w="108" w:type="dxa"/>
              <w:right w:w="108" w:type="dxa"/>
            </w:tcMar>
          </w:tcPr>
          <w:p w14:paraId="2676FAF1" w14:textId="05218725" w:rsidR="6901CDDB" w:rsidRPr="00A7594F" w:rsidRDefault="6901CDDB">
            <w:pPr>
              <w:rPr>
                <w:rFonts w:eastAsiaTheme="minorEastAsia"/>
                <w:b w:val="0"/>
              </w:rPr>
            </w:pPr>
            <w:r w:rsidRPr="00A7594F">
              <w:rPr>
                <w:rFonts w:eastAsiaTheme="minorEastAsia"/>
              </w:rPr>
              <w:t>Shaw Philosophical Fellowship</w:t>
            </w:r>
          </w:p>
        </w:tc>
        <w:tc>
          <w:tcPr>
            <w:tcW w:w="2072" w:type="dxa"/>
            <w:tcBorders>
              <w:top w:val="single" w:sz="8" w:space="0" w:color="7F7F7F" w:themeColor="text1" w:themeTint="80"/>
              <w:left w:val="nil"/>
              <w:bottom w:val="nil"/>
              <w:right w:val="nil"/>
            </w:tcBorders>
            <w:tcMar>
              <w:left w:w="108" w:type="dxa"/>
              <w:right w:w="108" w:type="dxa"/>
            </w:tcMar>
          </w:tcPr>
          <w:p w14:paraId="468841D7" w14:textId="6082FF59" w:rsidR="6901CDDB" w:rsidRPr="00A7594F" w:rsidRDefault="6901CDDB">
            <w:pPr>
              <w:cnfStyle w:val="000000000000" w:firstRow="0" w:lastRow="0" w:firstColumn="0" w:lastColumn="0" w:oddVBand="0" w:evenVBand="0" w:oddHBand="0" w:evenHBand="0" w:firstRowFirstColumn="0" w:firstRowLastColumn="0" w:lastRowFirstColumn="0" w:lastRowLastColumn="0"/>
              <w:rPr>
                <w:rFonts w:eastAsiaTheme="minorEastAsia"/>
              </w:rPr>
            </w:pPr>
            <w:r w:rsidRPr="00A7594F">
              <w:rPr>
                <w:rFonts w:eastAsiaTheme="minorEastAsia"/>
              </w:rPr>
              <w:t>Philosophy, Psychology and Language Sciences</w:t>
            </w:r>
          </w:p>
        </w:tc>
        <w:tc>
          <w:tcPr>
            <w:tcW w:w="4324" w:type="dxa"/>
            <w:tcBorders>
              <w:top w:val="single" w:sz="8" w:space="0" w:color="7F7F7F" w:themeColor="text1" w:themeTint="80"/>
              <w:left w:val="nil"/>
              <w:bottom w:val="nil"/>
              <w:right w:val="nil"/>
            </w:tcBorders>
            <w:tcMar>
              <w:left w:w="108" w:type="dxa"/>
              <w:right w:w="108" w:type="dxa"/>
            </w:tcMar>
          </w:tcPr>
          <w:p w14:paraId="558E02D2" w14:textId="72362227" w:rsidR="6901CDDB" w:rsidRPr="00A7594F" w:rsidRDefault="6901CDDB">
            <w:pPr>
              <w:cnfStyle w:val="000000000000" w:firstRow="0" w:lastRow="0" w:firstColumn="0" w:lastColumn="0" w:oddVBand="0" w:evenVBand="0" w:oddHBand="0" w:evenHBand="0" w:firstRowFirstColumn="0" w:firstRowLastColumn="0" w:lastRowFirstColumn="0" w:lastRowLastColumn="0"/>
              <w:rPr>
                <w:rFonts w:eastAsiaTheme="minorEastAsia"/>
                <w:lang w:val="en-US"/>
              </w:rPr>
            </w:pPr>
            <w:r w:rsidRPr="00A7594F">
              <w:rPr>
                <w:rFonts w:eastAsiaTheme="minorEastAsia"/>
                <w:lang w:val="en-US"/>
              </w:rPr>
              <w:t>Capital Units: 20,303</w:t>
            </w:r>
            <w:r>
              <w:br/>
            </w:r>
            <w:r w:rsidRPr="00A7594F">
              <w:rPr>
                <w:rFonts w:eastAsiaTheme="minorEastAsia"/>
                <w:lang w:val="en-US"/>
              </w:rPr>
              <w:t xml:space="preserve"> Capital Investment: £987,712</w:t>
            </w:r>
            <w:r>
              <w:br/>
            </w:r>
            <w:r w:rsidRPr="00A7594F">
              <w:rPr>
                <w:rFonts w:eastAsiaTheme="minorEastAsia"/>
                <w:lang w:val="en-US"/>
              </w:rPr>
              <w:t xml:space="preserve"> Accumulated Income Assets: £893,136</w:t>
            </w:r>
            <w:r>
              <w:br/>
            </w:r>
            <w:r w:rsidRPr="00A7594F">
              <w:rPr>
                <w:rFonts w:eastAsiaTheme="minorEastAsia"/>
                <w:lang w:val="en-US"/>
              </w:rPr>
              <w:t xml:space="preserve"> </w:t>
            </w:r>
            <w:r w:rsidRPr="00A7594F">
              <w:rPr>
                <w:rFonts w:eastAsiaTheme="minorEastAsia"/>
                <w:b/>
                <w:lang w:val="en-US"/>
              </w:rPr>
              <w:t>Total value: £1,880,847</w:t>
            </w:r>
          </w:p>
        </w:tc>
      </w:tr>
      <w:tr w:rsidR="6901CDDB" w14:paraId="6729F05E" w14:textId="77777777" w:rsidTr="00A759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0FC619CB" w14:textId="496B84EC" w:rsidR="6901CDDB" w:rsidRPr="00A7594F" w:rsidRDefault="6901CDDB">
            <w:pPr>
              <w:rPr>
                <w:rFonts w:eastAsiaTheme="minorEastAsia"/>
                <w:b w:val="0"/>
              </w:rPr>
            </w:pPr>
            <w:r w:rsidRPr="00A7594F">
              <w:rPr>
                <w:rFonts w:eastAsiaTheme="minorEastAsia"/>
              </w:rPr>
              <w:t>Gunning Lectures</w:t>
            </w:r>
          </w:p>
        </w:tc>
        <w:tc>
          <w:tcPr>
            <w:tcW w:w="207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6ECF2CBA" w14:textId="35E50502"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rPr>
            </w:pPr>
            <w:r w:rsidRPr="00A7594F">
              <w:rPr>
                <w:rFonts w:eastAsiaTheme="minorEastAsia"/>
              </w:rPr>
              <w:t>Divinity</w:t>
            </w:r>
          </w:p>
        </w:tc>
        <w:tc>
          <w:tcPr>
            <w:tcW w:w="4324"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41C0A37B" w14:textId="17649648"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b/>
                <w:lang w:val="en-US"/>
              </w:rPr>
            </w:pPr>
            <w:r w:rsidRPr="00A7594F">
              <w:rPr>
                <w:rFonts w:eastAsiaTheme="minorEastAsia"/>
                <w:lang w:val="en-US"/>
              </w:rPr>
              <w:t>Capital Units: 10,308</w:t>
            </w:r>
            <w:r>
              <w:br/>
            </w:r>
            <w:r w:rsidRPr="00A7594F">
              <w:rPr>
                <w:rFonts w:eastAsiaTheme="minorEastAsia"/>
                <w:lang w:val="en-US"/>
              </w:rPr>
              <w:t xml:space="preserve"> Capital Investment: £501,469</w:t>
            </w:r>
            <w:r>
              <w:br/>
            </w:r>
            <w:r w:rsidRPr="00A7594F">
              <w:rPr>
                <w:rFonts w:eastAsiaTheme="minorEastAsia"/>
                <w:lang w:val="en-US"/>
              </w:rPr>
              <w:t xml:space="preserve"> Accumulated Income Assets: £320,122</w:t>
            </w:r>
            <w:r>
              <w:br/>
            </w:r>
            <w:r w:rsidRPr="00A7594F">
              <w:rPr>
                <w:rFonts w:eastAsiaTheme="minorEastAsia"/>
                <w:lang w:val="en-US"/>
              </w:rPr>
              <w:t xml:space="preserve"> </w:t>
            </w:r>
            <w:r w:rsidRPr="00A7594F">
              <w:rPr>
                <w:rFonts w:eastAsiaTheme="minorEastAsia"/>
                <w:b/>
                <w:lang w:val="en-US"/>
              </w:rPr>
              <w:t>Total value: £821,592</w:t>
            </w:r>
          </w:p>
        </w:tc>
      </w:tr>
      <w:tr w:rsidR="6901CDDB" w14:paraId="4B05EBD9" w14:textId="77777777" w:rsidTr="00A7594F">
        <w:trPr>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single" w:sz="8" w:space="0" w:color="7F7F7F" w:themeColor="text1" w:themeTint="80"/>
              <w:left w:val="nil"/>
              <w:bottom w:val="nil"/>
              <w:right w:val="nil"/>
            </w:tcBorders>
            <w:tcMar>
              <w:left w:w="108" w:type="dxa"/>
              <w:right w:w="108" w:type="dxa"/>
            </w:tcMar>
          </w:tcPr>
          <w:p w14:paraId="27DD8A7D" w14:textId="50CAA42F" w:rsidR="6901CDDB" w:rsidRPr="00A7594F" w:rsidRDefault="6901CDDB">
            <w:pPr>
              <w:rPr>
                <w:rFonts w:eastAsiaTheme="minorEastAsia"/>
                <w:b w:val="0"/>
              </w:rPr>
            </w:pPr>
            <w:r w:rsidRPr="00A7594F">
              <w:rPr>
                <w:rFonts w:eastAsiaTheme="minorEastAsia"/>
              </w:rPr>
              <w:t>Gunning Victoria Jubilee Divinity Prizes</w:t>
            </w:r>
          </w:p>
        </w:tc>
        <w:tc>
          <w:tcPr>
            <w:tcW w:w="2072" w:type="dxa"/>
            <w:tcBorders>
              <w:top w:val="single" w:sz="8" w:space="0" w:color="7F7F7F" w:themeColor="text1" w:themeTint="80"/>
              <w:left w:val="nil"/>
              <w:bottom w:val="nil"/>
              <w:right w:val="nil"/>
            </w:tcBorders>
            <w:tcMar>
              <w:left w:w="108" w:type="dxa"/>
              <w:right w:w="108" w:type="dxa"/>
            </w:tcMar>
          </w:tcPr>
          <w:p w14:paraId="35CD023E" w14:textId="513E99D9" w:rsidR="6901CDDB" w:rsidRPr="00A7594F" w:rsidRDefault="6901CDDB">
            <w:pPr>
              <w:cnfStyle w:val="000000000000" w:firstRow="0" w:lastRow="0" w:firstColumn="0" w:lastColumn="0" w:oddVBand="0" w:evenVBand="0" w:oddHBand="0" w:evenHBand="0" w:firstRowFirstColumn="0" w:firstRowLastColumn="0" w:lastRowFirstColumn="0" w:lastRowLastColumn="0"/>
              <w:rPr>
                <w:rFonts w:eastAsiaTheme="minorEastAsia"/>
              </w:rPr>
            </w:pPr>
            <w:r w:rsidRPr="00A7594F">
              <w:rPr>
                <w:rFonts w:eastAsiaTheme="minorEastAsia"/>
              </w:rPr>
              <w:t>Divinity</w:t>
            </w:r>
          </w:p>
        </w:tc>
        <w:tc>
          <w:tcPr>
            <w:tcW w:w="4324" w:type="dxa"/>
            <w:tcBorders>
              <w:top w:val="single" w:sz="8" w:space="0" w:color="7F7F7F" w:themeColor="text1" w:themeTint="80"/>
              <w:left w:val="nil"/>
              <w:bottom w:val="nil"/>
              <w:right w:val="nil"/>
            </w:tcBorders>
            <w:tcMar>
              <w:left w:w="108" w:type="dxa"/>
              <w:right w:w="108" w:type="dxa"/>
            </w:tcMar>
          </w:tcPr>
          <w:p w14:paraId="451EEA76" w14:textId="61F23EC3" w:rsidR="6901CDDB" w:rsidRPr="00A7594F" w:rsidRDefault="6901CDDB">
            <w:pPr>
              <w:cnfStyle w:val="000000000000" w:firstRow="0" w:lastRow="0" w:firstColumn="0" w:lastColumn="0" w:oddVBand="0" w:evenVBand="0" w:oddHBand="0" w:evenHBand="0" w:firstRowFirstColumn="0" w:firstRowLastColumn="0" w:lastRowFirstColumn="0" w:lastRowLastColumn="0"/>
              <w:rPr>
                <w:rFonts w:eastAsiaTheme="minorEastAsia"/>
                <w:b/>
                <w:lang w:val="en-US"/>
              </w:rPr>
            </w:pPr>
            <w:r w:rsidRPr="00A7594F">
              <w:rPr>
                <w:rFonts w:eastAsiaTheme="minorEastAsia"/>
                <w:lang w:val="en-US"/>
              </w:rPr>
              <w:t>Capital Units: 67,646</w:t>
            </w:r>
            <w:r>
              <w:br/>
            </w:r>
            <w:r w:rsidRPr="00A7594F">
              <w:rPr>
                <w:rFonts w:eastAsiaTheme="minorEastAsia"/>
                <w:lang w:val="en-US"/>
              </w:rPr>
              <w:t xml:space="preserve"> Capital Investment: £3,290,881</w:t>
            </w:r>
            <w:r>
              <w:br/>
            </w:r>
            <w:r w:rsidRPr="00A7594F">
              <w:rPr>
                <w:rFonts w:eastAsiaTheme="minorEastAsia"/>
                <w:lang w:val="en-US"/>
              </w:rPr>
              <w:t xml:space="preserve"> Accumulated Income Assets: £1,203,734</w:t>
            </w:r>
            <w:r>
              <w:br/>
            </w:r>
            <w:r w:rsidRPr="00A7594F">
              <w:rPr>
                <w:rFonts w:eastAsiaTheme="minorEastAsia"/>
                <w:lang w:val="en-US"/>
              </w:rPr>
              <w:t xml:space="preserve"> </w:t>
            </w:r>
            <w:r w:rsidRPr="00A7594F">
              <w:rPr>
                <w:rFonts w:eastAsiaTheme="minorEastAsia"/>
                <w:b/>
                <w:lang w:val="en-US"/>
              </w:rPr>
              <w:t>Total value: £4,494,615</w:t>
            </w:r>
          </w:p>
        </w:tc>
      </w:tr>
      <w:tr w:rsidR="6901CDDB" w14:paraId="4F376CC6" w14:textId="77777777" w:rsidTr="00A759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5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1772D844" w14:textId="448481D5" w:rsidR="6901CDDB" w:rsidRPr="00A7594F" w:rsidRDefault="6901CDDB">
            <w:pPr>
              <w:rPr>
                <w:rFonts w:eastAsiaTheme="minorEastAsia"/>
                <w:b w:val="0"/>
              </w:rPr>
            </w:pPr>
            <w:r w:rsidRPr="00A7594F">
              <w:rPr>
                <w:rFonts w:eastAsiaTheme="minorEastAsia"/>
              </w:rPr>
              <w:t>Reid Orchestra Endowment</w:t>
            </w:r>
          </w:p>
        </w:tc>
        <w:tc>
          <w:tcPr>
            <w:tcW w:w="2072"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6124BA8C" w14:textId="3AE76EF4"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rPr>
            </w:pPr>
            <w:r w:rsidRPr="00A7594F">
              <w:rPr>
                <w:rFonts w:eastAsiaTheme="minorEastAsia"/>
              </w:rPr>
              <w:t>Music</w:t>
            </w:r>
          </w:p>
        </w:tc>
        <w:tc>
          <w:tcPr>
            <w:tcW w:w="4324"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3A42E935" w14:textId="4F596EDC"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lang w:val="en-US"/>
              </w:rPr>
            </w:pPr>
            <w:r w:rsidRPr="00A7594F">
              <w:rPr>
                <w:rFonts w:eastAsiaTheme="minorEastAsia"/>
                <w:lang w:val="en-US"/>
              </w:rPr>
              <w:t>Capital Units: 10,030</w:t>
            </w:r>
            <w:r>
              <w:br/>
            </w:r>
            <w:r w:rsidRPr="00A7594F">
              <w:rPr>
                <w:rFonts w:eastAsiaTheme="minorEastAsia"/>
                <w:lang w:val="en-US"/>
              </w:rPr>
              <w:t xml:space="preserve"> Capital Investment: £487,969</w:t>
            </w:r>
          </w:p>
          <w:p w14:paraId="0D15EDDB" w14:textId="4321DE2F" w:rsidR="6901CDDB" w:rsidRPr="00A7594F" w:rsidRDefault="6901CDDB">
            <w:pPr>
              <w:cnfStyle w:val="000000100000" w:firstRow="0" w:lastRow="0" w:firstColumn="0" w:lastColumn="0" w:oddVBand="0" w:evenVBand="0" w:oddHBand="1" w:evenHBand="0" w:firstRowFirstColumn="0" w:firstRowLastColumn="0" w:lastRowFirstColumn="0" w:lastRowLastColumn="0"/>
              <w:rPr>
                <w:rFonts w:eastAsiaTheme="minorEastAsia"/>
                <w:b/>
                <w:lang w:val="en-US"/>
              </w:rPr>
            </w:pPr>
            <w:r w:rsidRPr="00A7594F">
              <w:rPr>
                <w:rFonts w:eastAsiaTheme="minorEastAsia"/>
                <w:lang w:val="en-US"/>
              </w:rPr>
              <w:t>Accumulated Income Assets: £116,726</w:t>
            </w:r>
            <w:r>
              <w:br/>
            </w:r>
            <w:r w:rsidRPr="00A7594F">
              <w:rPr>
                <w:rFonts w:eastAsiaTheme="minorEastAsia"/>
                <w:lang w:val="en-US"/>
              </w:rPr>
              <w:t xml:space="preserve"> </w:t>
            </w:r>
            <w:r w:rsidRPr="00A7594F">
              <w:rPr>
                <w:rFonts w:eastAsiaTheme="minorEastAsia"/>
                <w:b/>
                <w:lang w:val="en-US"/>
              </w:rPr>
              <w:t>Total value: £604,695</w:t>
            </w:r>
          </w:p>
        </w:tc>
      </w:tr>
    </w:tbl>
    <w:p w14:paraId="54AAC9A5" w14:textId="0DD5AF7C" w:rsidR="6901CDDB" w:rsidRDefault="6901CDDB" w:rsidP="6901CDDB">
      <w:pPr>
        <w:spacing w:line="259" w:lineRule="auto"/>
        <w:jc w:val="both"/>
        <w:rPr>
          <w:rFonts w:ascii="Calibri" w:eastAsia="Calibri" w:hAnsi="Calibri" w:cs="Calibri"/>
        </w:rPr>
      </w:pPr>
    </w:p>
    <w:p w14:paraId="131B19E4" w14:textId="07C93BEF" w:rsidR="6901CDDB" w:rsidRDefault="6901CDDB" w:rsidP="6901CDDB">
      <w:pPr>
        <w:spacing w:line="259" w:lineRule="auto"/>
        <w:jc w:val="both"/>
        <w:rPr>
          <w:rFonts w:ascii="Calibri" w:eastAsia="Calibri" w:hAnsi="Calibri" w:cs="Calibri"/>
        </w:rPr>
      </w:pPr>
    </w:p>
    <w:p w14:paraId="57FF72AF" w14:textId="374939B4" w:rsidR="00D85CDC" w:rsidRDefault="00D85CDC" w:rsidP="006A4B07">
      <w:pPr>
        <w:pStyle w:val="Heading5"/>
      </w:pPr>
      <w:r w:rsidRPr="00D85CDC">
        <w:t>Capital Campaigns: Old College (1789–94) and the Old Medical School (1873–83)</w:t>
      </w:r>
    </w:p>
    <w:p w14:paraId="3A8EE413" w14:textId="1BAF9D61" w:rsidR="00773F7C" w:rsidRDefault="00773F7C" w:rsidP="00057638">
      <w:pPr>
        <w:spacing w:line="259" w:lineRule="auto"/>
        <w:rPr>
          <w:rFonts w:ascii="Calibri" w:eastAsia="Calibri" w:hAnsi="Calibri" w:cs="Calibri"/>
        </w:rPr>
      </w:pPr>
      <w:r w:rsidRPr="0017357E">
        <w:rPr>
          <w:rFonts w:ascii="Calibri" w:eastAsia="Calibri" w:hAnsi="Calibri" w:cs="Calibri"/>
        </w:rPr>
        <w:t>Capital campaigns to finance the construction of two purpose-built campus buildings</w:t>
      </w:r>
      <w:r w:rsidR="00D85CDC">
        <w:rPr>
          <w:rFonts w:ascii="Calibri" w:eastAsia="Calibri" w:hAnsi="Calibri" w:cs="Calibri"/>
        </w:rPr>
        <w:t xml:space="preserve"> </w:t>
      </w:r>
      <w:r w:rsidRPr="0017357E">
        <w:rPr>
          <w:rFonts w:ascii="Calibri" w:eastAsia="Calibri" w:hAnsi="Calibri" w:cs="Calibri"/>
        </w:rPr>
        <w:t>—</w:t>
      </w:r>
      <w:r w:rsidR="00D85CDC">
        <w:rPr>
          <w:rFonts w:ascii="Calibri" w:eastAsia="Calibri" w:hAnsi="Calibri" w:cs="Calibri"/>
        </w:rPr>
        <w:t xml:space="preserve"> </w:t>
      </w:r>
      <w:r w:rsidRPr="0017357E">
        <w:rPr>
          <w:rFonts w:ascii="Calibri" w:eastAsia="Calibri" w:hAnsi="Calibri" w:cs="Calibri"/>
        </w:rPr>
        <w:t>Old College (1789</w:t>
      </w:r>
      <w:r w:rsidR="00452C59">
        <w:rPr>
          <w:rFonts w:ascii="Calibri" w:eastAsia="Calibri" w:hAnsi="Calibri" w:cs="Calibri"/>
        </w:rPr>
        <w:t>–</w:t>
      </w:r>
      <w:r w:rsidRPr="0017357E">
        <w:rPr>
          <w:rFonts w:ascii="Calibri" w:eastAsia="Calibri" w:hAnsi="Calibri" w:cs="Calibri"/>
        </w:rPr>
        <w:t>94) and the Old Medical School (1873</w:t>
      </w:r>
      <w:r w:rsidR="00452C59">
        <w:rPr>
          <w:rFonts w:ascii="Calibri" w:eastAsia="Calibri" w:hAnsi="Calibri" w:cs="Calibri"/>
        </w:rPr>
        <w:t>–</w:t>
      </w:r>
      <w:r w:rsidRPr="0017357E">
        <w:rPr>
          <w:rFonts w:ascii="Calibri" w:eastAsia="Calibri" w:hAnsi="Calibri" w:cs="Calibri"/>
        </w:rPr>
        <w:t>85)</w:t>
      </w:r>
      <w:r w:rsidR="00D85CDC">
        <w:rPr>
          <w:rFonts w:ascii="Calibri" w:eastAsia="Calibri" w:hAnsi="Calibri" w:cs="Calibri"/>
        </w:rPr>
        <w:t xml:space="preserve"> </w:t>
      </w:r>
      <w:r w:rsidRPr="0017357E">
        <w:rPr>
          <w:rFonts w:ascii="Calibri" w:eastAsia="Calibri" w:hAnsi="Calibri" w:cs="Calibri"/>
        </w:rPr>
        <w:t>—</w:t>
      </w:r>
      <w:r w:rsidR="00D85CDC">
        <w:rPr>
          <w:rFonts w:ascii="Calibri" w:eastAsia="Calibri" w:hAnsi="Calibri" w:cs="Calibri"/>
        </w:rPr>
        <w:t xml:space="preserve"> </w:t>
      </w:r>
      <w:r w:rsidRPr="0017357E">
        <w:rPr>
          <w:rFonts w:ascii="Calibri" w:eastAsia="Calibri" w:hAnsi="Calibri" w:cs="Calibri"/>
        </w:rPr>
        <w:t xml:space="preserve">collectively drew in hundreds of subscriptions (i.e. donations) from individuals either based in Britain’s colonies or whose wealth was connected in some way to slavery and/or colonialism. In both campaigns, the </w:t>
      </w:r>
      <w:r w:rsidR="00A27530">
        <w:rPr>
          <w:rFonts w:ascii="Calibri" w:eastAsia="Calibri" w:hAnsi="Calibri" w:cs="Calibri"/>
        </w:rPr>
        <w:t>University</w:t>
      </w:r>
      <w:r w:rsidRPr="0017357E">
        <w:rPr>
          <w:rFonts w:ascii="Calibri" w:eastAsia="Calibri" w:hAnsi="Calibri" w:cs="Calibri"/>
        </w:rPr>
        <w:t>’s fundraising committees, officers, professors and supporters actively sought out subscriptions from Britain’s colonies, especially</w:t>
      </w:r>
      <w:r w:rsidR="006A4B07">
        <w:rPr>
          <w:rFonts w:ascii="Calibri" w:eastAsia="Calibri" w:hAnsi="Calibri" w:cs="Calibri"/>
        </w:rPr>
        <w:t xml:space="preserve"> from</w:t>
      </w:r>
      <w:r w:rsidRPr="0017357E">
        <w:rPr>
          <w:rFonts w:ascii="Calibri" w:eastAsia="Calibri" w:hAnsi="Calibri" w:cs="Calibri"/>
        </w:rPr>
        <w:t xml:space="preserve"> alumni based in the Caribbean and Asia. Examples of lists of Old College subscribers based in Jamaica and India published in the </w:t>
      </w:r>
      <w:r w:rsidRPr="0017357E">
        <w:rPr>
          <w:rFonts w:ascii="Calibri" w:eastAsia="Calibri" w:hAnsi="Calibri" w:cs="Calibri"/>
          <w:i/>
          <w:iCs/>
        </w:rPr>
        <w:t>Caledonian Mercury</w:t>
      </w:r>
      <w:r w:rsidRPr="0017357E">
        <w:rPr>
          <w:rFonts w:ascii="Calibri" w:hAnsi="Calibri" w:cs="Calibri"/>
        </w:rPr>
        <w:t xml:space="preserve"> newspaper </w:t>
      </w:r>
      <w:r w:rsidRPr="0017357E">
        <w:rPr>
          <w:rFonts w:ascii="Calibri" w:eastAsia="Calibri" w:hAnsi="Calibri" w:cs="Calibri"/>
        </w:rPr>
        <w:t xml:space="preserve">can be seen below. Lists of subscribers to these campaigns with links to slavery and colonialism are provided </w:t>
      </w:r>
      <w:r w:rsidRPr="00D72A0F">
        <w:rPr>
          <w:rFonts w:ascii="Calibri" w:eastAsia="Calibri" w:hAnsi="Calibri" w:cs="Calibri"/>
        </w:rPr>
        <w:t xml:space="preserve">in </w:t>
      </w:r>
      <w:r w:rsidR="00F33DE6" w:rsidRPr="00D72A0F">
        <w:rPr>
          <w:rFonts w:ascii="Calibri" w:eastAsia="Calibri" w:hAnsi="Calibri" w:cs="Calibri"/>
        </w:rPr>
        <w:t xml:space="preserve">Appendix </w:t>
      </w:r>
      <w:r w:rsidR="00E260B3" w:rsidRPr="00D72A0F">
        <w:rPr>
          <w:rFonts w:ascii="Calibri" w:eastAsia="Calibri" w:hAnsi="Calibri" w:cs="Calibri"/>
        </w:rPr>
        <w:t>1</w:t>
      </w:r>
      <w:r w:rsidRPr="00D72A0F">
        <w:rPr>
          <w:rFonts w:ascii="Calibri" w:eastAsia="Calibri" w:hAnsi="Calibri" w:cs="Calibri"/>
        </w:rPr>
        <w:t>, and</w:t>
      </w:r>
      <w:r w:rsidRPr="0017357E">
        <w:rPr>
          <w:rFonts w:ascii="Calibri" w:eastAsia="Calibri" w:hAnsi="Calibri" w:cs="Calibri"/>
        </w:rPr>
        <w:t xml:space="preserve"> datasets of all known subscribers </w:t>
      </w:r>
      <w:r w:rsidR="00BB5DD7">
        <w:rPr>
          <w:rFonts w:ascii="Calibri" w:eastAsia="Calibri" w:hAnsi="Calibri" w:cs="Calibri"/>
        </w:rPr>
        <w:t>are</w:t>
      </w:r>
      <w:r w:rsidRPr="0017357E">
        <w:rPr>
          <w:rFonts w:ascii="Calibri" w:eastAsia="Calibri" w:hAnsi="Calibri" w:cs="Calibri"/>
        </w:rPr>
        <w:t xml:space="preserve"> shared as Open Access resources via Edinburgh’s DataShare.</w:t>
      </w:r>
      <w:r w:rsidRPr="0017357E">
        <w:rPr>
          <w:rStyle w:val="FootnoteReference"/>
          <w:rFonts w:ascii="Calibri" w:eastAsia="Calibri" w:hAnsi="Calibri" w:cs="Calibri"/>
        </w:rPr>
        <w:footnoteReference w:id="39"/>
      </w:r>
      <w:r w:rsidRPr="0017357E">
        <w:rPr>
          <w:rFonts w:ascii="Calibri" w:eastAsia="Calibri" w:hAnsi="Calibri" w:cs="Calibri"/>
        </w:rPr>
        <w:t xml:space="preserve">  </w:t>
      </w:r>
    </w:p>
    <w:p w14:paraId="5AEEF644" w14:textId="77777777" w:rsidR="00F33DE6" w:rsidRPr="0017357E" w:rsidRDefault="00F33DE6" w:rsidP="00A15CDE">
      <w:pPr>
        <w:spacing w:line="259" w:lineRule="auto"/>
        <w:jc w:val="both"/>
        <w:rPr>
          <w:rFonts w:ascii="Calibri" w:eastAsia="Calibri" w:hAnsi="Calibri" w:cs="Calibri"/>
        </w:rPr>
      </w:pPr>
    </w:p>
    <w:p w14:paraId="16D07297" w14:textId="490397AE" w:rsidR="00773F7C" w:rsidRPr="0017357E" w:rsidRDefault="00773F7C" w:rsidP="00F33DE6">
      <w:pPr>
        <w:spacing w:line="259" w:lineRule="auto"/>
        <w:jc w:val="center"/>
        <w:rPr>
          <w:rFonts w:ascii="Calibri" w:eastAsia="Calibri" w:hAnsi="Calibri" w:cs="Calibri"/>
        </w:rPr>
      </w:pPr>
      <w:r w:rsidRPr="0017357E">
        <w:rPr>
          <w:rFonts w:ascii="Calibri" w:eastAsia="Calibri" w:hAnsi="Calibri" w:cs="Calibri"/>
          <w:b/>
          <w:bCs/>
          <w:noProof/>
          <w:u w:val="single"/>
        </w:rPr>
        <w:lastRenderedPageBreak/>
        <w:drawing>
          <wp:inline distT="0" distB="0" distL="0" distR="0" wp14:anchorId="014C472E" wp14:editId="66536FD9">
            <wp:extent cx="1363149" cy="4920018"/>
            <wp:effectExtent l="0" t="0" r="8890" b="0"/>
            <wp:docPr id="561247537" name="Picture 1" descr="A black and white pag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47537" name="Picture 1" descr="A black and white page with text&#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71909" cy="4951635"/>
                    </a:xfrm>
                    <a:prstGeom prst="rect">
                      <a:avLst/>
                    </a:prstGeom>
                    <a:noFill/>
                    <a:ln>
                      <a:noFill/>
                    </a:ln>
                  </pic:spPr>
                </pic:pic>
              </a:graphicData>
            </a:graphic>
          </wp:inline>
        </w:drawing>
      </w:r>
      <w:r w:rsidRPr="0017357E">
        <w:rPr>
          <w:rFonts w:ascii="Calibri" w:eastAsia="Calibri" w:hAnsi="Calibri" w:cs="Calibri"/>
          <w:noProof/>
        </w:rPr>
        <w:drawing>
          <wp:inline distT="0" distB="0" distL="0" distR="0" wp14:anchorId="29F6C442" wp14:editId="7AD3D08B">
            <wp:extent cx="2075741" cy="4858603"/>
            <wp:effectExtent l="0" t="0" r="1270" b="0"/>
            <wp:docPr id="761873782"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73782" name="Picture 2" descr="A close-up of a documen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17048" cy="4955289"/>
                    </a:xfrm>
                    <a:prstGeom prst="rect">
                      <a:avLst/>
                    </a:prstGeom>
                    <a:noFill/>
                    <a:ln>
                      <a:noFill/>
                    </a:ln>
                  </pic:spPr>
                </pic:pic>
              </a:graphicData>
            </a:graphic>
          </wp:inline>
        </w:drawing>
      </w:r>
    </w:p>
    <w:p w14:paraId="3E77BB77" w14:textId="77777777" w:rsidR="00F33DE6" w:rsidRDefault="00F33DE6" w:rsidP="00A15CDE">
      <w:pPr>
        <w:spacing w:line="259" w:lineRule="auto"/>
        <w:jc w:val="both"/>
        <w:rPr>
          <w:rFonts w:ascii="Calibri" w:eastAsia="Calibri" w:hAnsi="Calibri" w:cs="Calibri"/>
          <w:i/>
          <w:iCs/>
        </w:rPr>
      </w:pPr>
    </w:p>
    <w:p w14:paraId="28FDA374" w14:textId="6A5FB8A6" w:rsidR="00F33DE6" w:rsidRDefault="00773F7C" w:rsidP="00EE201F">
      <w:pPr>
        <w:spacing w:line="259" w:lineRule="auto"/>
        <w:rPr>
          <w:rFonts w:ascii="Calibri" w:eastAsia="Calibri" w:hAnsi="Calibri" w:cs="Calibri"/>
          <w:i/>
          <w:iCs/>
        </w:rPr>
      </w:pPr>
      <w:r w:rsidRPr="0017357E">
        <w:rPr>
          <w:rFonts w:ascii="Calibri" w:eastAsia="Calibri" w:hAnsi="Calibri" w:cs="Calibri"/>
          <w:i/>
          <w:iCs/>
        </w:rPr>
        <w:t>Left</w:t>
      </w:r>
      <w:r w:rsidRPr="0017357E">
        <w:rPr>
          <w:rFonts w:ascii="Calibri" w:eastAsia="Calibri" w:hAnsi="Calibri" w:cs="Calibri"/>
        </w:rPr>
        <w:t xml:space="preserve">: </w:t>
      </w:r>
      <w:r w:rsidR="006A4B07">
        <w:rPr>
          <w:rFonts w:ascii="Calibri" w:eastAsia="Calibri" w:hAnsi="Calibri" w:cs="Calibri"/>
        </w:rPr>
        <w:t>S</w:t>
      </w:r>
      <w:r w:rsidRPr="0017357E">
        <w:rPr>
          <w:rFonts w:ascii="Calibri" w:eastAsia="Calibri" w:hAnsi="Calibri" w:cs="Calibri"/>
        </w:rPr>
        <w:t xml:space="preserve">ubscriptions from a ‘Committee to solicitate contributions [towards Old College], appointed at a meeting of Gentlemen in Calcutta’: </w:t>
      </w:r>
      <w:r w:rsidRPr="0017357E">
        <w:rPr>
          <w:rFonts w:ascii="Calibri" w:eastAsia="Calibri" w:hAnsi="Calibri" w:cs="Calibri"/>
          <w:i/>
          <w:iCs/>
        </w:rPr>
        <w:t>Caledonian Mercury</w:t>
      </w:r>
      <w:r w:rsidRPr="0017357E">
        <w:rPr>
          <w:rFonts w:ascii="Calibri" w:eastAsia="Calibri" w:hAnsi="Calibri" w:cs="Calibri"/>
        </w:rPr>
        <w:t xml:space="preserve">, 6 August 1792, </w:t>
      </w:r>
      <w:r w:rsidR="0087600D">
        <w:rPr>
          <w:rFonts w:ascii="Calibri" w:eastAsia="Calibri" w:hAnsi="Calibri" w:cs="Calibri"/>
        </w:rPr>
        <w:t xml:space="preserve">p. </w:t>
      </w:r>
      <w:r w:rsidRPr="0017357E">
        <w:rPr>
          <w:rFonts w:ascii="Calibri" w:eastAsia="Calibri" w:hAnsi="Calibri" w:cs="Calibri"/>
        </w:rPr>
        <w:t>1.</w:t>
      </w:r>
      <w:r w:rsidRPr="0017357E">
        <w:rPr>
          <w:rFonts w:ascii="Calibri" w:eastAsia="Calibri" w:hAnsi="Calibri" w:cs="Calibri"/>
        </w:rPr>
        <w:br/>
      </w:r>
    </w:p>
    <w:p w14:paraId="55C8BB7C" w14:textId="753BB9DA" w:rsidR="00773F7C" w:rsidRPr="0017357E" w:rsidRDefault="00773F7C" w:rsidP="00EE201F">
      <w:pPr>
        <w:spacing w:line="259" w:lineRule="auto"/>
        <w:rPr>
          <w:rFonts w:ascii="Calibri" w:eastAsia="Calibri" w:hAnsi="Calibri" w:cs="Calibri"/>
        </w:rPr>
      </w:pPr>
      <w:r w:rsidRPr="0017357E">
        <w:rPr>
          <w:rFonts w:ascii="Calibri" w:eastAsia="Calibri" w:hAnsi="Calibri" w:cs="Calibri"/>
          <w:i/>
          <w:iCs/>
        </w:rPr>
        <w:t>Right</w:t>
      </w:r>
      <w:r w:rsidRPr="0017357E">
        <w:rPr>
          <w:rFonts w:ascii="Calibri" w:eastAsia="Calibri" w:hAnsi="Calibri" w:cs="Calibri"/>
        </w:rPr>
        <w:t xml:space="preserve">: </w:t>
      </w:r>
      <w:r w:rsidR="006A4B07">
        <w:rPr>
          <w:rFonts w:ascii="Calibri" w:eastAsia="Calibri" w:hAnsi="Calibri" w:cs="Calibri"/>
        </w:rPr>
        <w:t>S</w:t>
      </w:r>
      <w:r w:rsidRPr="0017357E">
        <w:rPr>
          <w:rFonts w:ascii="Calibri" w:eastAsia="Calibri" w:hAnsi="Calibri" w:cs="Calibri"/>
        </w:rPr>
        <w:t xml:space="preserve">ubscriptions [towards Old College] ‘transmitted in a letter from Jamaica’: </w:t>
      </w:r>
      <w:r w:rsidRPr="0017357E">
        <w:rPr>
          <w:rFonts w:ascii="Calibri" w:eastAsia="Calibri" w:hAnsi="Calibri" w:cs="Calibri"/>
          <w:i/>
          <w:iCs/>
        </w:rPr>
        <w:t>Caledonian Mercury</w:t>
      </w:r>
      <w:r w:rsidRPr="0017357E">
        <w:rPr>
          <w:rFonts w:ascii="Calibri" w:eastAsia="Calibri" w:hAnsi="Calibri" w:cs="Calibri"/>
        </w:rPr>
        <w:t xml:space="preserve">, 21 August 1790, </w:t>
      </w:r>
      <w:r w:rsidR="0087600D">
        <w:rPr>
          <w:rFonts w:ascii="Calibri" w:eastAsia="Calibri" w:hAnsi="Calibri" w:cs="Calibri"/>
        </w:rPr>
        <w:t xml:space="preserve">p. </w:t>
      </w:r>
      <w:r w:rsidRPr="0017357E">
        <w:rPr>
          <w:rFonts w:ascii="Calibri" w:eastAsia="Calibri" w:hAnsi="Calibri" w:cs="Calibri"/>
        </w:rPr>
        <w:t>1.</w:t>
      </w:r>
    </w:p>
    <w:p w14:paraId="36DE90B1" w14:textId="77777777" w:rsidR="00773F7C" w:rsidRPr="0017357E" w:rsidRDefault="00773F7C" w:rsidP="00A15CDE">
      <w:pPr>
        <w:pStyle w:val="Heading5"/>
        <w:spacing w:before="0" w:after="0" w:line="259" w:lineRule="auto"/>
        <w:jc w:val="both"/>
        <w:rPr>
          <w:rFonts w:ascii="Calibri" w:eastAsia="Calibri" w:hAnsi="Calibri" w:cs="Calibri"/>
          <w:i w:val="0"/>
          <w:u w:val="single"/>
        </w:rPr>
      </w:pPr>
    </w:p>
    <w:p w14:paraId="10CD5978" w14:textId="5BAA8D71" w:rsidR="00773F7C" w:rsidRPr="008C5B0B" w:rsidRDefault="00773F7C" w:rsidP="006A4B07">
      <w:pPr>
        <w:pStyle w:val="Heading5"/>
      </w:pPr>
      <w:r w:rsidRPr="008C5B0B">
        <w:t xml:space="preserve">Total </w:t>
      </w:r>
      <w:r w:rsidR="008C5B0B" w:rsidRPr="008C5B0B">
        <w:t>S</w:t>
      </w:r>
      <w:r w:rsidRPr="008C5B0B">
        <w:t>ums</w:t>
      </w:r>
    </w:p>
    <w:p w14:paraId="7054D808" w14:textId="4DF7051B" w:rsidR="007E580D" w:rsidRDefault="23AC28C4" w:rsidP="00057638">
      <w:pPr>
        <w:spacing w:line="259" w:lineRule="auto"/>
        <w:contextualSpacing/>
        <w:rPr>
          <w:rFonts w:ascii="Calibri" w:eastAsia="Calibri" w:hAnsi="Calibri" w:cs="Calibri"/>
        </w:rPr>
      </w:pPr>
      <w:r w:rsidRPr="0017357E">
        <w:rPr>
          <w:rFonts w:ascii="Calibri" w:eastAsia="Calibri" w:hAnsi="Calibri" w:cs="Calibri"/>
        </w:rPr>
        <w:t>The total amounts of slavery- and empire-linked money received through these two income streams (endowments plus capital campaigns), as identified by this research, are summarised below (all figures given to nearest £). Given the lack of information about the accrued wealth of endowments over time, and</w:t>
      </w:r>
      <w:r w:rsidR="007C575F">
        <w:rPr>
          <w:rFonts w:ascii="Calibri" w:eastAsia="Calibri" w:hAnsi="Calibri" w:cs="Calibri"/>
        </w:rPr>
        <w:t xml:space="preserve"> the</w:t>
      </w:r>
      <w:r w:rsidRPr="0017357E">
        <w:rPr>
          <w:rFonts w:ascii="Calibri" w:eastAsia="Calibri" w:hAnsi="Calibri" w:cs="Calibri"/>
        </w:rPr>
        <w:t xml:space="preserve"> difficulties in identifying benefactors’ backgrounds or links to slavery or colonialism, these figures are almost certainly underestimates. Adopting a method used by other comparable institutions, such as the University of Glasgow, three modern-day equivalences for each of these historical sums have been calculated using calculators provided by the website Measuring Worth.</w:t>
      </w:r>
      <w:r w:rsidR="00773F7C" w:rsidRPr="0017357E">
        <w:rPr>
          <w:rStyle w:val="FootnoteReference"/>
          <w:rFonts w:ascii="Calibri" w:eastAsia="Calibri" w:hAnsi="Calibri" w:cs="Calibri"/>
        </w:rPr>
        <w:footnoteReference w:id="40"/>
      </w:r>
      <w:r w:rsidRPr="0017357E">
        <w:rPr>
          <w:rFonts w:ascii="Calibri" w:eastAsia="Calibri" w:hAnsi="Calibri" w:cs="Calibri"/>
        </w:rPr>
        <w:t xml:space="preserve"> These </w:t>
      </w:r>
      <w:r w:rsidRPr="0017357E">
        <w:rPr>
          <w:rFonts w:ascii="Calibri" w:eastAsia="Calibri" w:hAnsi="Calibri" w:cs="Calibri"/>
        </w:rPr>
        <w:lastRenderedPageBreak/>
        <w:t>equivalences are calculated through analysis of the historical sums’ relative price worth (RPW), relative wage or income worth (RWIW) and relative output worth (ROW) in present-day terms</w:t>
      </w:r>
      <w:r w:rsidR="06022029">
        <w:rPr>
          <w:rFonts w:ascii="Calibri" w:eastAsia="Calibri" w:hAnsi="Calibri" w:cs="Calibri"/>
        </w:rPr>
        <w:t>;</w:t>
      </w:r>
      <w:r w:rsidRPr="0017357E">
        <w:rPr>
          <w:rFonts w:ascii="Calibri" w:eastAsia="Calibri" w:hAnsi="Calibri" w:cs="Calibri"/>
        </w:rPr>
        <w:t xml:space="preserve"> in other words, their value in relation to retail prices, earnings or gross domestic product (GPD) in the year 2023. These three equivalences are approximations that provide a range of possible present-day values for historical sums of money. The Methodology </w:t>
      </w:r>
      <w:r w:rsidRPr="00D72A0F">
        <w:rPr>
          <w:rFonts w:ascii="Calibri" w:eastAsia="Calibri" w:hAnsi="Calibri" w:cs="Calibri"/>
        </w:rPr>
        <w:t xml:space="preserve">section of </w:t>
      </w:r>
      <w:r w:rsidR="07F37D47" w:rsidRPr="00D72A0F">
        <w:rPr>
          <w:rFonts w:ascii="Calibri" w:eastAsia="Calibri" w:hAnsi="Calibri" w:cs="Calibri"/>
        </w:rPr>
        <w:t xml:space="preserve">Appendix </w:t>
      </w:r>
      <w:r w:rsidR="00E260B3" w:rsidRPr="00D72A0F">
        <w:rPr>
          <w:rFonts w:ascii="Calibri" w:eastAsia="Calibri" w:hAnsi="Calibri" w:cs="Calibri"/>
        </w:rPr>
        <w:t xml:space="preserve">1 </w:t>
      </w:r>
      <w:r w:rsidRPr="00D72A0F">
        <w:rPr>
          <w:rFonts w:ascii="Calibri" w:eastAsia="Calibri" w:hAnsi="Calibri" w:cs="Calibri"/>
        </w:rPr>
        <w:t>provides</w:t>
      </w:r>
      <w:r w:rsidRPr="0017357E">
        <w:rPr>
          <w:rFonts w:ascii="Calibri" w:eastAsia="Calibri" w:hAnsi="Calibri" w:cs="Calibri"/>
        </w:rPr>
        <w:t xml:space="preserve"> more detail on how to interpret these figures.</w:t>
      </w:r>
    </w:p>
    <w:p w14:paraId="2777846D" w14:textId="77777777" w:rsidR="007E580D" w:rsidRDefault="007E580D" w:rsidP="00057638">
      <w:pPr>
        <w:spacing w:line="259" w:lineRule="auto"/>
        <w:contextualSpacing/>
        <w:rPr>
          <w:rFonts w:ascii="Calibri" w:eastAsia="Calibri" w:hAnsi="Calibri" w:cs="Calibri"/>
        </w:rPr>
      </w:pPr>
    </w:p>
    <w:p w14:paraId="7DAEE05C" w14:textId="32CBD89B" w:rsidR="007E580D" w:rsidRPr="007E580D" w:rsidRDefault="007E580D" w:rsidP="00057638">
      <w:pPr>
        <w:spacing w:line="259" w:lineRule="auto"/>
        <w:contextualSpacing/>
        <w:rPr>
          <w:rFonts w:ascii="Calibri" w:eastAsia="Calibri" w:hAnsi="Calibri" w:cs="Calibri"/>
        </w:rPr>
      </w:pPr>
      <w:r>
        <w:rPr>
          <w:rFonts w:ascii="Calibri" w:eastAsia="Calibri" w:hAnsi="Calibri" w:cs="Calibri"/>
          <w:u w:val="single"/>
        </w:rPr>
        <w:t>Table 3</w:t>
      </w:r>
      <w:r>
        <w:rPr>
          <w:rFonts w:ascii="Calibri" w:eastAsia="Calibri" w:hAnsi="Calibri" w:cs="Calibri"/>
        </w:rPr>
        <w:t xml:space="preserve">: </w:t>
      </w:r>
      <w:r w:rsidR="00397557">
        <w:rPr>
          <w:rFonts w:ascii="Calibri" w:eastAsia="Calibri" w:hAnsi="Calibri" w:cs="Calibri"/>
        </w:rPr>
        <w:t>Total Sums in Present-Day Terms</w:t>
      </w:r>
    </w:p>
    <w:p w14:paraId="130490C1" w14:textId="77777777" w:rsidR="00773F7C" w:rsidRPr="0017357E" w:rsidRDefault="00773F7C" w:rsidP="00A15CDE">
      <w:pPr>
        <w:spacing w:line="259" w:lineRule="auto"/>
        <w:contextualSpacing/>
        <w:jc w:val="both"/>
        <w:rPr>
          <w:rFonts w:ascii="Calibri" w:eastAsia="Calibri" w:hAnsi="Calibri" w:cs="Calibri"/>
        </w:rPr>
      </w:pPr>
    </w:p>
    <w:tbl>
      <w:tblPr>
        <w:tblStyle w:val="PlainTable41"/>
        <w:tblW w:w="9020" w:type="dxa"/>
        <w:tblLook w:val="04A0" w:firstRow="1" w:lastRow="0" w:firstColumn="1" w:lastColumn="0" w:noHBand="0" w:noVBand="1"/>
      </w:tblPr>
      <w:tblGrid>
        <w:gridCol w:w="2776"/>
        <w:gridCol w:w="1451"/>
        <w:gridCol w:w="1539"/>
        <w:gridCol w:w="1584"/>
        <w:gridCol w:w="1670"/>
      </w:tblGrid>
      <w:tr w:rsidR="00773F7C" w:rsidRPr="0017357E" w14:paraId="1AA51391" w14:textId="77777777" w:rsidTr="002173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6" w:type="dxa"/>
            <w:vAlign w:val="center"/>
          </w:tcPr>
          <w:p w14:paraId="3686738E" w14:textId="77777777" w:rsidR="00773F7C" w:rsidRPr="0017357E" w:rsidRDefault="00773F7C" w:rsidP="00217328">
            <w:pPr>
              <w:spacing w:line="259" w:lineRule="auto"/>
              <w:jc w:val="center"/>
              <w:rPr>
                <w:rFonts w:ascii="Calibri" w:eastAsia="Calibri" w:hAnsi="Calibri" w:cs="Calibri"/>
                <w:sz w:val="24"/>
                <w:szCs w:val="24"/>
              </w:rPr>
            </w:pPr>
          </w:p>
        </w:tc>
        <w:tc>
          <w:tcPr>
            <w:tcW w:w="1451" w:type="dxa"/>
            <w:vAlign w:val="center"/>
          </w:tcPr>
          <w:p w14:paraId="5F0BED12" w14:textId="77777777" w:rsidR="00773F7C" w:rsidRPr="0017357E" w:rsidRDefault="23AC28C4" w:rsidP="00217328">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Amount (historical)</w:t>
            </w:r>
          </w:p>
        </w:tc>
        <w:tc>
          <w:tcPr>
            <w:tcW w:w="1539" w:type="dxa"/>
            <w:vAlign w:val="center"/>
          </w:tcPr>
          <w:p w14:paraId="6792A740" w14:textId="77777777" w:rsidR="00773F7C" w:rsidRPr="0017357E" w:rsidRDefault="23AC28C4" w:rsidP="00217328">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 xml:space="preserve">Value in 2023 </w:t>
            </w:r>
            <w:r w:rsidR="00773F7C">
              <w:br/>
            </w:r>
            <w:r w:rsidRPr="7652D584">
              <w:rPr>
                <w:rFonts w:ascii="Calibri" w:eastAsia="Calibri" w:hAnsi="Calibri" w:cs="Calibri"/>
                <w:sz w:val="24"/>
                <w:szCs w:val="24"/>
              </w:rPr>
              <w:t>(RPW)</w:t>
            </w:r>
          </w:p>
        </w:tc>
        <w:tc>
          <w:tcPr>
            <w:tcW w:w="1584" w:type="dxa"/>
            <w:vAlign w:val="center"/>
          </w:tcPr>
          <w:p w14:paraId="002728AE" w14:textId="77777777" w:rsidR="00773F7C" w:rsidRPr="0017357E" w:rsidRDefault="23AC28C4" w:rsidP="00217328">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Value in 2023 (RWIW)</w:t>
            </w:r>
          </w:p>
        </w:tc>
        <w:tc>
          <w:tcPr>
            <w:tcW w:w="1670" w:type="dxa"/>
            <w:vAlign w:val="center"/>
          </w:tcPr>
          <w:p w14:paraId="79505A4C" w14:textId="77777777" w:rsidR="00773F7C" w:rsidRPr="0017357E" w:rsidRDefault="23AC28C4" w:rsidP="00217328">
            <w:pPr>
              <w:spacing w:line="259" w:lineRule="auto"/>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Value in 2023 (ROW)</w:t>
            </w:r>
          </w:p>
        </w:tc>
      </w:tr>
      <w:tr w:rsidR="00773F7C" w:rsidRPr="0017357E" w14:paraId="3BDB4147" w14:textId="77777777" w:rsidTr="00217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6" w:type="dxa"/>
            <w:vAlign w:val="center"/>
          </w:tcPr>
          <w:p w14:paraId="49EC706D" w14:textId="77777777" w:rsidR="00773F7C" w:rsidRPr="0017357E" w:rsidRDefault="23AC28C4" w:rsidP="00217328">
            <w:pPr>
              <w:spacing w:line="259" w:lineRule="auto"/>
              <w:jc w:val="center"/>
              <w:rPr>
                <w:rFonts w:ascii="Calibri" w:eastAsia="Calibri" w:hAnsi="Calibri" w:cs="Calibri"/>
                <w:b w:val="0"/>
                <w:bCs w:val="0"/>
                <w:sz w:val="24"/>
                <w:szCs w:val="24"/>
              </w:rPr>
            </w:pPr>
            <w:r w:rsidRPr="7652D584">
              <w:rPr>
                <w:rFonts w:ascii="Calibri" w:eastAsia="Calibri" w:hAnsi="Calibri" w:cs="Calibri"/>
                <w:b w:val="0"/>
                <w:bCs w:val="0"/>
                <w:sz w:val="24"/>
                <w:szCs w:val="24"/>
              </w:rPr>
              <w:t>Slavery-linked endowments</w:t>
            </w:r>
          </w:p>
          <w:p w14:paraId="0EA1DBC5" w14:textId="77777777" w:rsidR="00773F7C" w:rsidRPr="0017357E" w:rsidRDefault="00773F7C" w:rsidP="00217328">
            <w:pPr>
              <w:spacing w:line="259" w:lineRule="auto"/>
              <w:jc w:val="center"/>
              <w:rPr>
                <w:rFonts w:ascii="Calibri" w:eastAsia="Calibri" w:hAnsi="Calibri" w:cs="Calibri"/>
                <w:b w:val="0"/>
                <w:bCs w:val="0"/>
                <w:sz w:val="24"/>
                <w:szCs w:val="24"/>
              </w:rPr>
            </w:pPr>
          </w:p>
        </w:tc>
        <w:tc>
          <w:tcPr>
            <w:tcW w:w="1451" w:type="dxa"/>
            <w:vAlign w:val="center"/>
          </w:tcPr>
          <w:p w14:paraId="7278C3B2"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£125,984</w:t>
            </w:r>
          </w:p>
        </w:tc>
        <w:tc>
          <w:tcPr>
            <w:tcW w:w="1539" w:type="dxa"/>
            <w:vAlign w:val="center"/>
          </w:tcPr>
          <w:p w14:paraId="1DF8672C"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£14,621,500</w:t>
            </w:r>
          </w:p>
        </w:tc>
        <w:tc>
          <w:tcPr>
            <w:tcW w:w="1584" w:type="dxa"/>
            <w:vAlign w:val="center"/>
          </w:tcPr>
          <w:p w14:paraId="5D9ABEDA"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£112,831,000</w:t>
            </w:r>
          </w:p>
        </w:tc>
        <w:tc>
          <w:tcPr>
            <w:tcW w:w="1670" w:type="dxa"/>
            <w:vAlign w:val="center"/>
          </w:tcPr>
          <w:p w14:paraId="1498900F"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£484,940,000</w:t>
            </w:r>
          </w:p>
        </w:tc>
      </w:tr>
      <w:tr w:rsidR="00773F7C" w:rsidRPr="0017357E" w14:paraId="37F59DFE" w14:textId="77777777" w:rsidTr="00217328">
        <w:trPr>
          <w:trHeight w:val="300"/>
        </w:trPr>
        <w:tc>
          <w:tcPr>
            <w:cnfStyle w:val="001000000000" w:firstRow="0" w:lastRow="0" w:firstColumn="1" w:lastColumn="0" w:oddVBand="0" w:evenVBand="0" w:oddHBand="0" w:evenHBand="0" w:firstRowFirstColumn="0" w:firstRowLastColumn="0" w:lastRowFirstColumn="0" w:lastRowLastColumn="0"/>
            <w:tcW w:w="2776" w:type="dxa"/>
            <w:shd w:val="clear" w:color="auto" w:fill="F2F2F2" w:themeFill="background1" w:themeFillShade="F2"/>
            <w:vAlign w:val="center"/>
          </w:tcPr>
          <w:p w14:paraId="6564129D" w14:textId="77777777" w:rsidR="00773F7C" w:rsidRPr="0017357E" w:rsidRDefault="23AC28C4" w:rsidP="00217328">
            <w:pPr>
              <w:spacing w:line="259" w:lineRule="auto"/>
              <w:jc w:val="center"/>
              <w:rPr>
                <w:rFonts w:ascii="Calibri" w:eastAsia="Calibri" w:hAnsi="Calibri" w:cs="Calibri"/>
                <w:b w:val="0"/>
                <w:bCs w:val="0"/>
                <w:sz w:val="24"/>
                <w:szCs w:val="24"/>
              </w:rPr>
            </w:pPr>
            <w:r w:rsidRPr="7652D584">
              <w:rPr>
                <w:rFonts w:ascii="Calibri" w:eastAsia="Calibri" w:hAnsi="Calibri" w:cs="Calibri"/>
                <w:b w:val="0"/>
                <w:bCs w:val="0"/>
                <w:sz w:val="24"/>
                <w:szCs w:val="24"/>
              </w:rPr>
              <w:t xml:space="preserve">Slavery-linked </w:t>
            </w:r>
            <w:r w:rsidR="00773F7C">
              <w:br/>
            </w:r>
            <w:r w:rsidRPr="7652D584">
              <w:rPr>
                <w:rFonts w:ascii="Calibri" w:eastAsia="Calibri" w:hAnsi="Calibri" w:cs="Calibri"/>
                <w:b w:val="0"/>
                <w:bCs w:val="0"/>
                <w:sz w:val="24"/>
                <w:szCs w:val="24"/>
              </w:rPr>
              <w:t xml:space="preserve">Old College </w:t>
            </w:r>
            <w:r w:rsidR="00773F7C">
              <w:br/>
            </w:r>
            <w:r w:rsidRPr="7652D584">
              <w:rPr>
                <w:rFonts w:ascii="Calibri" w:eastAsia="Calibri" w:hAnsi="Calibri" w:cs="Calibri"/>
                <w:b w:val="0"/>
                <w:bCs w:val="0"/>
                <w:sz w:val="24"/>
                <w:szCs w:val="24"/>
              </w:rPr>
              <w:t>subscriptions</w:t>
            </w:r>
            <w:r w:rsidR="00773F7C">
              <w:br/>
            </w:r>
          </w:p>
        </w:tc>
        <w:tc>
          <w:tcPr>
            <w:tcW w:w="1451" w:type="dxa"/>
            <w:shd w:val="clear" w:color="auto" w:fill="F2F2F2" w:themeFill="background1" w:themeFillShade="F2"/>
            <w:vAlign w:val="center"/>
          </w:tcPr>
          <w:p w14:paraId="4B2AF85C" w14:textId="77777777" w:rsidR="00773F7C" w:rsidRPr="0017357E"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£3,405</w:t>
            </w:r>
          </w:p>
        </w:tc>
        <w:tc>
          <w:tcPr>
            <w:tcW w:w="1539" w:type="dxa"/>
            <w:shd w:val="clear" w:color="auto" w:fill="F2F2F2" w:themeFill="background1" w:themeFillShade="F2"/>
            <w:vAlign w:val="center"/>
          </w:tcPr>
          <w:p w14:paraId="4A86CDC5" w14:textId="77777777" w:rsidR="00773F7C" w:rsidRPr="0017357E"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£481,840</w:t>
            </w:r>
          </w:p>
        </w:tc>
        <w:tc>
          <w:tcPr>
            <w:tcW w:w="1584" w:type="dxa"/>
            <w:shd w:val="clear" w:color="auto" w:fill="F2F2F2" w:themeFill="background1" w:themeFillShade="F2"/>
            <w:vAlign w:val="center"/>
          </w:tcPr>
          <w:p w14:paraId="3090CB12" w14:textId="77777777" w:rsidR="00773F7C" w:rsidRPr="0017357E"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£5,603,800</w:t>
            </w:r>
          </w:p>
        </w:tc>
        <w:tc>
          <w:tcPr>
            <w:tcW w:w="1670" w:type="dxa"/>
            <w:shd w:val="clear" w:color="auto" w:fill="F2F2F2" w:themeFill="background1" w:themeFillShade="F2"/>
            <w:vAlign w:val="center"/>
          </w:tcPr>
          <w:p w14:paraId="3DCB3679" w14:textId="77777777" w:rsidR="00773F7C" w:rsidRPr="0017357E"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£40,536,000</w:t>
            </w:r>
          </w:p>
        </w:tc>
      </w:tr>
      <w:tr w:rsidR="00773F7C" w:rsidRPr="0017357E" w14:paraId="134AD5D2" w14:textId="77777777" w:rsidTr="00217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6" w:type="dxa"/>
            <w:vAlign w:val="center"/>
          </w:tcPr>
          <w:p w14:paraId="64BAF189" w14:textId="77777777" w:rsidR="00773F7C" w:rsidRPr="0017357E" w:rsidRDefault="23AC28C4" w:rsidP="00217328">
            <w:pPr>
              <w:spacing w:line="259" w:lineRule="auto"/>
              <w:jc w:val="center"/>
              <w:rPr>
                <w:rFonts w:ascii="Calibri" w:eastAsia="Calibri" w:hAnsi="Calibri" w:cs="Calibri"/>
                <w:b w:val="0"/>
                <w:bCs w:val="0"/>
                <w:sz w:val="24"/>
                <w:szCs w:val="24"/>
              </w:rPr>
            </w:pPr>
            <w:r w:rsidRPr="7652D584">
              <w:rPr>
                <w:rFonts w:ascii="Calibri" w:eastAsia="Calibri" w:hAnsi="Calibri" w:cs="Calibri"/>
                <w:b w:val="0"/>
                <w:bCs w:val="0"/>
                <w:sz w:val="24"/>
                <w:szCs w:val="24"/>
              </w:rPr>
              <w:t xml:space="preserve">Slavery-linked </w:t>
            </w:r>
            <w:r w:rsidR="00773F7C">
              <w:br/>
            </w:r>
            <w:r w:rsidRPr="7652D584">
              <w:rPr>
                <w:rFonts w:ascii="Calibri" w:eastAsia="Calibri" w:hAnsi="Calibri" w:cs="Calibri"/>
                <w:b w:val="0"/>
                <w:bCs w:val="0"/>
                <w:sz w:val="24"/>
                <w:szCs w:val="24"/>
              </w:rPr>
              <w:t xml:space="preserve">Old Medical School </w:t>
            </w:r>
            <w:r w:rsidR="00773F7C">
              <w:br/>
            </w:r>
            <w:r w:rsidRPr="7652D584">
              <w:rPr>
                <w:rFonts w:ascii="Calibri" w:eastAsia="Calibri" w:hAnsi="Calibri" w:cs="Calibri"/>
                <w:b w:val="0"/>
                <w:bCs w:val="0"/>
                <w:sz w:val="24"/>
                <w:szCs w:val="24"/>
              </w:rPr>
              <w:t>subscriptions</w:t>
            </w:r>
            <w:r w:rsidR="00773F7C">
              <w:br/>
            </w:r>
          </w:p>
        </w:tc>
        <w:tc>
          <w:tcPr>
            <w:tcW w:w="1451" w:type="dxa"/>
            <w:vAlign w:val="center"/>
          </w:tcPr>
          <w:p w14:paraId="72D113EC"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£22,636</w:t>
            </w:r>
          </w:p>
        </w:tc>
        <w:tc>
          <w:tcPr>
            <w:tcW w:w="1539" w:type="dxa"/>
            <w:vAlign w:val="center"/>
          </w:tcPr>
          <w:p w14:paraId="59F627F0"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£2,850,000</w:t>
            </w:r>
          </w:p>
        </w:tc>
        <w:tc>
          <w:tcPr>
            <w:tcW w:w="1584" w:type="dxa"/>
            <w:vAlign w:val="center"/>
          </w:tcPr>
          <w:p w14:paraId="53670EE8"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£13,900,000</w:t>
            </w:r>
          </w:p>
        </w:tc>
        <w:tc>
          <w:tcPr>
            <w:tcW w:w="1670" w:type="dxa"/>
            <w:vAlign w:val="center"/>
          </w:tcPr>
          <w:p w14:paraId="33B3C9A0"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£49,200,000</w:t>
            </w:r>
          </w:p>
        </w:tc>
      </w:tr>
      <w:tr w:rsidR="00773F7C" w:rsidRPr="0017357E" w14:paraId="395661E1" w14:textId="77777777" w:rsidTr="00217328">
        <w:trPr>
          <w:trHeight w:val="300"/>
        </w:trPr>
        <w:tc>
          <w:tcPr>
            <w:cnfStyle w:val="001000000000" w:firstRow="0" w:lastRow="0" w:firstColumn="1" w:lastColumn="0" w:oddVBand="0" w:evenVBand="0" w:oddHBand="0" w:evenHBand="0" w:firstRowFirstColumn="0" w:firstRowLastColumn="0" w:lastRowFirstColumn="0" w:lastRowLastColumn="0"/>
            <w:tcW w:w="2776" w:type="dxa"/>
            <w:shd w:val="clear" w:color="auto" w:fill="F2F2F2" w:themeFill="background1" w:themeFillShade="F2"/>
            <w:vAlign w:val="center"/>
          </w:tcPr>
          <w:p w14:paraId="38F992D6" w14:textId="77777777" w:rsidR="00773F7C" w:rsidRPr="0017357E" w:rsidRDefault="23AC28C4" w:rsidP="00217328">
            <w:pPr>
              <w:spacing w:line="259" w:lineRule="auto"/>
              <w:jc w:val="center"/>
              <w:rPr>
                <w:rFonts w:ascii="Calibri" w:eastAsia="Calibri" w:hAnsi="Calibri" w:cs="Calibri"/>
                <w:b w:val="0"/>
                <w:bCs w:val="0"/>
                <w:i/>
                <w:iCs/>
                <w:sz w:val="24"/>
                <w:szCs w:val="24"/>
              </w:rPr>
            </w:pPr>
            <w:r w:rsidRPr="7652D584">
              <w:rPr>
                <w:rFonts w:ascii="Calibri" w:eastAsia="Calibri" w:hAnsi="Calibri" w:cs="Calibri"/>
                <w:b w:val="0"/>
                <w:bCs w:val="0"/>
                <w:i/>
                <w:iCs/>
                <w:sz w:val="24"/>
                <w:szCs w:val="24"/>
              </w:rPr>
              <w:t>Slavery-linked wealth (subtotal)</w:t>
            </w:r>
          </w:p>
        </w:tc>
        <w:tc>
          <w:tcPr>
            <w:tcW w:w="1451" w:type="dxa"/>
            <w:shd w:val="clear" w:color="auto" w:fill="F2F2F2" w:themeFill="background1" w:themeFillShade="F2"/>
            <w:vAlign w:val="center"/>
          </w:tcPr>
          <w:p w14:paraId="5982E266" w14:textId="77777777" w:rsidR="00773F7C" w:rsidRPr="00217328"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sz w:val="24"/>
                <w:szCs w:val="24"/>
              </w:rPr>
            </w:pPr>
            <w:r w:rsidRPr="00217328">
              <w:rPr>
                <w:rFonts w:ascii="Calibri" w:eastAsia="Calibri" w:hAnsi="Calibri" w:cs="Calibri"/>
                <w:i/>
                <w:iCs/>
              </w:rPr>
              <w:t>£152,025</w:t>
            </w:r>
          </w:p>
        </w:tc>
        <w:tc>
          <w:tcPr>
            <w:tcW w:w="1539" w:type="dxa"/>
            <w:shd w:val="clear" w:color="auto" w:fill="F2F2F2" w:themeFill="background1" w:themeFillShade="F2"/>
            <w:vAlign w:val="center"/>
          </w:tcPr>
          <w:p w14:paraId="0D3447E9" w14:textId="77777777" w:rsidR="00773F7C" w:rsidRPr="00217328"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sz w:val="24"/>
                <w:szCs w:val="24"/>
              </w:rPr>
            </w:pPr>
            <w:r w:rsidRPr="00217328">
              <w:rPr>
                <w:rFonts w:ascii="Calibri" w:eastAsia="Calibri" w:hAnsi="Calibri" w:cs="Calibri"/>
                <w:i/>
                <w:iCs/>
              </w:rPr>
              <w:t>£17,953,340</w:t>
            </w:r>
          </w:p>
        </w:tc>
        <w:tc>
          <w:tcPr>
            <w:tcW w:w="1584" w:type="dxa"/>
            <w:shd w:val="clear" w:color="auto" w:fill="F2F2F2" w:themeFill="background1" w:themeFillShade="F2"/>
            <w:vAlign w:val="center"/>
          </w:tcPr>
          <w:p w14:paraId="29B77BDB" w14:textId="77777777" w:rsidR="00773F7C" w:rsidRPr="00217328"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sz w:val="24"/>
                <w:szCs w:val="24"/>
              </w:rPr>
            </w:pPr>
            <w:r w:rsidRPr="00217328">
              <w:rPr>
                <w:rFonts w:ascii="Calibri" w:eastAsia="Calibri" w:hAnsi="Calibri" w:cs="Calibri"/>
                <w:i/>
                <w:iCs/>
              </w:rPr>
              <w:t>£132,334,800</w:t>
            </w:r>
          </w:p>
        </w:tc>
        <w:tc>
          <w:tcPr>
            <w:tcW w:w="1670" w:type="dxa"/>
            <w:shd w:val="clear" w:color="auto" w:fill="F2F2F2" w:themeFill="background1" w:themeFillShade="F2"/>
            <w:vAlign w:val="center"/>
          </w:tcPr>
          <w:p w14:paraId="7F173B99" w14:textId="77777777" w:rsidR="00773F7C" w:rsidRPr="00217328"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sz w:val="24"/>
                <w:szCs w:val="24"/>
              </w:rPr>
            </w:pPr>
            <w:r w:rsidRPr="00217328">
              <w:rPr>
                <w:rFonts w:ascii="Calibri" w:eastAsia="Calibri" w:hAnsi="Calibri" w:cs="Calibri"/>
                <w:i/>
                <w:iCs/>
              </w:rPr>
              <w:t>£574,676,000</w:t>
            </w:r>
          </w:p>
        </w:tc>
      </w:tr>
      <w:tr w:rsidR="00773F7C" w:rsidRPr="0017357E" w14:paraId="4AFBB549" w14:textId="77777777" w:rsidTr="00217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6" w:type="dxa"/>
            <w:shd w:val="clear" w:color="auto" w:fill="FFFFFF" w:themeFill="background1"/>
            <w:vAlign w:val="center"/>
          </w:tcPr>
          <w:p w14:paraId="41F5D3F9" w14:textId="77777777" w:rsidR="00773F7C" w:rsidRPr="0017357E" w:rsidRDefault="00773F7C" w:rsidP="00217328">
            <w:pPr>
              <w:spacing w:line="259" w:lineRule="auto"/>
              <w:jc w:val="center"/>
              <w:rPr>
                <w:rFonts w:ascii="Calibri" w:eastAsia="Calibri" w:hAnsi="Calibri" w:cs="Calibri"/>
                <w:i/>
                <w:iCs/>
                <w:sz w:val="24"/>
                <w:szCs w:val="24"/>
              </w:rPr>
            </w:pPr>
          </w:p>
        </w:tc>
        <w:tc>
          <w:tcPr>
            <w:tcW w:w="1451" w:type="dxa"/>
            <w:shd w:val="clear" w:color="auto" w:fill="FFFFFF" w:themeFill="background1"/>
            <w:vAlign w:val="center"/>
          </w:tcPr>
          <w:p w14:paraId="0ED1CC21" w14:textId="77777777" w:rsidR="00773F7C" w:rsidRPr="0017357E" w:rsidRDefault="00773F7C"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i/>
                <w:iCs/>
                <w:sz w:val="24"/>
                <w:szCs w:val="24"/>
              </w:rPr>
            </w:pPr>
          </w:p>
        </w:tc>
        <w:tc>
          <w:tcPr>
            <w:tcW w:w="1539" w:type="dxa"/>
            <w:shd w:val="clear" w:color="auto" w:fill="FFFFFF" w:themeFill="background1"/>
            <w:vAlign w:val="center"/>
          </w:tcPr>
          <w:p w14:paraId="2190CB35" w14:textId="77777777" w:rsidR="00773F7C" w:rsidRPr="0017357E" w:rsidRDefault="00773F7C"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i/>
                <w:iCs/>
                <w:sz w:val="24"/>
                <w:szCs w:val="24"/>
              </w:rPr>
            </w:pPr>
          </w:p>
        </w:tc>
        <w:tc>
          <w:tcPr>
            <w:tcW w:w="1584" w:type="dxa"/>
            <w:shd w:val="clear" w:color="auto" w:fill="FFFFFF" w:themeFill="background1"/>
            <w:vAlign w:val="center"/>
          </w:tcPr>
          <w:p w14:paraId="4AD07317" w14:textId="77777777" w:rsidR="00773F7C" w:rsidRPr="0017357E" w:rsidRDefault="00773F7C"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i/>
                <w:iCs/>
                <w:sz w:val="24"/>
                <w:szCs w:val="24"/>
              </w:rPr>
            </w:pPr>
          </w:p>
        </w:tc>
        <w:tc>
          <w:tcPr>
            <w:tcW w:w="1670" w:type="dxa"/>
            <w:shd w:val="clear" w:color="auto" w:fill="FFFFFF" w:themeFill="background1"/>
            <w:vAlign w:val="center"/>
          </w:tcPr>
          <w:p w14:paraId="39DC1418" w14:textId="77777777" w:rsidR="00773F7C" w:rsidRPr="0017357E" w:rsidRDefault="00773F7C"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i/>
                <w:iCs/>
                <w:sz w:val="24"/>
                <w:szCs w:val="24"/>
              </w:rPr>
            </w:pPr>
          </w:p>
        </w:tc>
      </w:tr>
      <w:tr w:rsidR="00773F7C" w:rsidRPr="0017357E" w14:paraId="6061CC71" w14:textId="77777777" w:rsidTr="00217328">
        <w:trPr>
          <w:trHeight w:val="602"/>
        </w:trPr>
        <w:tc>
          <w:tcPr>
            <w:cnfStyle w:val="001000000000" w:firstRow="0" w:lastRow="0" w:firstColumn="1" w:lastColumn="0" w:oddVBand="0" w:evenVBand="0" w:oddHBand="0" w:evenHBand="0" w:firstRowFirstColumn="0" w:firstRowLastColumn="0" w:lastRowFirstColumn="0" w:lastRowLastColumn="0"/>
            <w:tcW w:w="2776" w:type="dxa"/>
            <w:shd w:val="clear" w:color="auto" w:fill="F2F2F2" w:themeFill="background1" w:themeFillShade="F2"/>
            <w:vAlign w:val="center"/>
          </w:tcPr>
          <w:p w14:paraId="35667FD2" w14:textId="77777777" w:rsidR="00773F7C" w:rsidRPr="0017357E" w:rsidRDefault="23AC28C4" w:rsidP="00217328">
            <w:pPr>
              <w:spacing w:line="259" w:lineRule="auto"/>
              <w:jc w:val="center"/>
              <w:rPr>
                <w:rFonts w:ascii="Calibri" w:eastAsia="Calibri" w:hAnsi="Calibri" w:cs="Calibri"/>
                <w:b w:val="0"/>
                <w:bCs w:val="0"/>
                <w:sz w:val="24"/>
                <w:szCs w:val="24"/>
              </w:rPr>
            </w:pPr>
            <w:r w:rsidRPr="7652D584">
              <w:rPr>
                <w:rFonts w:ascii="Calibri" w:eastAsia="Calibri" w:hAnsi="Calibri" w:cs="Calibri"/>
                <w:b w:val="0"/>
                <w:bCs w:val="0"/>
                <w:sz w:val="24"/>
                <w:szCs w:val="24"/>
              </w:rPr>
              <w:t>Empire-linked endowments</w:t>
            </w:r>
          </w:p>
          <w:p w14:paraId="38426E03" w14:textId="77777777" w:rsidR="00773F7C" w:rsidRPr="0017357E" w:rsidRDefault="00773F7C" w:rsidP="00217328">
            <w:pPr>
              <w:spacing w:line="259" w:lineRule="auto"/>
              <w:jc w:val="center"/>
              <w:rPr>
                <w:rFonts w:ascii="Calibri" w:eastAsia="Calibri" w:hAnsi="Calibri" w:cs="Calibri"/>
                <w:b w:val="0"/>
                <w:bCs w:val="0"/>
                <w:sz w:val="24"/>
                <w:szCs w:val="24"/>
              </w:rPr>
            </w:pPr>
          </w:p>
        </w:tc>
        <w:tc>
          <w:tcPr>
            <w:tcW w:w="1451" w:type="dxa"/>
            <w:shd w:val="clear" w:color="auto" w:fill="F2F2F2" w:themeFill="background1" w:themeFillShade="F2"/>
            <w:vAlign w:val="center"/>
          </w:tcPr>
          <w:p w14:paraId="678330F2" w14:textId="77777777" w:rsidR="00773F7C" w:rsidRPr="0017357E"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£91,478</w:t>
            </w:r>
          </w:p>
        </w:tc>
        <w:tc>
          <w:tcPr>
            <w:tcW w:w="1539" w:type="dxa"/>
            <w:shd w:val="clear" w:color="auto" w:fill="F2F2F2" w:themeFill="background1" w:themeFillShade="F2"/>
            <w:vAlign w:val="center"/>
          </w:tcPr>
          <w:p w14:paraId="2EF9952C" w14:textId="77777777" w:rsidR="00773F7C" w:rsidRPr="0017357E"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£11,223,600</w:t>
            </w:r>
          </w:p>
        </w:tc>
        <w:tc>
          <w:tcPr>
            <w:tcW w:w="1584" w:type="dxa"/>
            <w:shd w:val="clear" w:color="auto" w:fill="F2F2F2" w:themeFill="background1" w:themeFillShade="F2"/>
            <w:vAlign w:val="center"/>
          </w:tcPr>
          <w:p w14:paraId="37DC89FC" w14:textId="77777777" w:rsidR="00773F7C" w:rsidRPr="0017357E"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£63,059,000</w:t>
            </w:r>
          </w:p>
        </w:tc>
        <w:tc>
          <w:tcPr>
            <w:tcW w:w="1670" w:type="dxa"/>
            <w:shd w:val="clear" w:color="auto" w:fill="F2F2F2" w:themeFill="background1" w:themeFillShade="F2"/>
            <w:vAlign w:val="center"/>
          </w:tcPr>
          <w:p w14:paraId="22A64996" w14:textId="77777777" w:rsidR="00773F7C" w:rsidRPr="0017357E"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£226,352,000</w:t>
            </w:r>
          </w:p>
        </w:tc>
      </w:tr>
      <w:tr w:rsidR="00773F7C" w:rsidRPr="0017357E" w14:paraId="4D000D9B" w14:textId="77777777" w:rsidTr="00217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6" w:type="dxa"/>
            <w:vAlign w:val="center"/>
          </w:tcPr>
          <w:p w14:paraId="22ECF9CC" w14:textId="77777777" w:rsidR="00773F7C" w:rsidRPr="0017357E" w:rsidRDefault="23AC28C4" w:rsidP="00217328">
            <w:pPr>
              <w:spacing w:line="259" w:lineRule="auto"/>
              <w:jc w:val="center"/>
              <w:rPr>
                <w:rFonts w:ascii="Calibri" w:eastAsia="Calibri" w:hAnsi="Calibri" w:cs="Calibri"/>
                <w:b w:val="0"/>
                <w:bCs w:val="0"/>
                <w:sz w:val="24"/>
                <w:szCs w:val="24"/>
              </w:rPr>
            </w:pPr>
            <w:r w:rsidRPr="7652D584">
              <w:rPr>
                <w:rFonts w:ascii="Calibri" w:eastAsia="Calibri" w:hAnsi="Calibri" w:cs="Calibri"/>
                <w:b w:val="0"/>
                <w:bCs w:val="0"/>
                <w:sz w:val="24"/>
                <w:szCs w:val="24"/>
              </w:rPr>
              <w:t xml:space="preserve">Empire-linked </w:t>
            </w:r>
            <w:r w:rsidR="00773F7C">
              <w:br/>
            </w:r>
            <w:r w:rsidRPr="7652D584">
              <w:rPr>
                <w:rFonts w:ascii="Calibri" w:eastAsia="Calibri" w:hAnsi="Calibri" w:cs="Calibri"/>
                <w:b w:val="0"/>
                <w:bCs w:val="0"/>
                <w:sz w:val="24"/>
                <w:szCs w:val="24"/>
              </w:rPr>
              <w:t>Old College subscriptions</w:t>
            </w:r>
          </w:p>
          <w:p w14:paraId="7837CC6A" w14:textId="77777777" w:rsidR="00773F7C" w:rsidRPr="0017357E" w:rsidRDefault="00773F7C" w:rsidP="00217328">
            <w:pPr>
              <w:spacing w:line="259" w:lineRule="auto"/>
              <w:jc w:val="center"/>
              <w:rPr>
                <w:rFonts w:ascii="Calibri" w:eastAsia="Calibri" w:hAnsi="Calibri" w:cs="Calibri"/>
                <w:b w:val="0"/>
                <w:bCs w:val="0"/>
                <w:sz w:val="24"/>
                <w:szCs w:val="24"/>
              </w:rPr>
            </w:pPr>
          </w:p>
        </w:tc>
        <w:tc>
          <w:tcPr>
            <w:tcW w:w="1451" w:type="dxa"/>
            <w:vAlign w:val="center"/>
          </w:tcPr>
          <w:p w14:paraId="0FA9FF63"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£2,860</w:t>
            </w:r>
          </w:p>
        </w:tc>
        <w:tc>
          <w:tcPr>
            <w:tcW w:w="1539" w:type="dxa"/>
            <w:vAlign w:val="center"/>
          </w:tcPr>
          <w:p w14:paraId="07B73CA1"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£440,000</w:t>
            </w:r>
          </w:p>
        </w:tc>
        <w:tc>
          <w:tcPr>
            <w:tcW w:w="1584" w:type="dxa"/>
            <w:vAlign w:val="center"/>
          </w:tcPr>
          <w:p w14:paraId="1B9DA0CA"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£5,010,000</w:t>
            </w:r>
          </w:p>
        </w:tc>
        <w:tc>
          <w:tcPr>
            <w:tcW w:w="1670" w:type="dxa"/>
            <w:vAlign w:val="center"/>
          </w:tcPr>
          <w:p w14:paraId="092E36FC"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£36,200,000</w:t>
            </w:r>
          </w:p>
        </w:tc>
      </w:tr>
      <w:tr w:rsidR="00773F7C" w:rsidRPr="0017357E" w14:paraId="60741ED6" w14:textId="77777777" w:rsidTr="00217328">
        <w:trPr>
          <w:trHeight w:val="300"/>
        </w:trPr>
        <w:tc>
          <w:tcPr>
            <w:cnfStyle w:val="001000000000" w:firstRow="0" w:lastRow="0" w:firstColumn="1" w:lastColumn="0" w:oddVBand="0" w:evenVBand="0" w:oddHBand="0" w:evenHBand="0" w:firstRowFirstColumn="0" w:firstRowLastColumn="0" w:lastRowFirstColumn="0" w:lastRowLastColumn="0"/>
            <w:tcW w:w="2776" w:type="dxa"/>
            <w:shd w:val="clear" w:color="auto" w:fill="F2F2F2" w:themeFill="background1" w:themeFillShade="F2"/>
            <w:vAlign w:val="center"/>
          </w:tcPr>
          <w:p w14:paraId="1616C5A8" w14:textId="77777777" w:rsidR="00773F7C" w:rsidRPr="0017357E" w:rsidRDefault="23AC28C4" w:rsidP="00217328">
            <w:pPr>
              <w:spacing w:line="259" w:lineRule="auto"/>
              <w:jc w:val="center"/>
              <w:rPr>
                <w:rFonts w:ascii="Calibri" w:eastAsia="Calibri" w:hAnsi="Calibri" w:cs="Calibri"/>
                <w:b w:val="0"/>
                <w:bCs w:val="0"/>
                <w:sz w:val="24"/>
                <w:szCs w:val="24"/>
              </w:rPr>
            </w:pPr>
            <w:r w:rsidRPr="7652D584">
              <w:rPr>
                <w:rFonts w:ascii="Calibri" w:eastAsia="Calibri" w:hAnsi="Calibri" w:cs="Calibri"/>
                <w:b w:val="0"/>
                <w:bCs w:val="0"/>
                <w:sz w:val="24"/>
                <w:szCs w:val="24"/>
              </w:rPr>
              <w:t>Empire-linked</w:t>
            </w:r>
            <w:r w:rsidR="00773F7C">
              <w:br/>
            </w:r>
            <w:r w:rsidRPr="7652D584">
              <w:rPr>
                <w:rFonts w:ascii="Calibri" w:eastAsia="Calibri" w:hAnsi="Calibri" w:cs="Calibri"/>
                <w:b w:val="0"/>
                <w:bCs w:val="0"/>
                <w:sz w:val="24"/>
                <w:szCs w:val="24"/>
              </w:rPr>
              <w:t>Old Medical School subscriptions</w:t>
            </w:r>
            <w:r w:rsidR="00773F7C">
              <w:br/>
            </w:r>
          </w:p>
        </w:tc>
        <w:tc>
          <w:tcPr>
            <w:tcW w:w="1451" w:type="dxa"/>
            <w:shd w:val="clear" w:color="auto" w:fill="F2F2F2" w:themeFill="background1" w:themeFillShade="F2"/>
            <w:vAlign w:val="center"/>
          </w:tcPr>
          <w:p w14:paraId="02A9896A" w14:textId="77777777" w:rsidR="00773F7C" w:rsidRPr="0017357E"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£3,364</w:t>
            </w:r>
          </w:p>
        </w:tc>
        <w:tc>
          <w:tcPr>
            <w:tcW w:w="1539" w:type="dxa"/>
            <w:shd w:val="clear" w:color="auto" w:fill="F2F2F2" w:themeFill="background1" w:themeFillShade="F2"/>
            <w:vAlign w:val="center"/>
          </w:tcPr>
          <w:p w14:paraId="3D0950A5" w14:textId="77777777" w:rsidR="00773F7C" w:rsidRPr="0017357E"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£423,000</w:t>
            </w:r>
          </w:p>
        </w:tc>
        <w:tc>
          <w:tcPr>
            <w:tcW w:w="1584" w:type="dxa"/>
            <w:shd w:val="clear" w:color="auto" w:fill="F2F2F2" w:themeFill="background1" w:themeFillShade="F2"/>
            <w:vAlign w:val="center"/>
          </w:tcPr>
          <w:p w14:paraId="29679912" w14:textId="77777777" w:rsidR="00773F7C" w:rsidRPr="0017357E"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£2,070,000</w:t>
            </w:r>
          </w:p>
        </w:tc>
        <w:tc>
          <w:tcPr>
            <w:tcW w:w="1670" w:type="dxa"/>
            <w:shd w:val="clear" w:color="auto" w:fill="F2F2F2" w:themeFill="background1" w:themeFillShade="F2"/>
            <w:vAlign w:val="center"/>
          </w:tcPr>
          <w:p w14:paraId="06680AD4" w14:textId="77777777" w:rsidR="00773F7C" w:rsidRPr="0017357E" w:rsidRDefault="23AC28C4"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4"/>
                <w:szCs w:val="24"/>
              </w:rPr>
            </w:pPr>
            <w:r w:rsidRPr="7652D584">
              <w:rPr>
                <w:rFonts w:ascii="Calibri" w:eastAsia="Calibri" w:hAnsi="Calibri" w:cs="Calibri"/>
                <w:sz w:val="24"/>
                <w:szCs w:val="24"/>
              </w:rPr>
              <w:t>£7,310,000</w:t>
            </w:r>
          </w:p>
        </w:tc>
      </w:tr>
      <w:tr w:rsidR="00773F7C" w:rsidRPr="0017357E" w14:paraId="7AD98781" w14:textId="77777777" w:rsidTr="00217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6" w:type="dxa"/>
            <w:vAlign w:val="center"/>
          </w:tcPr>
          <w:p w14:paraId="61CFDDF1" w14:textId="77777777" w:rsidR="00773F7C" w:rsidRPr="0017357E" w:rsidRDefault="23AC28C4" w:rsidP="00217328">
            <w:pPr>
              <w:spacing w:line="259" w:lineRule="auto"/>
              <w:jc w:val="center"/>
              <w:rPr>
                <w:rFonts w:ascii="Calibri" w:eastAsia="Calibri" w:hAnsi="Calibri" w:cs="Calibri"/>
                <w:b w:val="0"/>
                <w:bCs w:val="0"/>
                <w:i/>
                <w:iCs/>
                <w:sz w:val="24"/>
                <w:szCs w:val="24"/>
              </w:rPr>
            </w:pPr>
            <w:r w:rsidRPr="7652D584">
              <w:rPr>
                <w:rFonts w:ascii="Calibri" w:eastAsia="Calibri" w:hAnsi="Calibri" w:cs="Calibri"/>
                <w:b w:val="0"/>
                <w:bCs w:val="0"/>
                <w:i/>
                <w:iCs/>
                <w:sz w:val="24"/>
                <w:szCs w:val="24"/>
              </w:rPr>
              <w:t>Empire-linked wealth (subtotal)</w:t>
            </w:r>
          </w:p>
        </w:tc>
        <w:tc>
          <w:tcPr>
            <w:tcW w:w="1451" w:type="dxa"/>
            <w:vAlign w:val="center"/>
          </w:tcPr>
          <w:p w14:paraId="7E825D75" w14:textId="77777777" w:rsidR="00773F7C" w:rsidRPr="00217328"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iCs/>
                <w:sz w:val="24"/>
                <w:szCs w:val="24"/>
              </w:rPr>
            </w:pPr>
            <w:r w:rsidRPr="00217328">
              <w:rPr>
                <w:rFonts w:ascii="Calibri" w:eastAsia="Calibri" w:hAnsi="Calibri" w:cs="Calibri"/>
                <w:i/>
                <w:iCs/>
              </w:rPr>
              <w:t>£97,702</w:t>
            </w:r>
          </w:p>
        </w:tc>
        <w:tc>
          <w:tcPr>
            <w:tcW w:w="1539" w:type="dxa"/>
            <w:vAlign w:val="center"/>
          </w:tcPr>
          <w:p w14:paraId="6A485BD2" w14:textId="77777777" w:rsidR="00773F7C" w:rsidRPr="00217328"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iCs/>
                <w:sz w:val="24"/>
                <w:szCs w:val="24"/>
              </w:rPr>
            </w:pPr>
            <w:r w:rsidRPr="00217328">
              <w:rPr>
                <w:rFonts w:ascii="Calibri" w:eastAsia="Calibri" w:hAnsi="Calibri" w:cs="Calibri"/>
                <w:i/>
                <w:iCs/>
              </w:rPr>
              <w:t>£12,086,600</w:t>
            </w:r>
          </w:p>
        </w:tc>
        <w:tc>
          <w:tcPr>
            <w:tcW w:w="1584" w:type="dxa"/>
            <w:vAlign w:val="center"/>
          </w:tcPr>
          <w:p w14:paraId="74F76CF7" w14:textId="77777777" w:rsidR="00773F7C" w:rsidRPr="00217328"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iCs/>
                <w:sz w:val="24"/>
                <w:szCs w:val="24"/>
              </w:rPr>
            </w:pPr>
            <w:r w:rsidRPr="00217328">
              <w:rPr>
                <w:rFonts w:ascii="Calibri" w:eastAsia="Calibri" w:hAnsi="Calibri" w:cs="Calibri"/>
                <w:i/>
                <w:iCs/>
              </w:rPr>
              <w:t>£70,139,000</w:t>
            </w:r>
          </w:p>
        </w:tc>
        <w:tc>
          <w:tcPr>
            <w:tcW w:w="1670" w:type="dxa"/>
            <w:vAlign w:val="center"/>
          </w:tcPr>
          <w:p w14:paraId="531C2C3A" w14:textId="77777777" w:rsidR="00773F7C" w:rsidRPr="00217328"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iCs/>
                <w:sz w:val="24"/>
                <w:szCs w:val="24"/>
              </w:rPr>
            </w:pPr>
            <w:r w:rsidRPr="00217328">
              <w:rPr>
                <w:rFonts w:ascii="Calibri" w:eastAsia="Calibri" w:hAnsi="Calibri" w:cs="Calibri"/>
                <w:i/>
                <w:iCs/>
              </w:rPr>
              <w:t>£269,862,000</w:t>
            </w:r>
          </w:p>
        </w:tc>
      </w:tr>
      <w:tr w:rsidR="00773F7C" w:rsidRPr="0017357E" w14:paraId="0461863D" w14:textId="77777777" w:rsidTr="00217328">
        <w:trPr>
          <w:trHeight w:val="300"/>
        </w:trPr>
        <w:tc>
          <w:tcPr>
            <w:cnfStyle w:val="001000000000" w:firstRow="0" w:lastRow="0" w:firstColumn="1" w:lastColumn="0" w:oddVBand="0" w:evenVBand="0" w:oddHBand="0" w:evenHBand="0" w:firstRowFirstColumn="0" w:firstRowLastColumn="0" w:lastRowFirstColumn="0" w:lastRowLastColumn="0"/>
            <w:tcW w:w="2776" w:type="dxa"/>
            <w:vAlign w:val="center"/>
          </w:tcPr>
          <w:p w14:paraId="06306949" w14:textId="77777777" w:rsidR="00773F7C" w:rsidRPr="0017357E" w:rsidRDefault="00773F7C" w:rsidP="00217328">
            <w:pPr>
              <w:spacing w:line="259" w:lineRule="auto"/>
              <w:jc w:val="center"/>
              <w:rPr>
                <w:rFonts w:ascii="Calibri" w:eastAsia="Calibri" w:hAnsi="Calibri" w:cs="Calibri"/>
                <w:i/>
                <w:iCs/>
                <w:sz w:val="24"/>
                <w:szCs w:val="24"/>
              </w:rPr>
            </w:pPr>
          </w:p>
        </w:tc>
        <w:tc>
          <w:tcPr>
            <w:tcW w:w="1451" w:type="dxa"/>
            <w:vAlign w:val="center"/>
          </w:tcPr>
          <w:p w14:paraId="0A43CDF2" w14:textId="77777777" w:rsidR="00773F7C" w:rsidRPr="0017357E" w:rsidRDefault="00773F7C"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i/>
                <w:iCs/>
                <w:sz w:val="24"/>
                <w:szCs w:val="24"/>
              </w:rPr>
            </w:pPr>
          </w:p>
        </w:tc>
        <w:tc>
          <w:tcPr>
            <w:tcW w:w="1539" w:type="dxa"/>
            <w:vAlign w:val="center"/>
          </w:tcPr>
          <w:p w14:paraId="664067C5" w14:textId="77777777" w:rsidR="00773F7C" w:rsidRPr="0017357E" w:rsidRDefault="00773F7C"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i/>
                <w:iCs/>
                <w:sz w:val="24"/>
                <w:szCs w:val="24"/>
              </w:rPr>
            </w:pPr>
          </w:p>
        </w:tc>
        <w:tc>
          <w:tcPr>
            <w:tcW w:w="1584" w:type="dxa"/>
            <w:vAlign w:val="center"/>
          </w:tcPr>
          <w:p w14:paraId="4FD9ECDF" w14:textId="77777777" w:rsidR="00773F7C" w:rsidRPr="0017357E" w:rsidRDefault="00773F7C"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i/>
                <w:iCs/>
                <w:sz w:val="24"/>
                <w:szCs w:val="24"/>
              </w:rPr>
            </w:pPr>
          </w:p>
        </w:tc>
        <w:tc>
          <w:tcPr>
            <w:tcW w:w="1670" w:type="dxa"/>
            <w:vAlign w:val="center"/>
          </w:tcPr>
          <w:p w14:paraId="76610DF6" w14:textId="77777777" w:rsidR="00773F7C" w:rsidRPr="0017357E" w:rsidRDefault="00773F7C" w:rsidP="00217328">
            <w:pPr>
              <w:spacing w:line="259" w:lineRule="auto"/>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bCs/>
                <w:i/>
                <w:iCs/>
                <w:sz w:val="24"/>
                <w:szCs w:val="24"/>
              </w:rPr>
            </w:pPr>
          </w:p>
        </w:tc>
      </w:tr>
      <w:tr w:rsidR="00773F7C" w:rsidRPr="0017357E" w14:paraId="6E45FDBC" w14:textId="77777777" w:rsidTr="00217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6" w:type="dxa"/>
            <w:vAlign w:val="center"/>
          </w:tcPr>
          <w:p w14:paraId="2C678CFB" w14:textId="77777777" w:rsidR="00773F7C" w:rsidRPr="0017357E" w:rsidRDefault="23AC28C4" w:rsidP="00217328">
            <w:pPr>
              <w:spacing w:line="259" w:lineRule="auto"/>
              <w:jc w:val="center"/>
              <w:rPr>
                <w:rFonts w:ascii="Calibri" w:eastAsia="Calibri" w:hAnsi="Calibri" w:cs="Calibri"/>
                <w:sz w:val="24"/>
                <w:szCs w:val="24"/>
              </w:rPr>
            </w:pPr>
            <w:r w:rsidRPr="7652D584">
              <w:rPr>
                <w:rFonts w:ascii="Calibri" w:eastAsia="Calibri" w:hAnsi="Calibri" w:cs="Calibri"/>
                <w:sz w:val="24"/>
                <w:szCs w:val="24"/>
              </w:rPr>
              <w:t>Slavery- and empire-linked wealth (total)</w:t>
            </w:r>
          </w:p>
        </w:tc>
        <w:tc>
          <w:tcPr>
            <w:tcW w:w="1451" w:type="dxa"/>
            <w:vAlign w:val="center"/>
          </w:tcPr>
          <w:p w14:paraId="1B984337"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4"/>
                <w:szCs w:val="24"/>
              </w:rPr>
            </w:pPr>
            <w:r w:rsidRPr="7652D584">
              <w:rPr>
                <w:rFonts w:ascii="Calibri" w:eastAsia="Calibri" w:hAnsi="Calibri" w:cs="Calibri"/>
                <w:b/>
                <w:bCs/>
                <w:sz w:val="24"/>
                <w:szCs w:val="24"/>
              </w:rPr>
              <w:t>£249,727</w:t>
            </w:r>
          </w:p>
        </w:tc>
        <w:tc>
          <w:tcPr>
            <w:tcW w:w="1539" w:type="dxa"/>
            <w:vAlign w:val="center"/>
          </w:tcPr>
          <w:p w14:paraId="3B575A24"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4"/>
                <w:szCs w:val="24"/>
              </w:rPr>
            </w:pPr>
            <w:r w:rsidRPr="7652D584">
              <w:rPr>
                <w:rFonts w:ascii="Calibri" w:eastAsia="Calibri" w:hAnsi="Calibri" w:cs="Calibri"/>
                <w:b/>
                <w:bCs/>
                <w:sz w:val="24"/>
                <w:szCs w:val="24"/>
              </w:rPr>
              <w:t>£30,039,940</w:t>
            </w:r>
          </w:p>
        </w:tc>
        <w:tc>
          <w:tcPr>
            <w:tcW w:w="1584" w:type="dxa"/>
            <w:vAlign w:val="center"/>
          </w:tcPr>
          <w:p w14:paraId="2129E3A8"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4"/>
                <w:szCs w:val="24"/>
              </w:rPr>
            </w:pPr>
            <w:r w:rsidRPr="7652D584">
              <w:rPr>
                <w:rFonts w:ascii="Calibri" w:eastAsia="Calibri" w:hAnsi="Calibri" w:cs="Calibri"/>
                <w:b/>
                <w:bCs/>
                <w:sz w:val="24"/>
                <w:szCs w:val="24"/>
              </w:rPr>
              <w:t>£202,473,800</w:t>
            </w:r>
          </w:p>
        </w:tc>
        <w:tc>
          <w:tcPr>
            <w:tcW w:w="1670" w:type="dxa"/>
            <w:vAlign w:val="center"/>
          </w:tcPr>
          <w:p w14:paraId="5F0F6FEF" w14:textId="77777777" w:rsidR="00773F7C" w:rsidRPr="0017357E" w:rsidRDefault="23AC28C4" w:rsidP="00217328">
            <w:pPr>
              <w:spacing w:line="259"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sz w:val="24"/>
                <w:szCs w:val="24"/>
              </w:rPr>
            </w:pPr>
            <w:r w:rsidRPr="7652D584">
              <w:rPr>
                <w:rFonts w:ascii="Calibri" w:eastAsia="Calibri" w:hAnsi="Calibri" w:cs="Calibri"/>
                <w:b/>
                <w:bCs/>
                <w:sz w:val="24"/>
                <w:szCs w:val="24"/>
              </w:rPr>
              <w:t>£844,538,000</w:t>
            </w:r>
          </w:p>
        </w:tc>
      </w:tr>
    </w:tbl>
    <w:p w14:paraId="192BA352" w14:textId="050C312C" w:rsidR="00773F7C" w:rsidRPr="00126288" w:rsidRDefault="23AC28C4" w:rsidP="00057638">
      <w:pPr>
        <w:pStyle w:val="Heading4"/>
        <w:jc w:val="left"/>
      </w:pPr>
      <w:r w:rsidRPr="00126288">
        <w:lastRenderedPageBreak/>
        <w:t>Research Finding 2. The University of Edinburgh’s Links to the Company of Scotland Trading to Africa and the Indies</w:t>
      </w:r>
    </w:p>
    <w:p w14:paraId="3A252FFF" w14:textId="0F55E293" w:rsidR="00773F7C" w:rsidRPr="0017357E" w:rsidRDefault="00C1400C" w:rsidP="00057638">
      <w:pPr>
        <w:spacing w:line="259" w:lineRule="auto"/>
        <w:rPr>
          <w:rFonts w:ascii="Calibri" w:hAnsi="Calibri" w:cs="Calibri"/>
        </w:rPr>
      </w:pPr>
      <w:r>
        <w:rPr>
          <w:rFonts w:ascii="Calibri" w:hAnsi="Calibri" w:cs="Calibri"/>
        </w:rPr>
        <w:t>This study looked at t</w:t>
      </w:r>
      <w:r w:rsidR="00773F7C" w:rsidRPr="0017357E">
        <w:rPr>
          <w:rFonts w:ascii="Calibri" w:hAnsi="Calibri" w:cs="Calibri"/>
        </w:rPr>
        <w:t>he Company of Scotland Trading to Africa and the Indies (1695</w:t>
      </w:r>
      <w:r w:rsidR="00397557">
        <w:rPr>
          <w:rFonts w:cs="Calibri"/>
        </w:rPr>
        <w:t>–</w:t>
      </w:r>
      <w:r w:rsidR="00773F7C" w:rsidRPr="0017357E">
        <w:rPr>
          <w:rFonts w:ascii="Calibri" w:hAnsi="Calibri" w:cs="Calibri"/>
        </w:rPr>
        <w:t>1707)</w:t>
      </w:r>
      <w:r w:rsidR="00450ADB">
        <w:rPr>
          <w:rFonts w:ascii="Calibri" w:hAnsi="Calibri" w:cs="Calibri"/>
        </w:rPr>
        <w:t xml:space="preserve">, </w:t>
      </w:r>
      <w:r w:rsidR="00773F7C" w:rsidRPr="0017357E">
        <w:rPr>
          <w:rFonts w:ascii="Calibri" w:hAnsi="Calibri" w:cs="Calibri"/>
        </w:rPr>
        <w:t>a joint-stock company</w:t>
      </w:r>
      <w:r w:rsidR="00450ADB">
        <w:rPr>
          <w:rFonts w:ascii="Calibri" w:hAnsi="Calibri" w:cs="Calibri"/>
        </w:rPr>
        <w:t xml:space="preserve"> that was</w:t>
      </w:r>
      <w:r w:rsidR="00773F7C" w:rsidRPr="0017357E">
        <w:rPr>
          <w:rFonts w:ascii="Calibri" w:hAnsi="Calibri" w:cs="Calibri"/>
        </w:rPr>
        <w:t xml:space="preserve"> established by an Act of Scottish Parliament</w:t>
      </w:r>
      <w:r w:rsidR="00450ADB">
        <w:rPr>
          <w:rFonts w:ascii="Calibri" w:hAnsi="Calibri" w:cs="Calibri"/>
        </w:rPr>
        <w:t xml:space="preserve"> and is</w:t>
      </w:r>
      <w:r w:rsidR="00773F7C" w:rsidRPr="0017357E">
        <w:rPr>
          <w:rFonts w:ascii="Calibri" w:hAnsi="Calibri" w:cs="Calibri"/>
        </w:rPr>
        <w:t xml:space="preserve"> most well-known for trying (and failing) to establish the Scottish colony of New Caledonia on the Isthmus of Darien (modern-day Panama). Commonly referred to as </w:t>
      </w:r>
      <w:r w:rsidR="00C35702">
        <w:rPr>
          <w:rFonts w:ascii="Calibri" w:hAnsi="Calibri" w:cs="Calibri"/>
        </w:rPr>
        <w:t>‘</w:t>
      </w:r>
      <w:r w:rsidR="00773F7C" w:rsidRPr="0017357E">
        <w:rPr>
          <w:rFonts w:ascii="Calibri" w:hAnsi="Calibri" w:cs="Calibri"/>
        </w:rPr>
        <w:t xml:space="preserve">the Darien </w:t>
      </w:r>
      <w:r w:rsidR="00C35702">
        <w:rPr>
          <w:rFonts w:ascii="Calibri" w:hAnsi="Calibri" w:cs="Calibri"/>
        </w:rPr>
        <w:t>S</w:t>
      </w:r>
      <w:r w:rsidR="00773F7C" w:rsidRPr="0017357E">
        <w:rPr>
          <w:rFonts w:ascii="Calibri" w:hAnsi="Calibri" w:cs="Calibri"/>
        </w:rPr>
        <w:t>cheme’, New Caledonia has often been characterised in Scottish historiography as a ‘tragic disaster for Scotland rather than a failed attempt at settler-colonisation intent on the exploitation of enslaved labour’.</w:t>
      </w:r>
      <w:r w:rsidR="00773F7C" w:rsidRPr="0017357E">
        <w:rPr>
          <w:rStyle w:val="FootnoteReference"/>
          <w:rFonts w:ascii="Calibri" w:hAnsi="Calibri" w:cs="Calibri"/>
        </w:rPr>
        <w:footnoteReference w:id="41"/>
      </w:r>
      <w:r w:rsidR="00773F7C" w:rsidRPr="0017357E">
        <w:rPr>
          <w:rFonts w:ascii="Calibri" w:hAnsi="Calibri" w:cs="Calibri"/>
        </w:rPr>
        <w:t xml:space="preserve"> Although the Company’s links to slavery require a deeper investigation, it is clear that the Company not only planned to integrate Scotland into the transatlantic slavery economy, but did in fact engage in the trafficking of some captive Africans in an Indian Ocean context.</w:t>
      </w:r>
      <w:r w:rsidR="00773F7C" w:rsidRPr="0017357E">
        <w:rPr>
          <w:rFonts w:ascii="Calibri" w:hAnsi="Calibri" w:cs="Calibri"/>
          <w:vertAlign w:val="superscript"/>
        </w:rPr>
        <w:footnoteReference w:id="42"/>
      </w:r>
    </w:p>
    <w:p w14:paraId="3FAF0DBF" w14:textId="6CE1D6F9" w:rsidR="00773F7C" w:rsidRPr="0017357E" w:rsidRDefault="00773F7C" w:rsidP="00057638">
      <w:pPr>
        <w:spacing w:line="259" w:lineRule="auto"/>
        <w:ind w:firstLine="720"/>
        <w:rPr>
          <w:rFonts w:ascii="Calibri" w:hAnsi="Calibri" w:cs="Calibri"/>
        </w:rPr>
      </w:pPr>
      <w:r w:rsidRPr="0017357E">
        <w:rPr>
          <w:rFonts w:ascii="Calibri" w:hAnsi="Calibri" w:cs="Calibri"/>
        </w:rPr>
        <w:t xml:space="preserve">In 1696, members of the </w:t>
      </w:r>
      <w:r w:rsidR="00A27530">
        <w:rPr>
          <w:rFonts w:ascii="Calibri" w:hAnsi="Calibri" w:cs="Calibri"/>
        </w:rPr>
        <w:t>University of Edinburgh</w:t>
      </w:r>
      <w:r w:rsidRPr="0017357E">
        <w:rPr>
          <w:rFonts w:ascii="Calibri" w:hAnsi="Calibri" w:cs="Calibri"/>
        </w:rPr>
        <w:t xml:space="preserve"> financially invested in the Company of Scotland, including three professors (Alexander Rule, Professor of the Oriental Languages; James Gregory, Professor of Mathematics; and William Scott, Professor of Philosophy); the Lord Provost and ex officio Rector (Robert Cheislie); and one student (James Gregory, ‘Student of Medicine’).</w:t>
      </w:r>
      <w:r w:rsidRPr="0017357E">
        <w:rPr>
          <w:rStyle w:val="FootnoteReference"/>
          <w:rFonts w:ascii="Calibri" w:hAnsi="Calibri" w:cs="Calibri"/>
        </w:rPr>
        <w:footnoteReference w:id="43"/>
      </w:r>
      <w:r w:rsidRPr="0017357E">
        <w:rPr>
          <w:rFonts w:ascii="Calibri" w:hAnsi="Calibri" w:cs="Calibri"/>
        </w:rPr>
        <w:t xml:space="preserve"> Others used their powers as academics to promote the Company of Scotland’s cause: Professor of Philosophy William Scott (</w:t>
      </w:r>
      <w:r w:rsidRPr="008F4ACF">
        <w:rPr>
          <w:rFonts w:ascii="Calibri" w:hAnsi="Calibri" w:cs="Calibri"/>
        </w:rPr>
        <w:t>1672</w:t>
      </w:r>
      <w:r w:rsidR="008F4ACF" w:rsidRPr="008F4ACF">
        <w:rPr>
          <w:rFonts w:cs="Calibri"/>
        </w:rPr>
        <w:t>–</w:t>
      </w:r>
      <w:r w:rsidRPr="008F4ACF">
        <w:rPr>
          <w:rFonts w:ascii="Calibri" w:hAnsi="Calibri" w:cs="Calibri"/>
        </w:rPr>
        <w:t>1735) spoke</w:t>
      </w:r>
      <w:r w:rsidRPr="0017357E">
        <w:rPr>
          <w:rFonts w:ascii="Calibri" w:hAnsi="Calibri" w:cs="Calibri"/>
        </w:rPr>
        <w:t xml:space="preserve"> positively about </w:t>
      </w:r>
      <w:r w:rsidR="00C35702">
        <w:rPr>
          <w:rFonts w:ascii="Calibri" w:hAnsi="Calibri" w:cs="Calibri"/>
        </w:rPr>
        <w:t>‘</w:t>
      </w:r>
      <w:r w:rsidRPr="0017357E">
        <w:rPr>
          <w:rFonts w:ascii="Calibri" w:hAnsi="Calibri" w:cs="Calibri"/>
        </w:rPr>
        <w:t xml:space="preserve">the Darien </w:t>
      </w:r>
      <w:r w:rsidR="00C35702">
        <w:rPr>
          <w:rFonts w:ascii="Calibri" w:hAnsi="Calibri" w:cs="Calibri"/>
        </w:rPr>
        <w:t>S</w:t>
      </w:r>
      <w:r w:rsidRPr="0017357E">
        <w:rPr>
          <w:rFonts w:ascii="Calibri" w:hAnsi="Calibri" w:cs="Calibri"/>
        </w:rPr>
        <w:t xml:space="preserve">cheme’ at the </w:t>
      </w:r>
      <w:r w:rsidR="00A27530">
        <w:rPr>
          <w:rFonts w:ascii="Calibri" w:hAnsi="Calibri" w:cs="Calibri"/>
        </w:rPr>
        <w:t>University of Edinburgh</w:t>
      </w:r>
      <w:r w:rsidR="00852ACA">
        <w:rPr>
          <w:rFonts w:ascii="Calibri" w:hAnsi="Calibri" w:cs="Calibri"/>
        </w:rPr>
        <w:t>’s</w:t>
      </w:r>
      <w:r w:rsidRPr="0017357E">
        <w:rPr>
          <w:rFonts w:ascii="Calibri" w:hAnsi="Calibri" w:cs="Calibri"/>
        </w:rPr>
        <w:t xml:space="preserve"> graduation ceremony in 1699 and inserted an intellectual argument for Scotland’s claim to the territory (which was contested by the Spanish Crown) into the theses which students were expected to defend as part of their degree.</w:t>
      </w:r>
      <w:r w:rsidRPr="0017357E">
        <w:rPr>
          <w:rStyle w:val="FootnoteReference"/>
          <w:rFonts w:ascii="Calibri" w:hAnsi="Calibri" w:cs="Calibri"/>
        </w:rPr>
        <w:footnoteReference w:id="44"/>
      </w:r>
      <w:r w:rsidRPr="0017357E">
        <w:rPr>
          <w:rFonts w:ascii="Calibri" w:hAnsi="Calibri" w:cs="Calibri"/>
        </w:rPr>
        <w:t xml:space="preserve"> </w:t>
      </w:r>
    </w:p>
    <w:p w14:paraId="39AF367F" w14:textId="27C605A4" w:rsidR="00773F7C" w:rsidRPr="0017357E" w:rsidRDefault="00773F7C" w:rsidP="00057638">
      <w:pPr>
        <w:spacing w:line="259" w:lineRule="auto"/>
        <w:ind w:firstLine="720"/>
        <w:rPr>
          <w:rFonts w:ascii="Calibri" w:hAnsi="Calibri" w:cs="Calibri"/>
        </w:rPr>
      </w:pPr>
      <w:r w:rsidRPr="0017357E">
        <w:rPr>
          <w:rFonts w:ascii="Calibri" w:hAnsi="Calibri" w:cs="Calibri"/>
        </w:rPr>
        <w:t xml:space="preserve">Why did </w:t>
      </w:r>
      <w:r w:rsidR="00852ACA" w:rsidRPr="6FEE1A6D">
        <w:rPr>
          <w:rFonts w:ascii="Calibri" w:hAnsi="Calibri" w:cs="Calibri"/>
        </w:rPr>
        <w:t xml:space="preserve">these </w:t>
      </w:r>
      <w:r w:rsidR="00A27530" w:rsidRPr="6FEE1A6D">
        <w:rPr>
          <w:rFonts w:ascii="Calibri" w:hAnsi="Calibri" w:cs="Calibri"/>
        </w:rPr>
        <w:t>University of Edinburgh</w:t>
      </w:r>
      <w:r w:rsidR="00852ACA" w:rsidRPr="6FEE1A6D">
        <w:rPr>
          <w:rFonts w:ascii="Calibri" w:hAnsi="Calibri" w:cs="Calibri"/>
        </w:rPr>
        <w:t xml:space="preserve"> professors</w:t>
      </w:r>
      <w:r w:rsidRPr="6FEE1A6D" w:rsidDel="00773F7C">
        <w:rPr>
          <w:rFonts w:ascii="Calibri" w:hAnsi="Calibri" w:cs="Calibri"/>
        </w:rPr>
        <w:t xml:space="preserve"> </w:t>
      </w:r>
      <w:r w:rsidRPr="0017357E">
        <w:rPr>
          <w:rFonts w:ascii="Calibri" w:hAnsi="Calibri" w:cs="Calibri"/>
        </w:rPr>
        <w:t xml:space="preserve">invest capital in the Company of Scotland? </w:t>
      </w:r>
      <w:r w:rsidR="2854A9E3" w:rsidRPr="00483314">
        <w:rPr>
          <w:rFonts w:cstheme="minorHAnsi"/>
        </w:rPr>
        <w:t xml:space="preserve">While the obvious answer </w:t>
      </w:r>
      <w:r w:rsidR="0AF865CF" w:rsidRPr="00483314">
        <w:rPr>
          <w:rFonts w:cstheme="minorHAnsi"/>
        </w:rPr>
        <w:t xml:space="preserve">might be the pursuit of profit, </w:t>
      </w:r>
      <w:r w:rsidR="55F81E0B" w:rsidRPr="00483314">
        <w:rPr>
          <w:rFonts w:cstheme="minorHAnsi"/>
          <w:color w:val="000000" w:themeColor="text1"/>
        </w:rPr>
        <w:t>it is important to recognise that</w:t>
      </w:r>
      <w:r w:rsidR="0AF865CF" w:rsidRPr="00483314">
        <w:rPr>
          <w:rFonts w:cstheme="minorHAnsi"/>
          <w:color w:val="000000" w:themeColor="text1"/>
        </w:rPr>
        <w:t xml:space="preserve"> </w:t>
      </w:r>
      <w:r w:rsidR="18F76706" w:rsidRPr="00483314">
        <w:rPr>
          <w:rFonts w:cstheme="minorHAnsi"/>
          <w:color w:val="000000" w:themeColor="text1"/>
        </w:rPr>
        <w:t xml:space="preserve">the Company </w:t>
      </w:r>
      <w:r w:rsidR="458E3CE2" w:rsidRPr="00483314">
        <w:rPr>
          <w:rFonts w:cstheme="minorHAnsi"/>
          <w:color w:val="000000" w:themeColor="text1"/>
        </w:rPr>
        <w:t>also held</w:t>
      </w:r>
      <w:r w:rsidR="0ACA9608" w:rsidRPr="00483314">
        <w:rPr>
          <w:rFonts w:cstheme="minorHAnsi"/>
          <w:color w:val="000000" w:themeColor="text1"/>
        </w:rPr>
        <w:t xml:space="preserve"> the potential to </w:t>
      </w:r>
      <w:r w:rsidR="0458E6DA" w:rsidRPr="00483314">
        <w:rPr>
          <w:rFonts w:cstheme="minorHAnsi"/>
          <w:color w:val="000000" w:themeColor="text1"/>
        </w:rPr>
        <w:t xml:space="preserve">stimulate </w:t>
      </w:r>
      <w:r w:rsidR="2854A9E3" w:rsidRPr="00483314">
        <w:rPr>
          <w:rFonts w:cstheme="minorHAnsi"/>
          <w:color w:val="000000" w:themeColor="text1"/>
        </w:rPr>
        <w:t>scholarly concerns</w:t>
      </w:r>
      <w:r w:rsidR="79726277" w:rsidRPr="6FEE1A6D">
        <w:rPr>
          <w:rFonts w:ascii="Aptos" w:hAnsi="Aptos"/>
          <w:color w:val="000000" w:themeColor="text1"/>
        </w:rPr>
        <w:t>.</w:t>
      </w:r>
      <w:r w:rsidR="79726277" w:rsidRPr="6FEE1A6D">
        <w:rPr>
          <w:rFonts w:ascii="Calibri" w:hAnsi="Calibri" w:cs="Calibri"/>
        </w:rPr>
        <w:t xml:space="preserve"> </w:t>
      </w:r>
      <w:r w:rsidRPr="0017357E">
        <w:rPr>
          <w:rFonts w:ascii="Calibri" w:hAnsi="Calibri" w:cs="Calibri"/>
        </w:rPr>
        <w:t>Professor of Mathematics James Gregory (1666</w:t>
      </w:r>
      <w:r w:rsidR="03379517">
        <w:rPr>
          <w:rFonts w:ascii="Calibri" w:hAnsi="Calibri" w:cs="Calibri"/>
        </w:rPr>
        <w:t>–</w:t>
      </w:r>
      <w:r w:rsidRPr="0017357E">
        <w:rPr>
          <w:rFonts w:ascii="Calibri" w:hAnsi="Calibri" w:cs="Calibri"/>
        </w:rPr>
        <w:t>1742) was likely mindful that the maritime needs of Scottish settler-colonisation would require the aid of mathematicians. In 1696, James’s brother David Gregory (1659</w:t>
      </w:r>
      <w:r w:rsidR="03379517">
        <w:rPr>
          <w:rFonts w:ascii="Calibri" w:hAnsi="Calibri" w:cs="Calibri"/>
        </w:rPr>
        <w:t>–</w:t>
      </w:r>
      <w:r w:rsidRPr="0017357E">
        <w:rPr>
          <w:rFonts w:ascii="Calibri" w:hAnsi="Calibri" w:cs="Calibri"/>
        </w:rPr>
        <w:t xml:space="preserve">1708), who had preceded him as Edinburgh’s Professor of Mathematics (a role that their uncle had earlier held) before moving to Oxford, proposed that the Company of Scotland should fund a ‘Navigation and Writing School’ in Edinburgh to train students in mathematics, navigation skills and related disciplines. The idea was for </w:t>
      </w:r>
      <w:r w:rsidR="00A27530" w:rsidRPr="6FEE1A6D">
        <w:rPr>
          <w:rFonts w:ascii="Calibri" w:hAnsi="Calibri" w:cs="Calibri"/>
        </w:rPr>
        <w:t>University of Edinburgh</w:t>
      </w:r>
      <w:r w:rsidRPr="0017357E">
        <w:rPr>
          <w:rFonts w:ascii="Calibri" w:hAnsi="Calibri" w:cs="Calibri"/>
        </w:rPr>
        <w:t xml:space="preserve"> professors to examine the school’s pupils and for </w:t>
      </w:r>
      <w:r w:rsidR="751319EF" w:rsidRPr="6FEE1A6D">
        <w:rPr>
          <w:rFonts w:ascii="Calibri" w:hAnsi="Calibri" w:cs="Calibri"/>
        </w:rPr>
        <w:t>their</w:t>
      </w:r>
      <w:r w:rsidRPr="0017357E">
        <w:rPr>
          <w:rFonts w:ascii="Calibri" w:hAnsi="Calibri" w:cs="Calibri"/>
        </w:rPr>
        <w:t xml:space="preserve"> </w:t>
      </w:r>
      <w:r w:rsidRPr="0017357E">
        <w:rPr>
          <w:rFonts w:ascii="Calibri" w:hAnsi="Calibri" w:cs="Calibri"/>
        </w:rPr>
        <w:lastRenderedPageBreak/>
        <w:t>students to provide tuition to prepare them to be bound as apprentices on Company of Scotland ships.</w:t>
      </w:r>
      <w:r w:rsidRPr="0017357E">
        <w:rPr>
          <w:rStyle w:val="FootnoteReference"/>
          <w:rFonts w:ascii="Calibri" w:hAnsi="Calibri" w:cs="Calibri"/>
        </w:rPr>
        <w:footnoteReference w:id="45"/>
      </w:r>
      <w:r w:rsidRPr="0017357E">
        <w:rPr>
          <w:rFonts w:ascii="Calibri" w:hAnsi="Calibri" w:cs="Calibri"/>
        </w:rPr>
        <w:t xml:space="preserve"> </w:t>
      </w:r>
    </w:p>
    <w:p w14:paraId="11CA8560" w14:textId="2F0109CA" w:rsidR="00773F7C" w:rsidRPr="0017357E" w:rsidRDefault="00773F7C" w:rsidP="00057638">
      <w:pPr>
        <w:spacing w:line="259" w:lineRule="auto"/>
        <w:ind w:firstLine="720"/>
        <w:rPr>
          <w:rFonts w:ascii="Calibri" w:hAnsi="Calibri" w:cs="Calibri"/>
        </w:rPr>
      </w:pPr>
      <w:r w:rsidRPr="0017357E">
        <w:rPr>
          <w:rFonts w:ascii="Calibri" w:hAnsi="Calibri" w:cs="Calibri"/>
        </w:rPr>
        <w:t>As well as a chapter on this research in an edited collection on decoloniality (</w:t>
      </w:r>
      <w:r w:rsidR="000B624B">
        <w:rPr>
          <w:rFonts w:ascii="Calibri" w:hAnsi="Calibri" w:cs="Calibri"/>
        </w:rPr>
        <w:t>The Institute for Advanced Studies in the Humanities</w:t>
      </w:r>
      <w:r w:rsidRPr="0017357E">
        <w:rPr>
          <w:rFonts w:ascii="Calibri" w:hAnsi="Calibri" w:cs="Calibri"/>
        </w:rPr>
        <w:t xml:space="preserve">, forthcoming, 2025), </w:t>
      </w:r>
      <w:r w:rsidR="00303EF1" w:rsidRPr="0017357E">
        <w:rPr>
          <w:rFonts w:ascii="Calibri" w:hAnsi="Calibri" w:cs="Calibri"/>
        </w:rPr>
        <w:t xml:space="preserve">a visual narrative of this research </w:t>
      </w:r>
      <w:r w:rsidR="00303EF1">
        <w:rPr>
          <w:rFonts w:ascii="Calibri" w:hAnsi="Calibri" w:cs="Calibri"/>
        </w:rPr>
        <w:t xml:space="preserve">can be found </w:t>
      </w:r>
      <w:r w:rsidR="00A65CE2">
        <w:rPr>
          <w:rFonts w:ascii="Calibri" w:hAnsi="Calibri" w:cs="Calibri"/>
        </w:rPr>
        <w:t xml:space="preserve">through an </w:t>
      </w:r>
      <w:r w:rsidRPr="0017357E">
        <w:rPr>
          <w:rFonts w:ascii="Calibri" w:hAnsi="Calibri" w:cs="Calibri"/>
        </w:rPr>
        <w:t xml:space="preserve">online exhibition, </w:t>
      </w:r>
      <w:hyperlink r:id="rId67" w:history="1">
        <w:r w:rsidRPr="0017357E">
          <w:rPr>
            <w:rStyle w:val="Hyperlink"/>
            <w:rFonts w:ascii="Calibri" w:hAnsi="Calibri" w:cs="Calibri"/>
          </w:rPr>
          <w:t>Dreams of Darien</w:t>
        </w:r>
      </w:hyperlink>
      <w:r w:rsidRPr="0017357E">
        <w:rPr>
          <w:rFonts w:ascii="Calibri" w:hAnsi="Calibri" w:cs="Calibri"/>
        </w:rPr>
        <w:t xml:space="preserve">, </w:t>
      </w:r>
      <w:r w:rsidR="00F41CBE">
        <w:rPr>
          <w:rFonts w:ascii="Calibri" w:hAnsi="Calibri" w:cs="Calibri"/>
        </w:rPr>
        <w:t xml:space="preserve">that was </w:t>
      </w:r>
      <w:r w:rsidRPr="0017357E">
        <w:rPr>
          <w:rFonts w:ascii="Calibri" w:hAnsi="Calibri" w:cs="Calibri"/>
        </w:rPr>
        <w:t xml:space="preserve">produced for the </w:t>
      </w:r>
      <w:r w:rsidR="00A27530">
        <w:rPr>
          <w:rFonts w:ascii="Calibri" w:hAnsi="Calibri" w:cs="Calibri"/>
        </w:rPr>
        <w:t>University of Edinburgh</w:t>
      </w:r>
      <w:r w:rsidRPr="0017357E">
        <w:rPr>
          <w:rFonts w:ascii="Calibri" w:hAnsi="Calibri" w:cs="Calibri"/>
        </w:rPr>
        <w:t>’s Library using rare and newly-digitised materials from the archives</w:t>
      </w:r>
      <w:r w:rsidR="00303EF1">
        <w:rPr>
          <w:rFonts w:ascii="Calibri" w:hAnsi="Calibri" w:cs="Calibri"/>
        </w:rPr>
        <w:t xml:space="preserve"> </w:t>
      </w:r>
      <w:r w:rsidRPr="0017357E">
        <w:rPr>
          <w:rFonts w:ascii="Calibri" w:hAnsi="Calibri" w:cs="Calibri"/>
        </w:rPr>
        <w:t>in collaboration with other academics, institutions and community groups, including representatives of the Gunadule, Indigenous people of Panama and Colombia.</w:t>
      </w:r>
      <w:r w:rsidRPr="0017357E">
        <w:rPr>
          <w:rStyle w:val="FootnoteReference"/>
          <w:rFonts w:ascii="Calibri" w:hAnsi="Calibri" w:cs="Calibri"/>
        </w:rPr>
        <w:footnoteReference w:id="46"/>
      </w:r>
    </w:p>
    <w:p w14:paraId="160981E3" w14:textId="77777777" w:rsidR="00773F7C" w:rsidRPr="0017357E" w:rsidRDefault="00773F7C" w:rsidP="00057638">
      <w:pPr>
        <w:pStyle w:val="Heading3"/>
        <w:spacing w:before="0" w:after="0" w:line="259" w:lineRule="auto"/>
        <w:rPr>
          <w:rFonts w:ascii="Calibri" w:hAnsi="Calibri" w:cs="Calibri"/>
          <w:sz w:val="24"/>
          <w:szCs w:val="24"/>
        </w:rPr>
      </w:pPr>
    </w:p>
    <w:p w14:paraId="216B622F" w14:textId="20698B8B" w:rsidR="00773F7C" w:rsidRPr="0017357E" w:rsidRDefault="00773F7C" w:rsidP="00057638">
      <w:pPr>
        <w:pStyle w:val="Heading4"/>
        <w:jc w:val="left"/>
      </w:pPr>
      <w:r w:rsidRPr="0017357E">
        <w:t xml:space="preserve">Research Finding 3. James Sutherland’s ‘Foreign Correspondence’: Empire, Enslavement and the </w:t>
      </w:r>
      <w:r w:rsidR="00A27530">
        <w:t>University of Edinburgh</w:t>
      </w:r>
      <w:r w:rsidRPr="0017357E">
        <w:t>’s First Professor of Botany, 1676</w:t>
      </w:r>
      <w:r w:rsidR="00A65CE2">
        <w:rPr>
          <w:rFonts w:ascii="Calibri" w:hAnsi="Calibri" w:cs="Calibri"/>
        </w:rPr>
        <w:t>–</w:t>
      </w:r>
      <w:r w:rsidRPr="0017357E">
        <w:t>1706</w:t>
      </w:r>
    </w:p>
    <w:p w14:paraId="2FA2624B" w14:textId="55E1639F" w:rsidR="00773F7C" w:rsidRPr="0017357E" w:rsidRDefault="00450ADB" w:rsidP="00057638">
      <w:pPr>
        <w:spacing w:line="259" w:lineRule="auto"/>
        <w:rPr>
          <w:rFonts w:ascii="Calibri" w:hAnsi="Calibri" w:cs="Calibri"/>
        </w:rPr>
      </w:pPr>
      <w:r>
        <w:rPr>
          <w:rFonts w:ascii="Calibri" w:hAnsi="Calibri" w:cs="Calibri"/>
        </w:rPr>
        <w:t xml:space="preserve">This study looked at </w:t>
      </w:r>
      <w:r w:rsidR="00773F7C" w:rsidRPr="0017357E">
        <w:rPr>
          <w:rFonts w:ascii="Calibri" w:hAnsi="Calibri" w:cs="Calibri"/>
        </w:rPr>
        <w:t>James Sutherland (c.1639</w:t>
      </w:r>
      <w:r w:rsidR="00A65CE2">
        <w:rPr>
          <w:rFonts w:ascii="Calibri" w:hAnsi="Calibri" w:cs="Calibri"/>
        </w:rPr>
        <w:t>–</w:t>
      </w:r>
      <w:r w:rsidR="00773F7C" w:rsidRPr="0017357E">
        <w:rPr>
          <w:rFonts w:ascii="Calibri" w:hAnsi="Calibri" w:cs="Calibri"/>
        </w:rPr>
        <w:t>1715)</w:t>
      </w:r>
      <w:r>
        <w:rPr>
          <w:rFonts w:ascii="Calibri" w:hAnsi="Calibri" w:cs="Calibri"/>
        </w:rPr>
        <w:t xml:space="preserve">, </w:t>
      </w:r>
      <w:r w:rsidR="00773F7C" w:rsidRPr="0017357E">
        <w:rPr>
          <w:rFonts w:ascii="Calibri" w:hAnsi="Calibri" w:cs="Calibri"/>
        </w:rPr>
        <w:t xml:space="preserve">the </w:t>
      </w:r>
      <w:r w:rsidR="00A27530">
        <w:rPr>
          <w:rFonts w:ascii="Calibri" w:hAnsi="Calibri" w:cs="Calibri"/>
        </w:rPr>
        <w:t>University of Edinburgh</w:t>
      </w:r>
      <w:r w:rsidR="00773F7C" w:rsidRPr="0017357E">
        <w:rPr>
          <w:rFonts w:ascii="Calibri" w:hAnsi="Calibri" w:cs="Calibri"/>
        </w:rPr>
        <w:t xml:space="preserve">’s first Professor of Botany and Superintendent of Edinburgh’s Botanic Gardens. Several records, including his published writing and private correspondence with the London-based natural historian and apothecary James Petiver at the turn of the </w:t>
      </w:r>
      <w:r w:rsidR="00C35702">
        <w:rPr>
          <w:rFonts w:ascii="Calibri" w:hAnsi="Calibri" w:cs="Calibri"/>
        </w:rPr>
        <w:t>18</w:t>
      </w:r>
      <w:r w:rsidR="00C35702" w:rsidRPr="0017357E">
        <w:rPr>
          <w:rFonts w:ascii="Calibri" w:hAnsi="Calibri" w:cs="Calibri"/>
        </w:rPr>
        <w:t xml:space="preserve">th </w:t>
      </w:r>
      <w:r w:rsidR="00773F7C" w:rsidRPr="0017357E">
        <w:rPr>
          <w:rFonts w:ascii="Calibri" w:hAnsi="Calibri" w:cs="Calibri"/>
        </w:rPr>
        <w:t>century, detail how Sutherland integrated Edinburgh’s botanical environment into a global network of botani</w:t>
      </w:r>
      <w:r w:rsidR="000A0E65">
        <w:rPr>
          <w:rFonts w:ascii="Calibri" w:hAnsi="Calibri" w:cs="Calibri"/>
        </w:rPr>
        <w:t>s</w:t>
      </w:r>
      <w:r w:rsidR="00773F7C" w:rsidRPr="0017357E">
        <w:rPr>
          <w:rFonts w:ascii="Calibri" w:hAnsi="Calibri" w:cs="Calibri"/>
        </w:rPr>
        <w:t>ers</w:t>
      </w:r>
      <w:r w:rsidR="002A6882">
        <w:rPr>
          <w:rFonts w:ascii="Calibri" w:hAnsi="Calibri" w:cs="Calibri"/>
        </w:rPr>
        <w:t>:</w:t>
      </w:r>
      <w:r w:rsidR="00773F7C" w:rsidRPr="0017357E">
        <w:rPr>
          <w:rFonts w:ascii="Calibri" w:hAnsi="Calibri" w:cs="Calibri"/>
        </w:rPr>
        <w:t xml:space="preserve"> from those in the Scots-run colonies of East New Jersey and New Caledonia, to those operating in England’s North American, Caribbean and South Asian colonies. In his own words, Sutherland’s ‘Forraign Correspondence’ allowed him to ‘Acquire both Seeds and Plants from the Levant, Italy, Spain, France, Holland, England, east and west Indies’, as well as native species to England and Scotland.</w:t>
      </w:r>
      <w:r w:rsidR="00773F7C" w:rsidRPr="0017357E">
        <w:rPr>
          <w:rStyle w:val="FootnoteReference"/>
          <w:rFonts w:ascii="Calibri" w:hAnsi="Calibri" w:cs="Calibri"/>
        </w:rPr>
        <w:footnoteReference w:id="47"/>
      </w:r>
      <w:r w:rsidR="00773F7C" w:rsidRPr="0017357E">
        <w:rPr>
          <w:rFonts w:ascii="Calibri" w:hAnsi="Calibri" w:cs="Calibri"/>
        </w:rPr>
        <w:t xml:space="preserve"> Importantly, Sutherland helped his former students and apprentices to secure posts as surgeons on ships bound for the East and West Indies on the explicit understanding that his protégés would collect foreign plants and botanical knowledge on his behalf. Sutherland explained his approach to Petiver as follows: </w:t>
      </w:r>
    </w:p>
    <w:p w14:paraId="3F77FCDC" w14:textId="77777777" w:rsidR="00773F7C" w:rsidRPr="0017357E" w:rsidRDefault="00773F7C" w:rsidP="00057638">
      <w:pPr>
        <w:spacing w:line="259" w:lineRule="auto"/>
        <w:rPr>
          <w:rFonts w:ascii="Calibri" w:hAnsi="Calibri" w:cs="Calibri"/>
        </w:rPr>
      </w:pPr>
    </w:p>
    <w:p w14:paraId="03A19A16" w14:textId="744B2DC0" w:rsidR="00773F7C" w:rsidRPr="0017357E" w:rsidRDefault="23AC28C4" w:rsidP="00057638">
      <w:pPr>
        <w:spacing w:line="259" w:lineRule="auto"/>
        <w:ind w:left="284" w:right="284"/>
        <w:rPr>
          <w:rFonts w:ascii="Calibri" w:hAnsi="Calibri" w:cs="Calibri"/>
          <w:sz w:val="22"/>
          <w:szCs w:val="22"/>
        </w:rPr>
      </w:pPr>
      <w:r w:rsidRPr="0017357E">
        <w:rPr>
          <w:rFonts w:ascii="Calibri" w:hAnsi="Calibri" w:cs="Calibri"/>
          <w:sz w:val="22"/>
          <w:szCs w:val="22"/>
        </w:rPr>
        <w:t>All the Surgeons and Apothecaries apprentices in this place are usually my Schollars at the Physick Garden and after they have served in a Shop five years they seek Occasions of going Surgeons in Ships to the East or West Indies, or other forrain place that Offers, and so spend their time abroad for the space of six or seven years before they return and set up a shop of their own. And I assure you I shall not be wanting for the future to oblidge every one of them to do you all the Service they are capable.</w:t>
      </w:r>
      <w:r w:rsidR="00773F7C" w:rsidRPr="0017357E">
        <w:rPr>
          <w:rStyle w:val="FootnoteReference"/>
          <w:rFonts w:ascii="Calibri" w:hAnsi="Calibri" w:cs="Calibri"/>
          <w:sz w:val="22"/>
          <w:szCs w:val="22"/>
        </w:rPr>
        <w:footnoteReference w:id="48"/>
      </w:r>
    </w:p>
    <w:p w14:paraId="36D94AB8" w14:textId="77777777" w:rsidR="00773F7C" w:rsidRPr="0017357E" w:rsidRDefault="00773F7C" w:rsidP="00057638">
      <w:pPr>
        <w:spacing w:line="259" w:lineRule="auto"/>
        <w:ind w:right="662"/>
        <w:rPr>
          <w:rFonts w:ascii="Calibri" w:hAnsi="Calibri" w:cs="Calibri"/>
        </w:rPr>
      </w:pPr>
    </w:p>
    <w:p w14:paraId="69A0F25D" w14:textId="42B7B16A" w:rsidR="00773F7C" w:rsidRPr="0017357E" w:rsidRDefault="00773F7C" w:rsidP="00057638">
      <w:pPr>
        <w:spacing w:line="259" w:lineRule="auto"/>
        <w:rPr>
          <w:rFonts w:ascii="Calibri" w:hAnsi="Calibri" w:cs="Calibri"/>
        </w:rPr>
      </w:pPr>
      <w:r w:rsidRPr="0017357E">
        <w:rPr>
          <w:rFonts w:ascii="Calibri" w:hAnsi="Calibri" w:cs="Calibri"/>
        </w:rPr>
        <w:lastRenderedPageBreak/>
        <w:t>Sutherland’s contacts included medical professionals active in the transatlantic tra</w:t>
      </w:r>
      <w:r w:rsidR="0023379E">
        <w:rPr>
          <w:rFonts w:ascii="Calibri" w:hAnsi="Calibri" w:cs="Calibri"/>
        </w:rPr>
        <w:t>fficking</w:t>
      </w:r>
      <w:r w:rsidRPr="0017357E">
        <w:rPr>
          <w:rFonts w:ascii="Calibri" w:hAnsi="Calibri" w:cs="Calibri"/>
        </w:rPr>
        <w:t xml:space="preserve"> in enslaved Africans: in a 1700 letter to Petiver, Sutherland referred to their ‘good friend Mr William Watt’ who had ‘now gone Surgeon in a Ship bound for Guinea and to return by Jamaica for London’.</w:t>
      </w:r>
      <w:r w:rsidRPr="0017357E">
        <w:rPr>
          <w:rFonts w:ascii="Calibri" w:hAnsi="Calibri" w:cs="Calibri"/>
          <w:vertAlign w:val="superscript"/>
        </w:rPr>
        <w:footnoteReference w:id="49"/>
      </w:r>
      <w:r w:rsidRPr="0017357E">
        <w:rPr>
          <w:rFonts w:ascii="Calibri" w:hAnsi="Calibri" w:cs="Calibri"/>
        </w:rPr>
        <w:t xml:space="preserve"> A forthcoming study details these and other examples of Sutherland’s global and imperial networks, and how they presaged those nurtured by subsequent Professors of Botany at Edinburgh over the </w:t>
      </w:r>
      <w:r w:rsidR="00C35702">
        <w:rPr>
          <w:rFonts w:ascii="Calibri" w:hAnsi="Calibri" w:cs="Calibri"/>
        </w:rPr>
        <w:t>18</w:t>
      </w:r>
      <w:r w:rsidR="00C35702" w:rsidRPr="0017357E">
        <w:rPr>
          <w:rFonts w:ascii="Calibri" w:hAnsi="Calibri" w:cs="Calibri"/>
        </w:rPr>
        <w:t xml:space="preserve">th </w:t>
      </w:r>
      <w:r w:rsidRPr="0017357E">
        <w:rPr>
          <w:rFonts w:ascii="Calibri" w:hAnsi="Calibri" w:cs="Calibri"/>
        </w:rPr>
        <w:t>century, including Professors Charles Preston (1660</w:t>
      </w:r>
      <w:r w:rsidR="0072403A">
        <w:rPr>
          <w:rFonts w:ascii="Calibri" w:hAnsi="Calibri" w:cs="Calibri"/>
        </w:rPr>
        <w:t>–</w:t>
      </w:r>
      <w:r w:rsidRPr="0017357E">
        <w:rPr>
          <w:rFonts w:ascii="Calibri" w:hAnsi="Calibri" w:cs="Calibri"/>
        </w:rPr>
        <w:t>1711), George Preston (1665</w:t>
      </w:r>
      <w:r w:rsidR="0072403A">
        <w:rPr>
          <w:rFonts w:ascii="Calibri" w:hAnsi="Calibri" w:cs="Calibri"/>
        </w:rPr>
        <w:t>–</w:t>
      </w:r>
      <w:r w:rsidRPr="0017357E">
        <w:rPr>
          <w:rFonts w:ascii="Calibri" w:hAnsi="Calibri" w:cs="Calibri"/>
        </w:rPr>
        <w:t>1749), Charles Alston (1683</w:t>
      </w:r>
      <w:r w:rsidR="0072403A">
        <w:rPr>
          <w:rFonts w:ascii="Calibri" w:hAnsi="Calibri" w:cs="Calibri"/>
        </w:rPr>
        <w:t>–</w:t>
      </w:r>
      <w:r w:rsidRPr="0017357E">
        <w:rPr>
          <w:rFonts w:ascii="Calibri" w:hAnsi="Calibri" w:cs="Calibri"/>
        </w:rPr>
        <w:t>1760), John Hope (1725</w:t>
      </w:r>
      <w:r w:rsidR="0072403A">
        <w:rPr>
          <w:rFonts w:ascii="Calibri" w:hAnsi="Calibri" w:cs="Calibri"/>
        </w:rPr>
        <w:t>–</w:t>
      </w:r>
      <w:r w:rsidRPr="0017357E">
        <w:rPr>
          <w:rFonts w:ascii="Calibri" w:hAnsi="Calibri" w:cs="Calibri"/>
        </w:rPr>
        <w:t>1786) and Daniel Rutherford (1748</w:t>
      </w:r>
      <w:r w:rsidR="0072403A">
        <w:rPr>
          <w:rFonts w:ascii="Calibri" w:hAnsi="Calibri" w:cs="Calibri"/>
        </w:rPr>
        <w:t>–</w:t>
      </w:r>
      <w:r w:rsidRPr="0017357E">
        <w:rPr>
          <w:rFonts w:ascii="Calibri" w:hAnsi="Calibri" w:cs="Calibri"/>
        </w:rPr>
        <w:t>1819).</w:t>
      </w:r>
    </w:p>
    <w:p w14:paraId="7829CAA8" w14:textId="77777777" w:rsidR="00773F7C" w:rsidRPr="0017357E" w:rsidRDefault="00773F7C" w:rsidP="00C35702">
      <w:pPr>
        <w:pStyle w:val="Heading5"/>
      </w:pPr>
    </w:p>
    <w:p w14:paraId="5E7ED8B6" w14:textId="5AE72D5E" w:rsidR="00773F7C" w:rsidRPr="0017357E" w:rsidRDefault="00773F7C" w:rsidP="00057638">
      <w:pPr>
        <w:pStyle w:val="Heading4"/>
        <w:jc w:val="left"/>
      </w:pPr>
      <w:r w:rsidRPr="0017357E">
        <w:t>Research Finding 4. Slavery, Medical Philanthropy and the University of Edinburgh’s Colonial Networks, 1789</w:t>
      </w:r>
      <w:r w:rsidR="00C1400C">
        <w:rPr>
          <w:rFonts w:ascii="Calibri" w:hAnsi="Calibri" w:cs="Calibri"/>
        </w:rPr>
        <w:t>–</w:t>
      </w:r>
      <w:r w:rsidRPr="0017357E">
        <w:t>1795</w:t>
      </w:r>
    </w:p>
    <w:p w14:paraId="70737560" w14:textId="45106FBA" w:rsidR="00773F7C" w:rsidRPr="0017357E" w:rsidRDefault="00450ADB" w:rsidP="00057638">
      <w:pPr>
        <w:spacing w:line="259" w:lineRule="auto"/>
        <w:rPr>
          <w:rFonts w:ascii="Calibri" w:hAnsi="Calibri" w:cs="Calibri"/>
        </w:rPr>
      </w:pPr>
      <w:r>
        <w:rPr>
          <w:rFonts w:ascii="Calibri" w:hAnsi="Calibri" w:cs="Calibri"/>
        </w:rPr>
        <w:t xml:space="preserve">Complementing the </w:t>
      </w:r>
      <w:r w:rsidR="0013795F">
        <w:rPr>
          <w:rFonts w:ascii="Calibri" w:hAnsi="Calibri" w:cs="Calibri"/>
        </w:rPr>
        <w:t xml:space="preserve">findings </w:t>
      </w:r>
      <w:r w:rsidR="0013795F" w:rsidRPr="00D72A0F">
        <w:rPr>
          <w:rFonts w:ascii="Calibri" w:hAnsi="Calibri" w:cs="Calibri"/>
        </w:rPr>
        <w:t xml:space="preserve">outlined in </w:t>
      </w:r>
      <w:r w:rsidR="0013795F" w:rsidRPr="00D72A0F" w:rsidDel="00E260B3">
        <w:rPr>
          <w:rFonts w:ascii="Calibri" w:hAnsi="Calibri" w:cs="Calibri"/>
        </w:rPr>
        <w:t>Appendix</w:t>
      </w:r>
      <w:r w:rsidR="00A57DD3" w:rsidRPr="00D72A0F" w:rsidDel="00E260B3">
        <w:rPr>
          <w:rFonts w:ascii="Calibri" w:hAnsi="Calibri" w:cs="Calibri"/>
        </w:rPr>
        <w:t xml:space="preserve"> </w:t>
      </w:r>
      <w:r w:rsidR="00E260B3" w:rsidRPr="00D72A0F">
        <w:rPr>
          <w:rFonts w:ascii="Calibri" w:hAnsi="Calibri" w:cs="Calibri"/>
        </w:rPr>
        <w:t>1</w:t>
      </w:r>
      <w:r w:rsidR="0013795F" w:rsidRPr="00D72A0F">
        <w:rPr>
          <w:rFonts w:ascii="Calibri" w:hAnsi="Calibri" w:cs="Calibri"/>
        </w:rPr>
        <w:t>, t</w:t>
      </w:r>
      <w:r w:rsidR="00767C34" w:rsidRPr="00D72A0F">
        <w:rPr>
          <w:rFonts w:ascii="Calibri" w:hAnsi="Calibri" w:cs="Calibri"/>
        </w:rPr>
        <w:t>his</w:t>
      </w:r>
      <w:r w:rsidR="00773F7C" w:rsidRPr="00D72A0F">
        <w:rPr>
          <w:rFonts w:ascii="Calibri" w:hAnsi="Calibri" w:cs="Calibri"/>
        </w:rPr>
        <w:t xml:space="preserve"> study</w:t>
      </w:r>
      <w:r w:rsidR="00773F7C" w:rsidRPr="0017357E">
        <w:rPr>
          <w:rFonts w:ascii="Calibri" w:hAnsi="Calibri" w:cs="Calibri"/>
        </w:rPr>
        <w:t xml:space="preserve"> look</w:t>
      </w:r>
      <w:r w:rsidR="00767C34">
        <w:rPr>
          <w:rFonts w:ascii="Calibri" w:hAnsi="Calibri" w:cs="Calibri"/>
        </w:rPr>
        <w:t>ed</w:t>
      </w:r>
      <w:r w:rsidR="00773F7C" w:rsidRPr="0017357E">
        <w:rPr>
          <w:rFonts w:ascii="Calibri" w:hAnsi="Calibri" w:cs="Calibri"/>
        </w:rPr>
        <w:t xml:space="preserve"> </w:t>
      </w:r>
      <w:r w:rsidR="0013795F">
        <w:rPr>
          <w:rFonts w:ascii="Calibri" w:hAnsi="Calibri" w:cs="Calibri"/>
        </w:rPr>
        <w:t xml:space="preserve">further into </w:t>
      </w:r>
      <w:r w:rsidR="00773F7C" w:rsidRPr="0017357E">
        <w:rPr>
          <w:rFonts w:ascii="Calibri" w:hAnsi="Calibri" w:cs="Calibri"/>
        </w:rPr>
        <w:t xml:space="preserve">the campaign in the 1790s to finance the construction of the </w:t>
      </w:r>
      <w:r w:rsidR="00A27530">
        <w:rPr>
          <w:rFonts w:ascii="Calibri" w:hAnsi="Calibri" w:cs="Calibri"/>
        </w:rPr>
        <w:t>University of Edinburgh</w:t>
      </w:r>
      <w:r w:rsidR="00773F7C" w:rsidRPr="0017357E">
        <w:rPr>
          <w:rFonts w:ascii="Calibri" w:hAnsi="Calibri" w:cs="Calibri"/>
        </w:rPr>
        <w:t>’s Old College through private philanthropy. It focuse</w:t>
      </w:r>
      <w:r w:rsidR="00C1400C">
        <w:rPr>
          <w:rFonts w:ascii="Calibri" w:hAnsi="Calibri" w:cs="Calibri"/>
        </w:rPr>
        <w:t>d</w:t>
      </w:r>
      <w:r w:rsidR="00773F7C" w:rsidRPr="0017357E">
        <w:rPr>
          <w:rFonts w:ascii="Calibri" w:hAnsi="Calibri" w:cs="Calibri"/>
        </w:rPr>
        <w:t xml:space="preserve"> on the medical dimensions of the project</w:t>
      </w:r>
      <w:r w:rsidR="00721453">
        <w:rPr>
          <w:rFonts w:ascii="Calibri" w:hAnsi="Calibri" w:cs="Calibri"/>
        </w:rPr>
        <w:t>, both in terms of</w:t>
      </w:r>
      <w:r w:rsidR="00773F7C" w:rsidRPr="0017357E">
        <w:rPr>
          <w:rFonts w:ascii="Calibri" w:hAnsi="Calibri" w:cs="Calibri"/>
        </w:rPr>
        <w:t xml:space="preserve"> how a ‘new college’ was seen as necessary to accommodate the growing Edinburgh Medical School, and how Trustees sought out and secured funds from medical professionals in Britain and its colonies. Using lists of subscribers, alongside medical journals, private correspondence and the </w:t>
      </w:r>
      <w:r w:rsidR="00A27530">
        <w:rPr>
          <w:rFonts w:ascii="Calibri" w:hAnsi="Calibri" w:cs="Calibri"/>
        </w:rPr>
        <w:t>University of Edinburgh</w:t>
      </w:r>
      <w:r w:rsidR="00773F7C" w:rsidRPr="0017357E">
        <w:rPr>
          <w:rFonts w:ascii="Calibri" w:hAnsi="Calibri" w:cs="Calibri"/>
        </w:rPr>
        <w:t xml:space="preserve">’s institutional records, </w:t>
      </w:r>
      <w:r>
        <w:rPr>
          <w:rFonts w:ascii="Calibri" w:hAnsi="Calibri" w:cs="Calibri"/>
        </w:rPr>
        <w:t>it</w:t>
      </w:r>
      <w:r w:rsidR="00773F7C" w:rsidRPr="0017357E">
        <w:rPr>
          <w:rFonts w:ascii="Calibri" w:hAnsi="Calibri" w:cs="Calibri"/>
        </w:rPr>
        <w:t xml:space="preserve"> construct</w:t>
      </w:r>
      <w:r>
        <w:rPr>
          <w:rFonts w:ascii="Calibri" w:hAnsi="Calibri" w:cs="Calibri"/>
        </w:rPr>
        <w:t>ed</w:t>
      </w:r>
      <w:r w:rsidR="00773F7C" w:rsidRPr="0017357E">
        <w:rPr>
          <w:rFonts w:ascii="Calibri" w:hAnsi="Calibri" w:cs="Calibri"/>
        </w:rPr>
        <w:t xml:space="preserve"> a prosopography of Old College’s colonial-medical subscribers, specifically those </w:t>
      </w:r>
      <w:r w:rsidR="00EB4A06">
        <w:rPr>
          <w:rFonts w:ascii="Calibri" w:hAnsi="Calibri" w:cs="Calibri"/>
        </w:rPr>
        <w:t xml:space="preserve">who were </w:t>
      </w:r>
      <w:r w:rsidR="00773F7C" w:rsidRPr="0017357E">
        <w:rPr>
          <w:rFonts w:ascii="Calibri" w:hAnsi="Calibri" w:cs="Calibri"/>
        </w:rPr>
        <w:t>resident or previously based in Jamaica and Antigua. Through analysis of subscribers’ wide-ranging and lifelong connections to</w:t>
      </w:r>
      <w:r w:rsidR="00AE4422">
        <w:rPr>
          <w:rFonts w:ascii="Calibri" w:hAnsi="Calibri" w:cs="Calibri"/>
        </w:rPr>
        <w:t xml:space="preserve"> the</w:t>
      </w:r>
      <w:r w:rsidR="00773F7C" w:rsidRPr="0017357E">
        <w:rPr>
          <w:rFonts w:ascii="Calibri" w:hAnsi="Calibri" w:cs="Calibri"/>
        </w:rPr>
        <w:t xml:space="preserve"> </w:t>
      </w:r>
      <w:r w:rsidR="00A27530">
        <w:rPr>
          <w:rFonts w:ascii="Calibri" w:hAnsi="Calibri" w:cs="Calibri"/>
        </w:rPr>
        <w:t>University</w:t>
      </w:r>
      <w:r w:rsidR="00773F7C" w:rsidRPr="0017357E">
        <w:rPr>
          <w:rFonts w:ascii="Calibri" w:hAnsi="Calibri" w:cs="Calibri"/>
        </w:rPr>
        <w:t xml:space="preserve"> as former students and correspondents with professors, alongside their activities in the Caribbean as plantation physicians, botanists and scientists, this reconsideration of the records of philanthropy and records of empire provides snapshots of the </w:t>
      </w:r>
      <w:r w:rsidR="00A27530">
        <w:rPr>
          <w:rFonts w:ascii="Calibri" w:hAnsi="Calibri" w:cs="Calibri"/>
        </w:rPr>
        <w:t>University</w:t>
      </w:r>
      <w:r w:rsidR="00773F7C" w:rsidRPr="0017357E">
        <w:rPr>
          <w:rFonts w:ascii="Calibri" w:hAnsi="Calibri" w:cs="Calibri"/>
        </w:rPr>
        <w:t>’s colonial networks, and thus demonstrates the overlap between the institution’s financial, social and intellectual links to slavery.</w:t>
      </w:r>
      <w:r w:rsidR="00773F7C" w:rsidRPr="0017357E">
        <w:rPr>
          <w:rStyle w:val="FootnoteReference"/>
          <w:rFonts w:ascii="Calibri" w:hAnsi="Calibri" w:cs="Calibri"/>
        </w:rPr>
        <w:footnoteReference w:id="50"/>
      </w:r>
      <w:r w:rsidR="00773F7C" w:rsidRPr="0017357E">
        <w:rPr>
          <w:rFonts w:ascii="Calibri" w:hAnsi="Calibri" w:cs="Calibri"/>
        </w:rPr>
        <w:t xml:space="preserve"> </w:t>
      </w:r>
    </w:p>
    <w:p w14:paraId="5495D9EB" w14:textId="77777777" w:rsidR="00773F7C" w:rsidRDefault="00773F7C" w:rsidP="00057638">
      <w:pPr>
        <w:pStyle w:val="Heading3"/>
        <w:spacing w:before="0" w:after="0" w:line="259" w:lineRule="auto"/>
        <w:rPr>
          <w:rStyle w:val="Heading3Char"/>
          <w:rFonts w:ascii="Calibri" w:hAnsi="Calibri" w:cs="Calibri"/>
          <w:b/>
          <w:sz w:val="24"/>
          <w:szCs w:val="24"/>
        </w:rPr>
      </w:pPr>
    </w:p>
    <w:p w14:paraId="66955B97" w14:textId="7D5B8D06" w:rsidR="00CB588D" w:rsidRPr="00CB588D" w:rsidRDefault="00CB588D" w:rsidP="00057638">
      <w:pPr>
        <w:pStyle w:val="Heading4"/>
        <w:jc w:val="left"/>
      </w:pPr>
      <w:r>
        <w:t xml:space="preserve">Research Finding 5. Debating Slavery and Abolition in Student Debating Societies at </w:t>
      </w:r>
      <w:r w:rsidR="76E1DCAB">
        <w:t xml:space="preserve">the </w:t>
      </w:r>
      <w:r w:rsidR="00A27530">
        <w:t>University of Edinburgh</w:t>
      </w:r>
      <w:r>
        <w:t>, 1765</w:t>
      </w:r>
      <w:r w:rsidRPr="7ACE002B">
        <w:rPr>
          <w:rFonts w:ascii="Calibri" w:hAnsi="Calibri" w:cs="Calibri"/>
        </w:rPr>
        <w:t>–</w:t>
      </w:r>
      <w:r>
        <w:t>1870</w:t>
      </w:r>
    </w:p>
    <w:p w14:paraId="13A27BA4" w14:textId="359A67CC" w:rsidR="00773F7C" w:rsidRPr="0017357E" w:rsidRDefault="006120B7" w:rsidP="00057638">
      <w:pPr>
        <w:spacing w:line="259" w:lineRule="auto"/>
        <w:rPr>
          <w:rFonts w:ascii="Calibri" w:hAnsi="Calibri" w:cs="Calibri"/>
        </w:rPr>
      </w:pPr>
      <w:r>
        <w:rPr>
          <w:rFonts w:ascii="Calibri" w:hAnsi="Calibri" w:cs="Calibri"/>
        </w:rPr>
        <w:t xml:space="preserve">This study looked at </w:t>
      </w:r>
      <w:r w:rsidR="00773F7C" w:rsidRPr="0017357E">
        <w:rPr>
          <w:rFonts w:ascii="Calibri" w:hAnsi="Calibri" w:cs="Calibri"/>
        </w:rPr>
        <w:t xml:space="preserve">two </w:t>
      </w:r>
      <w:r>
        <w:rPr>
          <w:rFonts w:ascii="Calibri" w:hAnsi="Calibri" w:cs="Calibri"/>
        </w:rPr>
        <w:t xml:space="preserve">student </w:t>
      </w:r>
      <w:r w:rsidR="00773F7C" w:rsidRPr="0017357E">
        <w:rPr>
          <w:rFonts w:ascii="Calibri" w:hAnsi="Calibri" w:cs="Calibri"/>
        </w:rPr>
        <w:t xml:space="preserve">debating societies at </w:t>
      </w:r>
      <w:r w:rsidR="46727924" w:rsidRPr="7ACE002B">
        <w:rPr>
          <w:rFonts w:ascii="Calibri" w:hAnsi="Calibri" w:cs="Calibri"/>
        </w:rPr>
        <w:t xml:space="preserve">the </w:t>
      </w:r>
      <w:r w:rsidR="00A27530" w:rsidRPr="7ACE002B">
        <w:rPr>
          <w:rFonts w:ascii="Calibri" w:hAnsi="Calibri" w:cs="Calibri"/>
        </w:rPr>
        <w:t>University of Edinburgh</w:t>
      </w:r>
      <w:r>
        <w:rPr>
          <w:rFonts w:ascii="Calibri" w:hAnsi="Calibri" w:cs="Calibri"/>
        </w:rPr>
        <w:t xml:space="preserve"> </w:t>
      </w:r>
      <w:r w:rsidR="00773F7C" w:rsidRPr="0017357E">
        <w:rPr>
          <w:rFonts w:ascii="Calibri" w:hAnsi="Calibri" w:cs="Calibri"/>
        </w:rPr>
        <w:t>—</w:t>
      </w:r>
      <w:r>
        <w:rPr>
          <w:rFonts w:ascii="Calibri" w:hAnsi="Calibri" w:cs="Calibri"/>
        </w:rPr>
        <w:t xml:space="preserve"> </w:t>
      </w:r>
      <w:r w:rsidR="00773F7C" w:rsidRPr="0017357E">
        <w:rPr>
          <w:rFonts w:ascii="Calibri" w:hAnsi="Calibri" w:cs="Calibri"/>
        </w:rPr>
        <w:t>the Dialectic Society (est. 1787, now the Diagnostic Society) and the Speculative Society (est. 1764)</w:t>
      </w:r>
      <w:r>
        <w:rPr>
          <w:rFonts w:ascii="Calibri" w:hAnsi="Calibri" w:cs="Calibri"/>
        </w:rPr>
        <w:t xml:space="preserve"> </w:t>
      </w:r>
      <w:r w:rsidR="00773F7C" w:rsidRPr="0017357E">
        <w:rPr>
          <w:rFonts w:ascii="Calibri" w:hAnsi="Calibri" w:cs="Calibri"/>
        </w:rPr>
        <w:t>—</w:t>
      </w:r>
      <w:r>
        <w:rPr>
          <w:rFonts w:ascii="Calibri" w:hAnsi="Calibri" w:cs="Calibri"/>
        </w:rPr>
        <w:t xml:space="preserve"> </w:t>
      </w:r>
      <w:r w:rsidR="007D6A80">
        <w:rPr>
          <w:rFonts w:ascii="Calibri" w:hAnsi="Calibri" w:cs="Calibri"/>
        </w:rPr>
        <w:t>and their</w:t>
      </w:r>
      <w:r w:rsidR="00773F7C" w:rsidRPr="0017357E">
        <w:rPr>
          <w:rFonts w:ascii="Calibri" w:hAnsi="Calibri" w:cs="Calibri"/>
        </w:rPr>
        <w:t xml:space="preserve"> moral, legal, theological and political debates on slavery and abolition in British imperial and US contexts and in relation to independent Saint-Domingue (Haiti). Using </w:t>
      </w:r>
      <w:r w:rsidR="007D6A80">
        <w:rPr>
          <w:rFonts w:ascii="Calibri" w:hAnsi="Calibri" w:cs="Calibri"/>
        </w:rPr>
        <w:t xml:space="preserve">the </w:t>
      </w:r>
      <w:r w:rsidR="00773F7C" w:rsidRPr="0017357E">
        <w:rPr>
          <w:rFonts w:ascii="Calibri" w:hAnsi="Calibri" w:cs="Calibri"/>
        </w:rPr>
        <w:t xml:space="preserve">published histories of the two Societies and the administrative records of the </w:t>
      </w:r>
      <w:r w:rsidR="00773F7C" w:rsidRPr="0017357E">
        <w:rPr>
          <w:rFonts w:ascii="Calibri" w:hAnsi="Calibri" w:cs="Calibri"/>
        </w:rPr>
        <w:lastRenderedPageBreak/>
        <w:t>Dialectic Society (equivalent records for the Speculative Society have not been found), data for slavery and abolition debates</w:t>
      </w:r>
      <w:r w:rsidR="00D005BF">
        <w:rPr>
          <w:rFonts w:ascii="Calibri" w:hAnsi="Calibri" w:cs="Calibri"/>
        </w:rPr>
        <w:t xml:space="preserve"> </w:t>
      </w:r>
      <w:r w:rsidR="00C53C08">
        <w:rPr>
          <w:rFonts w:ascii="Calibri" w:hAnsi="Calibri" w:cs="Calibri"/>
        </w:rPr>
        <w:t>h</w:t>
      </w:r>
      <w:r w:rsidR="00773F7C" w:rsidRPr="0017357E">
        <w:rPr>
          <w:rFonts w:ascii="Calibri" w:hAnsi="Calibri" w:cs="Calibri"/>
        </w:rPr>
        <w:t>a</w:t>
      </w:r>
      <w:r w:rsidR="00C53C08">
        <w:rPr>
          <w:rFonts w:ascii="Calibri" w:hAnsi="Calibri" w:cs="Calibri"/>
        </w:rPr>
        <w:t>ve</w:t>
      </w:r>
      <w:r w:rsidR="00773F7C" w:rsidRPr="0017357E">
        <w:rPr>
          <w:rFonts w:ascii="Calibri" w:hAnsi="Calibri" w:cs="Calibri"/>
        </w:rPr>
        <w:t xml:space="preserve"> been tabulated and uploaded </w:t>
      </w:r>
      <w:r w:rsidR="00773F7C" w:rsidRPr="0065530F">
        <w:rPr>
          <w:rFonts w:ascii="Calibri" w:hAnsi="Calibri" w:cs="Calibri"/>
        </w:rPr>
        <w:t xml:space="preserve">to </w:t>
      </w:r>
      <w:r w:rsidR="00773F7C" w:rsidRPr="007408FD">
        <w:rPr>
          <w:rFonts w:ascii="Calibri" w:hAnsi="Calibri"/>
        </w:rPr>
        <w:t>DataShare</w:t>
      </w:r>
      <w:r w:rsidR="00773F7C" w:rsidRPr="0065530F">
        <w:rPr>
          <w:rFonts w:ascii="Calibri" w:hAnsi="Calibri" w:cs="Calibri"/>
        </w:rPr>
        <w:t>.</w:t>
      </w:r>
      <w:r w:rsidR="00773F7C" w:rsidRPr="0065530F">
        <w:rPr>
          <w:rStyle w:val="FootnoteReference"/>
          <w:rFonts w:ascii="Calibri" w:hAnsi="Calibri" w:cs="Calibri"/>
        </w:rPr>
        <w:footnoteReference w:id="51"/>
      </w:r>
      <w:r w:rsidR="00773F7C" w:rsidRPr="0065530F">
        <w:rPr>
          <w:rFonts w:ascii="Calibri" w:hAnsi="Calibri" w:cs="Calibri"/>
        </w:rPr>
        <w:t xml:space="preserve"> </w:t>
      </w:r>
      <w:r w:rsidR="00544DE4" w:rsidRPr="0065530F">
        <w:rPr>
          <w:rFonts w:ascii="Calibri" w:hAnsi="Calibri" w:cs="Calibri"/>
        </w:rPr>
        <w:t>This</w:t>
      </w:r>
      <w:r w:rsidR="00544DE4">
        <w:rPr>
          <w:rFonts w:ascii="Calibri" w:hAnsi="Calibri" w:cs="Calibri"/>
        </w:rPr>
        <w:t xml:space="preserve"> includes </w:t>
      </w:r>
      <w:r w:rsidR="00544DE4" w:rsidRPr="0017357E">
        <w:rPr>
          <w:rFonts w:ascii="Calibri" w:hAnsi="Calibri" w:cs="Calibri"/>
        </w:rPr>
        <w:t>debate titles and dates and</w:t>
      </w:r>
      <w:r w:rsidR="00544DE4">
        <w:rPr>
          <w:rFonts w:ascii="Calibri" w:hAnsi="Calibri" w:cs="Calibri"/>
        </w:rPr>
        <w:t>,</w:t>
      </w:r>
      <w:r w:rsidR="00544DE4" w:rsidRPr="0017357E">
        <w:rPr>
          <w:rFonts w:ascii="Calibri" w:hAnsi="Calibri" w:cs="Calibri"/>
        </w:rPr>
        <w:t xml:space="preserve"> where information exists, the outcomes of votes and speakers’ and attendees’ names, positions taken in debates, backgrounds and post-university careers</w:t>
      </w:r>
      <w:r w:rsidR="00544DE4">
        <w:rPr>
          <w:rFonts w:ascii="Calibri" w:hAnsi="Calibri" w:cs="Calibri"/>
        </w:rPr>
        <w:t>.</w:t>
      </w:r>
    </w:p>
    <w:p w14:paraId="190FFEB1" w14:textId="1C1E0381" w:rsidR="00773F7C" w:rsidRPr="0017357E" w:rsidRDefault="00773F7C" w:rsidP="00057638">
      <w:pPr>
        <w:spacing w:line="259" w:lineRule="auto"/>
        <w:ind w:firstLine="720"/>
        <w:rPr>
          <w:rFonts w:ascii="Calibri" w:hAnsi="Calibri" w:cs="Calibri"/>
        </w:rPr>
      </w:pPr>
      <w:r w:rsidRPr="0017357E">
        <w:rPr>
          <w:rFonts w:ascii="Calibri" w:hAnsi="Calibri" w:cs="Calibri"/>
        </w:rPr>
        <w:t>Topics relating to slavery and abolition were debated at 27 meetings of the Dialectic Society from 1792</w:t>
      </w:r>
      <w:r w:rsidR="009F3C01">
        <w:rPr>
          <w:rFonts w:ascii="Calibri" w:hAnsi="Calibri" w:cs="Calibri"/>
        </w:rPr>
        <w:t>–</w:t>
      </w:r>
      <w:r w:rsidRPr="0017357E">
        <w:rPr>
          <w:rFonts w:ascii="Calibri" w:hAnsi="Calibri" w:cs="Calibri"/>
        </w:rPr>
        <w:t>1870, and at 20 meetings of the Speculative Society over 1765</w:t>
      </w:r>
      <w:r w:rsidR="0011429C">
        <w:rPr>
          <w:rFonts w:ascii="Calibri" w:hAnsi="Calibri" w:cs="Calibri"/>
        </w:rPr>
        <w:t>–</w:t>
      </w:r>
      <w:r w:rsidRPr="0017357E">
        <w:rPr>
          <w:rFonts w:ascii="Calibri" w:hAnsi="Calibri" w:cs="Calibri"/>
        </w:rPr>
        <w:t xml:space="preserve">1838. As early as 1764, students in the Speculative Society debated whether ‘slavery and the slave trade </w:t>
      </w:r>
      <w:r w:rsidR="0011429C">
        <w:rPr>
          <w:rFonts w:ascii="Calibri" w:hAnsi="Calibri" w:cs="Calibri"/>
        </w:rPr>
        <w:t xml:space="preserve">[were] </w:t>
      </w:r>
      <w:r w:rsidRPr="0017357E">
        <w:rPr>
          <w:rFonts w:ascii="Calibri" w:hAnsi="Calibri" w:cs="Calibri"/>
        </w:rPr>
        <w:t>consistent with the natural rights of mankind?’ (</w:t>
      </w:r>
      <w:r w:rsidR="00D37E42">
        <w:rPr>
          <w:rFonts w:ascii="Calibri" w:hAnsi="Calibri" w:cs="Calibri"/>
        </w:rPr>
        <w:t>H</w:t>
      </w:r>
      <w:r w:rsidR="009C0A74">
        <w:rPr>
          <w:rFonts w:ascii="Calibri" w:hAnsi="Calibri" w:cs="Calibri"/>
        </w:rPr>
        <w:t xml:space="preserve">owever, </w:t>
      </w:r>
      <w:r w:rsidRPr="0017357E">
        <w:rPr>
          <w:rFonts w:ascii="Calibri" w:hAnsi="Calibri" w:cs="Calibri"/>
        </w:rPr>
        <w:t>neither the arguments made</w:t>
      </w:r>
      <w:r w:rsidR="00AC30C1">
        <w:rPr>
          <w:rFonts w:ascii="Calibri" w:hAnsi="Calibri" w:cs="Calibri"/>
        </w:rPr>
        <w:t>,</w:t>
      </w:r>
      <w:r w:rsidRPr="0017357E">
        <w:rPr>
          <w:rFonts w:ascii="Calibri" w:hAnsi="Calibri" w:cs="Calibri"/>
        </w:rPr>
        <w:t xml:space="preserve"> </w:t>
      </w:r>
      <w:r w:rsidR="009C0A74">
        <w:rPr>
          <w:rFonts w:ascii="Calibri" w:hAnsi="Calibri" w:cs="Calibri"/>
        </w:rPr>
        <w:t>n</w:t>
      </w:r>
      <w:r w:rsidRPr="0017357E">
        <w:rPr>
          <w:rFonts w:ascii="Calibri" w:hAnsi="Calibri" w:cs="Calibri"/>
        </w:rPr>
        <w:t xml:space="preserve">or </w:t>
      </w:r>
      <w:r w:rsidR="00AC30C1">
        <w:rPr>
          <w:rFonts w:ascii="Calibri" w:hAnsi="Calibri" w:cs="Calibri"/>
        </w:rPr>
        <w:t xml:space="preserve">the </w:t>
      </w:r>
      <w:r w:rsidRPr="0017357E">
        <w:rPr>
          <w:rFonts w:ascii="Calibri" w:hAnsi="Calibri" w:cs="Calibri"/>
        </w:rPr>
        <w:t>verdict</w:t>
      </w:r>
      <w:r w:rsidR="009C0A74">
        <w:rPr>
          <w:rFonts w:ascii="Calibri" w:hAnsi="Calibri" w:cs="Calibri"/>
        </w:rPr>
        <w:t xml:space="preserve"> </w:t>
      </w:r>
      <w:r w:rsidRPr="0017357E">
        <w:rPr>
          <w:rFonts w:ascii="Calibri" w:hAnsi="Calibri" w:cs="Calibri"/>
        </w:rPr>
        <w:t>were recorded). Students in the Dialectic Society, meanwhile, voted overwhelmingly against the ‘slave trade’ in the 1790s</w:t>
      </w:r>
      <w:r w:rsidR="003574D2">
        <w:rPr>
          <w:rFonts w:ascii="Calibri" w:hAnsi="Calibri" w:cs="Calibri"/>
        </w:rPr>
        <w:t>.</w:t>
      </w:r>
      <w:r w:rsidRPr="0017357E">
        <w:rPr>
          <w:rFonts w:ascii="Calibri" w:hAnsi="Calibri" w:cs="Calibri"/>
        </w:rPr>
        <w:t xml:space="preserve"> </w:t>
      </w:r>
      <w:r w:rsidR="003574D2">
        <w:rPr>
          <w:rFonts w:ascii="Calibri" w:hAnsi="Calibri" w:cs="Calibri"/>
        </w:rPr>
        <w:t>In</w:t>
      </w:r>
      <w:r w:rsidRPr="0017357E">
        <w:rPr>
          <w:rFonts w:ascii="Calibri" w:hAnsi="Calibri" w:cs="Calibri"/>
        </w:rPr>
        <w:t xml:space="preserve"> 1792, members concluded unanimously that ‘use of the produce of slavery involve[d] [them] in its guilt’ and agreed to abstain from consuming sugar.</w:t>
      </w:r>
      <w:r w:rsidRPr="0017357E">
        <w:rPr>
          <w:rStyle w:val="FootnoteReference"/>
          <w:rFonts w:ascii="Calibri" w:hAnsi="Calibri" w:cs="Calibri"/>
        </w:rPr>
        <w:footnoteReference w:id="52"/>
      </w:r>
      <w:r w:rsidRPr="0017357E">
        <w:rPr>
          <w:rFonts w:ascii="Calibri" w:hAnsi="Calibri" w:cs="Calibri"/>
        </w:rPr>
        <w:t xml:space="preserve"> A prominent future abolitionist in Scotland, Andrew Mitchell Thomson, wrote and read an essay for the Society entitled ‘Slavery’.</w:t>
      </w:r>
      <w:r w:rsidRPr="0017357E">
        <w:rPr>
          <w:rStyle w:val="FootnoteReference"/>
          <w:rFonts w:ascii="Calibri" w:hAnsi="Calibri" w:cs="Calibri"/>
        </w:rPr>
        <w:footnoteReference w:id="53"/>
      </w:r>
      <w:r w:rsidRPr="0017357E">
        <w:rPr>
          <w:rFonts w:ascii="Calibri" w:hAnsi="Calibri" w:cs="Calibri"/>
        </w:rPr>
        <w:t xml:space="preserve"> Significant numbers of students in both societies, however, either argued or voted against </w:t>
      </w:r>
      <w:r w:rsidR="003655E4">
        <w:rPr>
          <w:rFonts w:ascii="Calibri" w:hAnsi="Calibri" w:cs="Calibri"/>
        </w:rPr>
        <w:t xml:space="preserve">the </w:t>
      </w:r>
      <w:r w:rsidRPr="0017357E">
        <w:rPr>
          <w:rFonts w:ascii="Calibri" w:hAnsi="Calibri" w:cs="Calibri"/>
        </w:rPr>
        <w:t>‘immediate’ abolition of slavery in the 1820s and</w:t>
      </w:r>
      <w:r w:rsidR="003A619C">
        <w:rPr>
          <w:rFonts w:ascii="Calibri" w:hAnsi="Calibri" w:cs="Calibri"/>
        </w:rPr>
        <w:t xml:space="preserve"> the</w:t>
      </w:r>
      <w:r w:rsidRPr="0017357E">
        <w:rPr>
          <w:rFonts w:ascii="Calibri" w:hAnsi="Calibri" w:cs="Calibri"/>
        </w:rPr>
        <w:t xml:space="preserve"> early 1830s; in favour of ‘gradual’ abolition (in contexts where such positions served to defang growing demands for immediate emancipation); in favour of the British government providing financial compensation to enslavers following emancipation; and in support of Britain’s formal recognition of the Confederacy during the American Civil War. In 1832, a year before the British Parliament passed the Slavery Abolition Act, a majority of Speculative Society members voted that ‘slaves in the West Indies’ should not be ‘immediately emancipated’. Some members of the two societies had come from Britain’s colonies to study at Edinburgh. For example, the Barbados-born medical student Thomas Skeete spoke at a Speculative Society debate, likely sometime in the 1780s, in defence of the ‘slave trade’.</w:t>
      </w:r>
      <w:r w:rsidRPr="0017357E">
        <w:rPr>
          <w:rStyle w:val="FootnoteReference"/>
          <w:rFonts w:ascii="Calibri" w:hAnsi="Calibri" w:cs="Calibri"/>
        </w:rPr>
        <w:footnoteReference w:id="54"/>
      </w:r>
      <w:r w:rsidRPr="0017357E">
        <w:rPr>
          <w:rFonts w:ascii="Calibri" w:hAnsi="Calibri" w:cs="Calibri"/>
        </w:rPr>
        <w:t xml:space="preserve"> The records of these two debating societies thus chart traces of both pro- and anti-slavery sentiment among Edinburgh’s student body in the age of abolition.</w:t>
      </w:r>
    </w:p>
    <w:p w14:paraId="15AA8938" w14:textId="77777777" w:rsidR="00773F7C" w:rsidRPr="0017357E" w:rsidRDefault="00773F7C" w:rsidP="00057638">
      <w:pPr>
        <w:spacing w:line="259" w:lineRule="auto"/>
        <w:rPr>
          <w:rFonts w:ascii="Calibri" w:hAnsi="Calibri" w:cs="Calibri"/>
        </w:rPr>
      </w:pPr>
    </w:p>
    <w:p w14:paraId="4A5EF6AB" w14:textId="627D1423" w:rsidR="00773F7C" w:rsidRPr="00C011E5" w:rsidRDefault="00773F7C" w:rsidP="00057638">
      <w:pPr>
        <w:pStyle w:val="Heading4"/>
        <w:jc w:val="left"/>
      </w:pPr>
      <w:r w:rsidRPr="00C011E5">
        <w:t xml:space="preserve">Research Finding 6. Skulls of Two Students of African Descent in the </w:t>
      </w:r>
      <w:r w:rsidR="00A27530">
        <w:t>University of Edinburgh</w:t>
      </w:r>
      <w:r w:rsidRPr="00C011E5">
        <w:t>’s Anatomical Museum</w:t>
      </w:r>
    </w:p>
    <w:p w14:paraId="19DDD25E" w14:textId="71760210" w:rsidR="00004571" w:rsidRDefault="23AC28C4" w:rsidP="00057638">
      <w:pPr>
        <w:spacing w:line="259" w:lineRule="auto"/>
        <w:rPr>
          <w:rFonts w:ascii="Calibri" w:eastAsiaTheme="minorEastAsia" w:hAnsi="Calibri" w:cs="Calibri"/>
          <w:color w:val="000000" w:themeColor="text1"/>
        </w:rPr>
      </w:pPr>
      <w:r w:rsidRPr="003959E1">
        <w:rPr>
          <w:rFonts w:ascii="Calibri" w:hAnsi="Calibri" w:cs="Calibri"/>
          <w:color w:val="000000" w:themeColor="text1"/>
        </w:rPr>
        <w:t>Th</w:t>
      </w:r>
      <w:r w:rsidR="28AB7D8C" w:rsidRPr="003959E1">
        <w:rPr>
          <w:rFonts w:ascii="Calibri" w:hAnsi="Calibri" w:cs="Calibri"/>
          <w:color w:val="000000" w:themeColor="text1"/>
        </w:rPr>
        <w:t xml:space="preserve">is study </w:t>
      </w:r>
      <w:r w:rsidR="415E02A3" w:rsidRPr="003959E1">
        <w:rPr>
          <w:rFonts w:ascii="Calibri" w:hAnsi="Calibri" w:cs="Calibri"/>
          <w:color w:val="000000" w:themeColor="text1"/>
        </w:rPr>
        <w:t>investigated</w:t>
      </w:r>
      <w:r w:rsidR="3A48343D" w:rsidRPr="003959E1">
        <w:rPr>
          <w:rFonts w:ascii="Calibri" w:hAnsi="Calibri" w:cs="Calibri"/>
          <w:color w:val="000000" w:themeColor="text1"/>
        </w:rPr>
        <w:t xml:space="preserve"> two </w:t>
      </w:r>
      <w:r w:rsidRPr="003959E1">
        <w:rPr>
          <w:rFonts w:ascii="Calibri" w:hAnsi="Calibri" w:cs="Calibri"/>
          <w:color w:val="000000" w:themeColor="text1"/>
        </w:rPr>
        <w:t xml:space="preserve">catalogue entries </w:t>
      </w:r>
      <w:r w:rsidR="3A48343D" w:rsidRPr="003959E1">
        <w:rPr>
          <w:rFonts w:ascii="Calibri" w:hAnsi="Calibri" w:cs="Calibri"/>
          <w:color w:val="000000" w:themeColor="text1"/>
        </w:rPr>
        <w:t xml:space="preserve">that were found </w:t>
      </w:r>
      <w:r w:rsidRPr="003959E1">
        <w:rPr>
          <w:rFonts w:ascii="Calibri" w:hAnsi="Calibri" w:cs="Calibri"/>
          <w:color w:val="000000" w:themeColor="text1"/>
        </w:rPr>
        <w:t>in the Anatomical Museum’s Anthropology (</w:t>
      </w:r>
      <w:r w:rsidR="0B2AC49B" w:rsidRPr="003959E1">
        <w:rPr>
          <w:rFonts w:ascii="Calibri" w:hAnsi="Calibri" w:cs="Calibri"/>
          <w:color w:val="000000" w:themeColor="text1"/>
        </w:rPr>
        <w:t xml:space="preserve">the so-called </w:t>
      </w:r>
      <w:r w:rsidR="28AB7D8C" w:rsidRPr="003959E1">
        <w:rPr>
          <w:rFonts w:ascii="Calibri" w:hAnsi="Calibri" w:cs="Calibri"/>
          <w:color w:val="000000" w:themeColor="text1"/>
        </w:rPr>
        <w:t>‘</w:t>
      </w:r>
      <w:r w:rsidRPr="003959E1">
        <w:rPr>
          <w:rFonts w:ascii="Calibri" w:hAnsi="Calibri" w:cs="Calibri"/>
          <w:color w:val="000000" w:themeColor="text1"/>
        </w:rPr>
        <w:t>Skull Room</w:t>
      </w:r>
      <w:r w:rsidR="28AB7D8C" w:rsidRPr="003959E1">
        <w:rPr>
          <w:rFonts w:ascii="Calibri" w:hAnsi="Calibri" w:cs="Calibri"/>
          <w:color w:val="000000" w:themeColor="text1"/>
        </w:rPr>
        <w:t>’</w:t>
      </w:r>
      <w:r w:rsidRPr="003959E1">
        <w:rPr>
          <w:rFonts w:ascii="Calibri" w:hAnsi="Calibri" w:cs="Calibri"/>
          <w:color w:val="000000" w:themeColor="text1"/>
        </w:rPr>
        <w:t>) collection record</w:t>
      </w:r>
      <w:r w:rsidR="23979F70" w:rsidRPr="003959E1">
        <w:rPr>
          <w:rFonts w:ascii="Calibri" w:hAnsi="Calibri" w:cs="Calibri"/>
          <w:color w:val="000000" w:themeColor="text1"/>
        </w:rPr>
        <w:t>s</w:t>
      </w:r>
      <w:r w:rsidRPr="003959E1">
        <w:rPr>
          <w:rFonts w:ascii="Calibri" w:hAnsi="Calibri" w:cs="Calibri"/>
          <w:color w:val="000000" w:themeColor="text1"/>
        </w:rPr>
        <w:t xml:space="preserve"> </w:t>
      </w:r>
      <w:r w:rsidR="0B2AC49B" w:rsidRPr="003959E1">
        <w:rPr>
          <w:rFonts w:ascii="Calibri" w:hAnsi="Calibri" w:cs="Calibri"/>
          <w:color w:val="000000" w:themeColor="text1"/>
        </w:rPr>
        <w:t>relating to</w:t>
      </w:r>
      <w:r w:rsidRPr="003959E1">
        <w:rPr>
          <w:rFonts w:ascii="Calibri" w:hAnsi="Calibri" w:cs="Calibri"/>
          <w:color w:val="000000" w:themeColor="text1"/>
        </w:rPr>
        <w:t xml:space="preserve"> two students (likely </w:t>
      </w:r>
      <w:r w:rsidR="0B2AC49B" w:rsidRPr="003959E1">
        <w:rPr>
          <w:rFonts w:ascii="Calibri" w:hAnsi="Calibri" w:cs="Calibri"/>
          <w:color w:val="000000" w:themeColor="text1"/>
        </w:rPr>
        <w:t xml:space="preserve">at </w:t>
      </w:r>
      <w:r w:rsidR="0116D838" w:rsidRPr="7ACE002B">
        <w:rPr>
          <w:rFonts w:ascii="Calibri" w:hAnsi="Calibri" w:cs="Calibri"/>
          <w:color w:val="000000" w:themeColor="text1"/>
        </w:rPr>
        <w:t xml:space="preserve">the </w:t>
      </w:r>
      <w:r w:rsidR="00A27530" w:rsidRPr="7ACE002B">
        <w:rPr>
          <w:rFonts w:ascii="Calibri" w:hAnsi="Calibri" w:cs="Calibri"/>
          <w:color w:val="000000" w:themeColor="text1"/>
        </w:rPr>
        <w:t>University of Edinburgh</w:t>
      </w:r>
      <w:r w:rsidRPr="003959E1">
        <w:rPr>
          <w:rFonts w:ascii="Calibri" w:hAnsi="Calibri" w:cs="Calibri"/>
          <w:color w:val="000000" w:themeColor="text1"/>
        </w:rPr>
        <w:t xml:space="preserve">) of mixed African and European heritage who died in </w:t>
      </w:r>
      <w:r w:rsidRPr="003959E1">
        <w:rPr>
          <w:rFonts w:ascii="Calibri" w:hAnsi="Calibri" w:cs="Calibri"/>
          <w:color w:val="000000" w:themeColor="text1"/>
        </w:rPr>
        <w:lastRenderedPageBreak/>
        <w:t>Edinburgh in 1832 and 1833, respectively.</w:t>
      </w:r>
      <w:r w:rsidR="00773F7C" w:rsidRPr="003959E1">
        <w:rPr>
          <w:rStyle w:val="FootnoteReference"/>
          <w:rFonts w:ascii="Calibri" w:hAnsi="Calibri" w:cs="Calibri"/>
          <w:color w:val="000000" w:themeColor="text1"/>
        </w:rPr>
        <w:footnoteReference w:id="55"/>
      </w:r>
      <w:r w:rsidR="0DA5E819" w:rsidRPr="003959E1">
        <w:rPr>
          <w:rFonts w:ascii="Calibri" w:hAnsi="Calibri" w:cs="Calibri"/>
          <w:color w:val="000000" w:themeColor="text1"/>
        </w:rPr>
        <w:t xml:space="preserve"> </w:t>
      </w:r>
      <w:r w:rsidR="0DA5E819" w:rsidRPr="7652D584">
        <w:rPr>
          <w:rStyle w:val="normaltextrun"/>
          <w:color w:val="000000" w:themeColor="text1"/>
        </w:rPr>
        <w:t xml:space="preserve">The Anatomical Museum holds </w:t>
      </w:r>
      <w:r w:rsidR="64CA1533" w:rsidRPr="7652D584">
        <w:rPr>
          <w:rStyle w:val="normaltextrun"/>
          <w:color w:val="000000" w:themeColor="text1"/>
        </w:rPr>
        <w:t xml:space="preserve">a large </w:t>
      </w:r>
      <w:r w:rsidR="0DA5E819" w:rsidRPr="7652D584">
        <w:rPr>
          <w:rStyle w:val="normaltextrun"/>
          <w:color w:val="000000" w:themeColor="text1"/>
        </w:rPr>
        <w:t>collection of ancestral remains</w:t>
      </w:r>
      <w:r w:rsidR="70195114" w:rsidRPr="7652D584">
        <w:rPr>
          <w:rStyle w:val="normaltextrun"/>
          <w:color w:val="000000" w:themeColor="text1"/>
        </w:rPr>
        <w:t xml:space="preserve">, </w:t>
      </w:r>
      <w:r w:rsidR="0DA5E819" w:rsidRPr="7652D584">
        <w:rPr>
          <w:rStyle w:val="normaltextrun"/>
          <w:color w:val="000000" w:themeColor="text1"/>
        </w:rPr>
        <w:t>notably skulls</w:t>
      </w:r>
      <w:r w:rsidR="4E140B76" w:rsidRPr="7652D584">
        <w:rPr>
          <w:rStyle w:val="normaltextrun"/>
          <w:color w:val="000000" w:themeColor="text1"/>
        </w:rPr>
        <w:t>,</w:t>
      </w:r>
      <w:r w:rsidR="47FBAAA2" w:rsidRPr="7652D584">
        <w:rPr>
          <w:rStyle w:val="normaltextrun"/>
          <w:color w:val="000000" w:themeColor="text1"/>
        </w:rPr>
        <w:t xml:space="preserve"> </w:t>
      </w:r>
      <w:r w:rsidR="6574E219" w:rsidRPr="7652D584">
        <w:rPr>
          <w:rStyle w:val="normaltextrun"/>
          <w:color w:val="000000" w:themeColor="text1"/>
        </w:rPr>
        <w:t xml:space="preserve">that </w:t>
      </w:r>
      <w:r w:rsidR="2D5D6188" w:rsidRPr="7652D584">
        <w:rPr>
          <w:rStyle w:val="normaltextrun"/>
          <w:color w:val="000000" w:themeColor="text1"/>
        </w:rPr>
        <w:t>‘were taken, without consent, from prisons, asylums, hospitals, archaeological sites and battlefields’</w:t>
      </w:r>
      <w:r w:rsidR="4E140B76" w:rsidRPr="7652D584">
        <w:rPr>
          <w:rStyle w:val="normaltextrun"/>
          <w:color w:val="000000" w:themeColor="text1"/>
        </w:rPr>
        <w:t xml:space="preserve">, with many having been stolen and exported from </w:t>
      </w:r>
      <w:r w:rsidR="1B9F16C5" w:rsidRPr="7652D584">
        <w:rPr>
          <w:rStyle w:val="normaltextrun"/>
          <w:color w:val="000000" w:themeColor="text1"/>
        </w:rPr>
        <w:t>‘the British empire’s colonies or through their global networks’</w:t>
      </w:r>
      <w:r w:rsidR="0DA5E819" w:rsidRPr="7652D584">
        <w:rPr>
          <w:rStyle w:val="normaltextrun"/>
          <w:color w:val="000000" w:themeColor="text1"/>
        </w:rPr>
        <w:t>.</w:t>
      </w:r>
      <w:r w:rsidR="005271B8" w:rsidRPr="7652D584">
        <w:rPr>
          <w:rStyle w:val="FootnoteReference"/>
          <w:color w:val="000000" w:themeColor="text1"/>
        </w:rPr>
        <w:footnoteReference w:id="56"/>
      </w:r>
      <w:r w:rsidR="341F67A0" w:rsidRPr="7652D584">
        <w:rPr>
          <w:rStyle w:val="normaltextrun"/>
          <w:color w:val="000000" w:themeColor="text1"/>
        </w:rPr>
        <w:t xml:space="preserve"> These </w:t>
      </w:r>
      <w:r w:rsidR="18D217C2" w:rsidRPr="7652D584">
        <w:rPr>
          <w:rStyle w:val="normaltextrun"/>
          <w:color w:val="000000" w:themeColor="text1"/>
        </w:rPr>
        <w:t xml:space="preserve">ancestral </w:t>
      </w:r>
      <w:r w:rsidR="341F67A0" w:rsidRPr="7652D584">
        <w:rPr>
          <w:rStyle w:val="normaltextrun"/>
          <w:color w:val="000000" w:themeColor="text1"/>
        </w:rPr>
        <w:t>remains</w:t>
      </w:r>
      <w:r w:rsidR="68100EE2" w:rsidRPr="7652D584">
        <w:rPr>
          <w:rStyle w:val="normaltextrun"/>
          <w:color w:val="000000" w:themeColor="text1"/>
        </w:rPr>
        <w:t xml:space="preserve">, </w:t>
      </w:r>
      <w:r w:rsidR="00997CEA">
        <w:rPr>
          <w:rStyle w:val="normaltextrun"/>
          <w:color w:val="000000" w:themeColor="text1"/>
        </w:rPr>
        <w:t>which originally included</w:t>
      </w:r>
      <w:r w:rsidR="00997CEA" w:rsidRPr="7652D584">
        <w:rPr>
          <w:rStyle w:val="normaltextrun"/>
          <w:color w:val="000000" w:themeColor="text1"/>
        </w:rPr>
        <w:t xml:space="preserve"> </w:t>
      </w:r>
      <w:r w:rsidR="68100EE2" w:rsidRPr="7652D584">
        <w:rPr>
          <w:rStyle w:val="normaltextrun"/>
          <w:color w:val="000000" w:themeColor="text1"/>
        </w:rPr>
        <w:t>around 1</w:t>
      </w:r>
      <w:r w:rsidR="00997CEA">
        <w:rPr>
          <w:rStyle w:val="normaltextrun"/>
          <w:color w:val="000000" w:themeColor="text1"/>
        </w:rPr>
        <w:t>,</w:t>
      </w:r>
      <w:r w:rsidR="68100EE2" w:rsidRPr="7652D584">
        <w:rPr>
          <w:rStyle w:val="normaltextrun"/>
          <w:color w:val="000000" w:themeColor="text1"/>
        </w:rPr>
        <w:t xml:space="preserve">800 skulls, </w:t>
      </w:r>
      <w:r w:rsidR="341F67A0" w:rsidRPr="7652D584">
        <w:rPr>
          <w:rStyle w:val="normaltextrun"/>
          <w:color w:val="000000" w:themeColor="text1"/>
        </w:rPr>
        <w:t>are currently</w:t>
      </w:r>
      <w:r w:rsidR="0DA5E819" w:rsidRPr="7652D584">
        <w:rPr>
          <w:rStyle w:val="normaltextrun"/>
          <w:color w:val="000000" w:themeColor="text1"/>
        </w:rPr>
        <w:t xml:space="preserve"> housed in a purpose-built </w:t>
      </w:r>
      <w:r w:rsidR="341F67A0" w:rsidRPr="7652D584">
        <w:rPr>
          <w:rStyle w:val="normaltextrun"/>
          <w:color w:val="000000" w:themeColor="text1"/>
        </w:rPr>
        <w:t>‘</w:t>
      </w:r>
      <w:r w:rsidR="0DA5E819" w:rsidRPr="7652D584">
        <w:rPr>
          <w:rStyle w:val="normaltextrun"/>
          <w:color w:val="000000" w:themeColor="text1"/>
        </w:rPr>
        <w:t>skull room</w:t>
      </w:r>
      <w:r w:rsidR="341F67A0" w:rsidRPr="7652D584">
        <w:rPr>
          <w:rStyle w:val="normaltextrun"/>
          <w:color w:val="000000" w:themeColor="text1"/>
        </w:rPr>
        <w:t>’</w:t>
      </w:r>
      <w:r w:rsidR="0092436D">
        <w:rPr>
          <w:rStyle w:val="normaltextrun"/>
          <w:color w:val="000000" w:themeColor="text1"/>
        </w:rPr>
        <w:t xml:space="preserve">. </w:t>
      </w:r>
      <w:r w:rsidR="00590999">
        <w:rPr>
          <w:rStyle w:val="normaltextrun"/>
          <w:color w:val="000000" w:themeColor="text1"/>
        </w:rPr>
        <w:t>Some</w:t>
      </w:r>
      <w:r w:rsidR="00997CEA">
        <w:rPr>
          <w:rStyle w:val="normaltextrun"/>
          <w:color w:val="000000" w:themeColor="text1"/>
        </w:rPr>
        <w:t xml:space="preserve"> of these skulls</w:t>
      </w:r>
      <w:r w:rsidR="00997CEA" w:rsidRPr="7652D584">
        <w:rPr>
          <w:rStyle w:val="normaltextrun"/>
          <w:color w:val="000000" w:themeColor="text1"/>
        </w:rPr>
        <w:t xml:space="preserve"> </w:t>
      </w:r>
      <w:r w:rsidR="33084F5E" w:rsidRPr="7652D584">
        <w:rPr>
          <w:rStyle w:val="normaltextrun"/>
          <w:color w:val="000000" w:themeColor="text1"/>
        </w:rPr>
        <w:t>were</w:t>
      </w:r>
      <w:r w:rsidR="4A72AD2F" w:rsidRPr="7652D584">
        <w:rPr>
          <w:rStyle w:val="normaltextrun"/>
          <w:color w:val="000000" w:themeColor="text1"/>
        </w:rPr>
        <w:t xml:space="preserve"> acquired </w:t>
      </w:r>
      <w:r w:rsidR="008E3B01" w:rsidRPr="7652D584">
        <w:rPr>
          <w:rStyle w:val="normaltextrun"/>
          <w:color w:val="000000" w:themeColor="text1"/>
        </w:rPr>
        <w:t>from the Edinburgh Phrenological Society in 1887</w:t>
      </w:r>
      <w:r w:rsidR="008E3B01">
        <w:rPr>
          <w:rStyle w:val="normaltextrun"/>
          <w:color w:val="000000" w:themeColor="text1"/>
        </w:rPr>
        <w:t xml:space="preserve"> </w:t>
      </w:r>
      <w:r w:rsidR="4A72AD2F" w:rsidRPr="7652D584">
        <w:rPr>
          <w:rStyle w:val="normaltextrun"/>
          <w:color w:val="000000" w:themeColor="text1"/>
        </w:rPr>
        <w:t xml:space="preserve">by Sir William Turner, Professor of Anatomy and Principal of </w:t>
      </w:r>
      <w:r w:rsidR="04E9A899" w:rsidRPr="7ACE002B">
        <w:rPr>
          <w:rStyle w:val="normaltextrun"/>
          <w:color w:val="000000" w:themeColor="text1"/>
        </w:rPr>
        <w:t xml:space="preserve">the </w:t>
      </w:r>
      <w:r w:rsidR="00A27530" w:rsidRPr="7ACE002B">
        <w:rPr>
          <w:rStyle w:val="normaltextrun"/>
          <w:color w:val="000000" w:themeColor="text1"/>
        </w:rPr>
        <w:t>University of Edinburgh</w:t>
      </w:r>
      <w:r w:rsidR="4A72AD2F" w:rsidRPr="7652D584">
        <w:rPr>
          <w:rStyle w:val="normaltextrun"/>
          <w:color w:val="000000" w:themeColor="text1"/>
        </w:rPr>
        <w:t xml:space="preserve"> from 1903 to 1916</w:t>
      </w:r>
      <w:r w:rsidR="491C03B3" w:rsidRPr="7652D584">
        <w:rPr>
          <w:rStyle w:val="normaltextrun"/>
          <w:color w:val="000000" w:themeColor="text1"/>
        </w:rPr>
        <w:t>,</w:t>
      </w:r>
      <w:r w:rsidR="00B9450A">
        <w:rPr>
          <w:rStyle w:val="normaltextrun"/>
          <w:color w:val="000000" w:themeColor="text1"/>
        </w:rPr>
        <w:t xml:space="preserve"> who</w:t>
      </w:r>
      <w:r w:rsidR="00087163">
        <w:rPr>
          <w:rStyle w:val="normaltextrun"/>
          <w:color w:val="000000" w:themeColor="text1"/>
        </w:rPr>
        <w:t xml:space="preserve"> then</w:t>
      </w:r>
      <w:r w:rsidR="00B9450A">
        <w:rPr>
          <w:rStyle w:val="normaltextrun"/>
          <w:color w:val="000000" w:themeColor="text1"/>
        </w:rPr>
        <w:t xml:space="preserve"> added to the ‘collection’</w:t>
      </w:r>
      <w:r w:rsidR="0DA5E819" w:rsidRPr="7652D584">
        <w:rPr>
          <w:rStyle w:val="normaltextrun"/>
          <w:color w:val="000000" w:themeColor="text1"/>
        </w:rPr>
        <w:t>.</w:t>
      </w:r>
      <w:r w:rsidR="00590999">
        <w:rPr>
          <w:rStyle w:val="normaltextrun"/>
          <w:color w:val="000000" w:themeColor="text1"/>
        </w:rPr>
        <w:t xml:space="preserve"> </w:t>
      </w:r>
      <w:r w:rsidR="00590999">
        <w:rPr>
          <w:rStyle w:val="FootnoteReference"/>
          <w:color w:val="000000" w:themeColor="text1"/>
        </w:rPr>
        <w:footnoteReference w:id="57"/>
      </w:r>
      <w:r w:rsidR="0DA5E819" w:rsidRPr="7652D584">
        <w:rPr>
          <w:rStyle w:val="normaltextrun"/>
          <w:color w:val="000000" w:themeColor="text1"/>
        </w:rPr>
        <w:t xml:space="preserve"> </w:t>
      </w:r>
      <w:r w:rsidR="70D5FD6B" w:rsidRPr="7652D584">
        <w:rPr>
          <w:rStyle w:val="normaltextrun"/>
          <w:color w:val="000000" w:themeColor="text1"/>
        </w:rPr>
        <w:t>Many of these</w:t>
      </w:r>
      <w:r w:rsidR="719497B6" w:rsidRPr="7652D584">
        <w:rPr>
          <w:rStyle w:val="normaltextrun"/>
          <w:color w:val="000000" w:themeColor="text1"/>
        </w:rPr>
        <w:t xml:space="preserve"> remains </w:t>
      </w:r>
      <w:r w:rsidR="49A830C0" w:rsidRPr="7652D584">
        <w:rPr>
          <w:rStyle w:val="normaltextrun"/>
          <w:color w:val="000000" w:themeColor="text1"/>
        </w:rPr>
        <w:t>were</w:t>
      </w:r>
      <w:r w:rsidR="4A72AD2F" w:rsidRPr="7652D584">
        <w:rPr>
          <w:rStyle w:val="normaltextrun"/>
          <w:color w:val="000000" w:themeColor="text1"/>
        </w:rPr>
        <w:t xml:space="preserve"> used </w:t>
      </w:r>
      <w:r w:rsidR="49033C80" w:rsidRPr="7652D584">
        <w:rPr>
          <w:rStyle w:val="normaltextrun"/>
          <w:color w:val="000000" w:themeColor="text1"/>
        </w:rPr>
        <w:t xml:space="preserve">to study </w:t>
      </w:r>
      <w:r w:rsidR="0DA5E819" w:rsidRPr="7652D584">
        <w:rPr>
          <w:rStyle w:val="normaltextrun"/>
          <w:color w:val="000000" w:themeColor="text1"/>
        </w:rPr>
        <w:t>anatomy, comparative craniology and physical anthropology, as well as the now discredited idea of phrenology</w:t>
      </w:r>
      <w:r w:rsidR="4A72AD2F" w:rsidRPr="7652D584">
        <w:rPr>
          <w:rStyle w:val="normaltextrun"/>
          <w:color w:val="000000" w:themeColor="text1"/>
        </w:rPr>
        <w:t xml:space="preserve">. </w:t>
      </w:r>
      <w:r w:rsidR="6FC65912" w:rsidRPr="7652D584">
        <w:rPr>
          <w:rStyle w:val="normaltextrun"/>
          <w:color w:val="000000" w:themeColor="text1"/>
        </w:rPr>
        <w:t xml:space="preserve">As a </w:t>
      </w:r>
      <w:r w:rsidR="735710C2" w:rsidRPr="7652D584">
        <w:rPr>
          <w:rStyle w:val="normaltextrun"/>
          <w:color w:val="000000" w:themeColor="text1"/>
        </w:rPr>
        <w:t>‘</w:t>
      </w:r>
      <w:r w:rsidR="49033C80" w:rsidRPr="7652D584">
        <w:rPr>
          <w:rStyle w:val="normaltextrun"/>
          <w:color w:val="000000" w:themeColor="text1"/>
        </w:rPr>
        <w:t>collection</w:t>
      </w:r>
      <w:r w:rsidR="735710C2" w:rsidRPr="7652D584">
        <w:rPr>
          <w:rStyle w:val="normaltextrun"/>
          <w:color w:val="000000" w:themeColor="text1"/>
        </w:rPr>
        <w:t>’</w:t>
      </w:r>
      <w:r w:rsidR="6FC65912" w:rsidRPr="7652D584">
        <w:rPr>
          <w:rStyle w:val="normaltextrun"/>
          <w:color w:val="000000" w:themeColor="text1"/>
        </w:rPr>
        <w:t xml:space="preserve">, </w:t>
      </w:r>
      <w:r w:rsidR="2D57A6AB" w:rsidRPr="7652D584">
        <w:rPr>
          <w:rStyle w:val="normaltextrun"/>
          <w:color w:val="000000" w:themeColor="text1"/>
        </w:rPr>
        <w:t>they</w:t>
      </w:r>
      <w:r w:rsidR="33084F5E" w:rsidRPr="7652D584">
        <w:rPr>
          <w:rStyle w:val="normaltextrun"/>
          <w:color w:val="000000" w:themeColor="text1"/>
        </w:rPr>
        <w:t xml:space="preserve"> </w:t>
      </w:r>
      <w:r w:rsidR="49A830C0" w:rsidRPr="7652D584">
        <w:rPr>
          <w:rStyle w:val="normaltextrun"/>
          <w:color w:val="000000" w:themeColor="text1"/>
        </w:rPr>
        <w:t>testif</w:t>
      </w:r>
      <w:r w:rsidR="2D57A6AB" w:rsidRPr="7652D584">
        <w:rPr>
          <w:rStyle w:val="normaltextrun"/>
          <w:color w:val="000000" w:themeColor="text1"/>
        </w:rPr>
        <w:t>y</w:t>
      </w:r>
      <w:r w:rsidR="49A830C0" w:rsidRPr="7652D584">
        <w:rPr>
          <w:rStyle w:val="normaltextrun"/>
          <w:color w:val="000000" w:themeColor="text1"/>
        </w:rPr>
        <w:t xml:space="preserve"> to the </w:t>
      </w:r>
      <w:r w:rsidR="33084F5E" w:rsidRPr="7652D584">
        <w:rPr>
          <w:rStyle w:val="normaltextrun"/>
          <w:color w:val="000000" w:themeColor="text1"/>
        </w:rPr>
        <w:t>central</w:t>
      </w:r>
      <w:r w:rsidR="744F7771" w:rsidRPr="7652D584">
        <w:rPr>
          <w:rStyle w:val="normaltextrun"/>
          <w:color w:val="000000" w:themeColor="text1"/>
        </w:rPr>
        <w:t xml:space="preserve"> role </w:t>
      </w:r>
      <w:r w:rsidR="33084F5E" w:rsidRPr="7652D584">
        <w:rPr>
          <w:rStyle w:val="normaltextrun"/>
          <w:color w:val="000000" w:themeColor="text1"/>
        </w:rPr>
        <w:t xml:space="preserve">that </w:t>
      </w:r>
      <w:r w:rsidR="744F7771" w:rsidRPr="7652D584">
        <w:rPr>
          <w:rStyle w:val="normaltextrun"/>
          <w:color w:val="000000" w:themeColor="text1"/>
        </w:rPr>
        <w:t xml:space="preserve">Edinburgh played in the </w:t>
      </w:r>
      <w:r w:rsidR="0DA5E819" w:rsidRPr="7652D584">
        <w:rPr>
          <w:rStyle w:val="normaltextrun"/>
          <w:color w:val="000000" w:themeColor="text1"/>
        </w:rPr>
        <w:t>development of racial</w:t>
      </w:r>
      <w:r w:rsidR="4A72AD2F" w:rsidRPr="7652D584">
        <w:rPr>
          <w:rStyle w:val="normaltextrun"/>
          <w:color w:val="000000" w:themeColor="text1"/>
        </w:rPr>
        <w:t xml:space="preserve"> pseudo-</w:t>
      </w:r>
      <w:r w:rsidR="0DA5E819" w:rsidRPr="7652D584">
        <w:rPr>
          <w:rStyle w:val="normaltextrun"/>
          <w:color w:val="000000" w:themeColor="text1"/>
        </w:rPr>
        <w:t>science</w:t>
      </w:r>
      <w:r w:rsidR="6FC65912" w:rsidRPr="7652D584">
        <w:rPr>
          <w:rStyle w:val="normaltextrun"/>
          <w:color w:val="000000" w:themeColor="text1"/>
        </w:rPr>
        <w:t>s</w:t>
      </w:r>
      <w:r w:rsidR="0DA5E819" w:rsidRPr="7652D584">
        <w:rPr>
          <w:rStyle w:val="normaltextrun"/>
          <w:color w:val="000000" w:themeColor="text1"/>
        </w:rPr>
        <w:t xml:space="preserve"> </w:t>
      </w:r>
      <w:r w:rsidR="0DA5E819" w:rsidRPr="003F35B7">
        <w:rPr>
          <w:rStyle w:val="normaltextrun"/>
          <w:rFonts w:ascii="Calibri" w:hAnsi="Calibri" w:cs="Calibri"/>
          <w:color w:val="000000" w:themeColor="text1"/>
        </w:rPr>
        <w:t>which sought to assert the existence of a hierarchy of human ‘races’.</w:t>
      </w:r>
      <w:r w:rsidR="744F7771" w:rsidRPr="003F35B7">
        <w:rPr>
          <w:rStyle w:val="normaltextrun"/>
          <w:rFonts w:ascii="Calibri" w:hAnsi="Calibri" w:cs="Calibri"/>
          <w:color w:val="000000" w:themeColor="text1"/>
        </w:rPr>
        <w:t xml:space="preserve"> </w:t>
      </w:r>
    </w:p>
    <w:p w14:paraId="6C91F8FD" w14:textId="77E5EB94" w:rsidR="00773F7C" w:rsidRPr="0017357E" w:rsidRDefault="0F0AB44E" w:rsidP="00D9372B">
      <w:pPr>
        <w:spacing w:line="259" w:lineRule="auto"/>
        <w:ind w:firstLine="720"/>
      </w:pPr>
      <w:r w:rsidRPr="68947008">
        <w:rPr>
          <w:rFonts w:ascii="Calibri" w:eastAsiaTheme="minorEastAsia" w:hAnsi="Calibri" w:cs="Calibri"/>
          <w:color w:val="000000" w:themeColor="text1"/>
        </w:rPr>
        <w:t xml:space="preserve">The ancestral remains </w:t>
      </w:r>
      <w:r w:rsidR="57E6B821">
        <w:rPr>
          <w:rFonts w:ascii="Calibri" w:hAnsi="Calibri" w:cs="Calibri"/>
          <w:color w:val="000000" w:themeColor="text1"/>
        </w:rPr>
        <w:t>referred to in this study are</w:t>
      </w:r>
      <w:r w:rsidR="23AC28C4" w:rsidRPr="003959E1">
        <w:rPr>
          <w:rFonts w:ascii="Calibri" w:hAnsi="Calibri" w:cs="Calibri"/>
          <w:color w:val="000000" w:themeColor="text1"/>
        </w:rPr>
        <w:t xml:space="preserve"> described </w:t>
      </w:r>
      <w:r w:rsidR="57E6B821">
        <w:rPr>
          <w:rFonts w:ascii="Calibri" w:hAnsi="Calibri" w:cs="Calibri"/>
          <w:color w:val="000000" w:themeColor="text1"/>
        </w:rPr>
        <w:t xml:space="preserve">in the catalogue </w:t>
      </w:r>
      <w:r w:rsidR="23AC28C4" w:rsidRPr="003959E1">
        <w:rPr>
          <w:rFonts w:ascii="Calibri" w:hAnsi="Calibri" w:cs="Calibri"/>
          <w:color w:val="000000" w:themeColor="text1"/>
        </w:rPr>
        <w:t>as having belonged to a ‘Negro Mulatto’ from Barbados and a student of divinity</w:t>
      </w:r>
      <w:r w:rsidR="008675F0">
        <w:rPr>
          <w:rFonts w:ascii="Calibri" w:hAnsi="Calibri" w:cs="Calibri"/>
          <w:color w:val="000000" w:themeColor="text1"/>
        </w:rPr>
        <w:t>,</w:t>
      </w:r>
      <w:r w:rsidR="554A57ED">
        <w:rPr>
          <w:rFonts w:ascii="Calibri" w:hAnsi="Calibri" w:cs="Calibri"/>
          <w:color w:val="000000" w:themeColor="text1"/>
        </w:rPr>
        <w:t xml:space="preserve"> and</w:t>
      </w:r>
      <w:r w:rsidR="23AC28C4" w:rsidRPr="003959E1">
        <w:rPr>
          <w:rFonts w:ascii="Calibri" w:hAnsi="Calibri" w:cs="Calibri"/>
          <w:color w:val="000000" w:themeColor="text1"/>
        </w:rPr>
        <w:t xml:space="preserve"> a ‘Negro Mulatto’ from Barbados and a student of medicine. Their </w:t>
      </w:r>
      <w:r w:rsidR="554A57ED">
        <w:rPr>
          <w:rFonts w:ascii="Calibri" w:hAnsi="Calibri" w:cs="Calibri"/>
          <w:color w:val="000000" w:themeColor="text1"/>
        </w:rPr>
        <w:t>remains</w:t>
      </w:r>
      <w:r w:rsidR="23AC28C4" w:rsidRPr="003959E1">
        <w:rPr>
          <w:rFonts w:ascii="Calibri" w:hAnsi="Calibri" w:cs="Calibri"/>
          <w:color w:val="000000" w:themeColor="text1"/>
        </w:rPr>
        <w:t xml:space="preserve"> are recorded as being part of the Museum </w:t>
      </w:r>
      <w:r w:rsidR="23AC28C4" w:rsidRPr="0017357E">
        <w:rPr>
          <w:rFonts w:ascii="Calibri" w:hAnsi="Calibri" w:cs="Calibri"/>
        </w:rPr>
        <w:t>of the Phrenological Society of Edinburgh (est. 1820) in 1858.</w:t>
      </w:r>
      <w:r w:rsidR="00773F7C" w:rsidRPr="0017357E">
        <w:rPr>
          <w:rFonts w:ascii="Calibri" w:hAnsi="Calibri" w:cs="Calibri"/>
          <w:vertAlign w:val="superscript"/>
        </w:rPr>
        <w:footnoteReference w:id="58"/>
      </w:r>
      <w:r w:rsidR="23AC28C4" w:rsidRPr="0017357E">
        <w:rPr>
          <w:rFonts w:ascii="Calibri" w:hAnsi="Calibri" w:cs="Calibri"/>
        </w:rPr>
        <w:t xml:space="preserve"> Although some inconsistencies exist between records, a process of deduction using the catalogue entries, </w:t>
      </w:r>
      <w:r w:rsidR="004901B2" w:rsidRPr="68947008">
        <w:rPr>
          <w:rFonts w:ascii="Calibri" w:hAnsi="Calibri" w:cs="Calibri"/>
        </w:rPr>
        <w:t xml:space="preserve">the </w:t>
      </w:r>
      <w:r w:rsidR="00A27530" w:rsidRPr="68947008">
        <w:rPr>
          <w:rFonts w:ascii="Calibri" w:hAnsi="Calibri" w:cs="Calibri"/>
        </w:rPr>
        <w:t>University of Edinburgh</w:t>
      </w:r>
      <w:r w:rsidR="004901B2" w:rsidRPr="68947008">
        <w:rPr>
          <w:rFonts w:ascii="Calibri" w:hAnsi="Calibri" w:cs="Calibri"/>
        </w:rPr>
        <w:t>’s</w:t>
      </w:r>
      <w:r w:rsidR="23AC28C4" w:rsidRPr="0017357E">
        <w:rPr>
          <w:rFonts w:ascii="Calibri" w:hAnsi="Calibri" w:cs="Calibri"/>
        </w:rPr>
        <w:t xml:space="preserve"> matriculation albums and burial records in the Old Parish Registers for South Leith would appear to indicate the identities of these two individuals as George Richards, a 21-year-old Barbadian medical student who died from small pox, and his brother, the 18-year-old Robert Bruce Richards, who died of typhoid fever. Their father, George Richards, M.D., practiced medicine on Barbados’s sugar plantations and owned enslaved people.</w:t>
      </w:r>
      <w:r w:rsidR="00773F7C" w:rsidRPr="0017357E">
        <w:rPr>
          <w:rStyle w:val="FootnoteReference"/>
          <w:rFonts w:ascii="Calibri" w:hAnsi="Calibri" w:cs="Calibri"/>
        </w:rPr>
        <w:footnoteReference w:id="59"/>
      </w:r>
      <w:r w:rsidR="23AC28C4" w:rsidRPr="0017357E">
        <w:rPr>
          <w:rFonts w:ascii="Calibri" w:hAnsi="Calibri" w:cs="Calibri"/>
        </w:rPr>
        <w:t xml:space="preserve"> At the moment, little is known </w:t>
      </w:r>
      <w:r w:rsidR="003A619C">
        <w:rPr>
          <w:rFonts w:ascii="Calibri" w:hAnsi="Calibri" w:cs="Calibri"/>
        </w:rPr>
        <w:t xml:space="preserve">about </w:t>
      </w:r>
      <w:r w:rsidR="23AC28C4" w:rsidRPr="0017357E">
        <w:rPr>
          <w:rFonts w:ascii="Calibri" w:hAnsi="Calibri" w:cs="Calibri"/>
        </w:rPr>
        <w:t>the exact circumstances by which the skulls of these two deceased students of African descent were separated from their bodies (interned in South Leith Parish Church cemetery), or how they entered the Phrenological Society’s Museum. Given the preoccupations of phrenologists with identifying racial difference through cranial analysis, it can be assumed that the racialisation of these two individuals as ‘mulatto’</w:t>
      </w:r>
      <w:r w:rsidR="13CB602D">
        <w:rPr>
          <w:rFonts w:ascii="Calibri" w:hAnsi="Calibri" w:cs="Calibri"/>
        </w:rPr>
        <w:t xml:space="preserve"> </w:t>
      </w:r>
      <w:r w:rsidR="23AC28C4" w:rsidRPr="0017357E">
        <w:rPr>
          <w:rFonts w:ascii="Calibri" w:hAnsi="Calibri" w:cs="Calibri"/>
        </w:rPr>
        <w:t>—</w:t>
      </w:r>
      <w:r w:rsidR="13CB602D">
        <w:rPr>
          <w:rFonts w:ascii="Calibri" w:hAnsi="Calibri" w:cs="Calibri"/>
        </w:rPr>
        <w:t xml:space="preserve"> </w:t>
      </w:r>
      <w:r w:rsidR="23AC28C4" w:rsidRPr="0017357E">
        <w:rPr>
          <w:rFonts w:ascii="Calibri" w:hAnsi="Calibri" w:cs="Calibri"/>
        </w:rPr>
        <w:t>a hybrid racial category that both fascinated and bewildered phrenologists</w:t>
      </w:r>
      <w:r w:rsidR="13CB602D">
        <w:rPr>
          <w:rFonts w:ascii="Calibri" w:hAnsi="Calibri" w:cs="Calibri"/>
        </w:rPr>
        <w:t xml:space="preserve"> </w:t>
      </w:r>
      <w:r w:rsidR="23AC28C4" w:rsidRPr="0017357E">
        <w:rPr>
          <w:rFonts w:ascii="Calibri" w:hAnsi="Calibri" w:cs="Calibri"/>
        </w:rPr>
        <w:t>—</w:t>
      </w:r>
      <w:r w:rsidR="13CB602D">
        <w:rPr>
          <w:rFonts w:ascii="Calibri" w:hAnsi="Calibri" w:cs="Calibri"/>
        </w:rPr>
        <w:t xml:space="preserve"> </w:t>
      </w:r>
      <w:r w:rsidR="23AC28C4" w:rsidRPr="0017357E">
        <w:rPr>
          <w:rFonts w:ascii="Calibri" w:hAnsi="Calibri" w:cs="Calibri"/>
        </w:rPr>
        <w:t xml:space="preserve">is what aroused interest among members of the Society in </w:t>
      </w:r>
      <w:r w:rsidR="626C4CF9">
        <w:rPr>
          <w:rFonts w:ascii="Calibri" w:hAnsi="Calibri" w:cs="Calibri"/>
        </w:rPr>
        <w:t xml:space="preserve">the skulls of </w:t>
      </w:r>
      <w:r w:rsidR="23AC28C4" w:rsidRPr="0017357E">
        <w:rPr>
          <w:rFonts w:ascii="Calibri" w:hAnsi="Calibri" w:cs="Calibri"/>
        </w:rPr>
        <w:t>these two students.</w:t>
      </w:r>
      <w:r w:rsidR="00773F7C" w:rsidRPr="0017357E">
        <w:rPr>
          <w:rStyle w:val="FootnoteReference"/>
          <w:rFonts w:ascii="Calibri" w:hAnsi="Calibri" w:cs="Calibri"/>
        </w:rPr>
        <w:footnoteReference w:id="60"/>
      </w:r>
      <w:r w:rsidR="23AC28C4" w:rsidRPr="0017357E">
        <w:rPr>
          <w:rFonts w:ascii="Calibri" w:hAnsi="Calibri" w:cs="Calibri"/>
        </w:rPr>
        <w:t xml:space="preserve"> </w:t>
      </w:r>
    </w:p>
    <w:p w14:paraId="3AE9AC09" w14:textId="11357D42" w:rsidR="00773F7C" w:rsidRPr="0017357E" w:rsidRDefault="00773F7C" w:rsidP="00130766">
      <w:pPr>
        <w:pStyle w:val="Heading4"/>
      </w:pPr>
      <w:r w:rsidRPr="0017357E">
        <w:lastRenderedPageBreak/>
        <w:t>Research Finding 7. Dr Robert Halliday Gunning: Scottish Medicine, Brazilian Slavery and Philanthropy in Late Victorian Britain</w:t>
      </w:r>
    </w:p>
    <w:p w14:paraId="3179B1A8" w14:textId="46793717" w:rsidR="00773F7C" w:rsidRPr="0017357E" w:rsidRDefault="00857A4B" w:rsidP="00057638">
      <w:pPr>
        <w:spacing w:line="259" w:lineRule="auto"/>
        <w:rPr>
          <w:rFonts w:ascii="Calibri" w:hAnsi="Calibri" w:cs="Calibri"/>
        </w:rPr>
      </w:pPr>
      <w:r>
        <w:rPr>
          <w:rFonts w:ascii="Calibri" w:hAnsi="Calibri" w:cs="Calibri"/>
        </w:rPr>
        <w:t xml:space="preserve">This study looked at the </w:t>
      </w:r>
      <w:r w:rsidR="00773F7C" w:rsidRPr="0017357E">
        <w:rPr>
          <w:rFonts w:ascii="Calibri" w:hAnsi="Calibri" w:cs="Calibri"/>
        </w:rPr>
        <w:t>slavery connections and philanthropy of Dr Robert Halliday Gunning (1818</w:t>
      </w:r>
      <w:r>
        <w:rPr>
          <w:rFonts w:ascii="Calibri" w:hAnsi="Calibri" w:cs="Calibri"/>
        </w:rPr>
        <w:t>–</w:t>
      </w:r>
      <w:r w:rsidR="00773F7C" w:rsidRPr="0017357E">
        <w:rPr>
          <w:rFonts w:ascii="Calibri" w:hAnsi="Calibri" w:cs="Calibri"/>
        </w:rPr>
        <w:t xml:space="preserve">1900) </w:t>
      </w:r>
      <w:r w:rsidR="00C35702">
        <w:rPr>
          <w:rFonts w:ascii="Calibri" w:hAnsi="Calibri" w:cs="Calibri"/>
        </w:rPr>
        <w:t xml:space="preserve">which </w:t>
      </w:r>
      <w:r w:rsidR="00773F7C" w:rsidRPr="0017357E">
        <w:rPr>
          <w:rFonts w:ascii="Calibri" w:hAnsi="Calibri" w:cs="Calibri"/>
        </w:rPr>
        <w:t xml:space="preserve">are explored in </w:t>
      </w:r>
      <w:r w:rsidRPr="00D72A0F">
        <w:rPr>
          <w:rFonts w:ascii="Calibri" w:hAnsi="Calibri" w:cs="Calibri"/>
        </w:rPr>
        <w:t xml:space="preserve">more detail in Appendix </w:t>
      </w:r>
      <w:r w:rsidR="00E260B3" w:rsidRPr="00D72A0F">
        <w:rPr>
          <w:rFonts w:ascii="Calibri" w:hAnsi="Calibri" w:cs="Calibri"/>
        </w:rPr>
        <w:t>1</w:t>
      </w:r>
      <w:r w:rsidR="00773F7C" w:rsidRPr="00D72A0F">
        <w:rPr>
          <w:rFonts w:ascii="Calibri" w:hAnsi="Calibri" w:cs="Calibri"/>
        </w:rPr>
        <w:t>. A</w:t>
      </w:r>
      <w:r w:rsidR="00BD3C2F" w:rsidRPr="00D72A0F">
        <w:rPr>
          <w:rFonts w:ascii="Calibri" w:hAnsi="Calibri" w:cs="Calibri"/>
        </w:rPr>
        <w:t>s</w:t>
      </w:r>
      <w:r w:rsidR="00BD3C2F">
        <w:rPr>
          <w:rFonts w:ascii="Calibri" w:hAnsi="Calibri" w:cs="Calibri"/>
        </w:rPr>
        <w:t xml:space="preserve"> a</w:t>
      </w:r>
      <w:r w:rsidR="00773F7C" w:rsidRPr="0017357E">
        <w:rPr>
          <w:rFonts w:ascii="Calibri" w:hAnsi="Calibri" w:cs="Calibri"/>
        </w:rPr>
        <w:t xml:space="preserve"> </w:t>
      </w:r>
      <w:r w:rsidR="00A27530">
        <w:rPr>
          <w:rFonts w:ascii="Calibri" w:hAnsi="Calibri" w:cs="Calibri"/>
        </w:rPr>
        <w:t>University of Edinburgh</w:t>
      </w:r>
      <w:r w:rsidR="00773F7C" w:rsidRPr="0017357E">
        <w:rPr>
          <w:rFonts w:ascii="Calibri" w:hAnsi="Calibri" w:cs="Calibri"/>
        </w:rPr>
        <w:t>-trained medical professional, Gunning earned considerable wealth in Brazil through his time as a medical officer and then Chief Commissioner of a British gold-mining company in the State of Minas Gerais</w:t>
      </w:r>
      <w:r w:rsidR="005D3BF2">
        <w:rPr>
          <w:rFonts w:ascii="Calibri" w:hAnsi="Calibri" w:cs="Calibri"/>
        </w:rPr>
        <w:t xml:space="preserve"> that used enslaved labour</w:t>
      </w:r>
      <w:r w:rsidR="00773F7C" w:rsidRPr="0017357E">
        <w:rPr>
          <w:rFonts w:ascii="Calibri" w:hAnsi="Calibri" w:cs="Calibri"/>
        </w:rPr>
        <w:t xml:space="preserve">. Gunning also held enslaved labourers on his private estate near Rio de Janeiro. </w:t>
      </w:r>
      <w:r w:rsidR="005D3BF2">
        <w:rPr>
          <w:rFonts w:ascii="Calibri" w:hAnsi="Calibri" w:cs="Calibri"/>
        </w:rPr>
        <w:t>His</w:t>
      </w:r>
      <w:r w:rsidR="00773F7C" w:rsidRPr="0017357E">
        <w:rPr>
          <w:rFonts w:ascii="Calibri" w:hAnsi="Calibri" w:cs="Calibri"/>
        </w:rPr>
        <w:t xml:space="preserve"> slavery-derived wealth formed the foundations for the philanthropic </w:t>
      </w:r>
      <w:r w:rsidR="00773F7C" w:rsidRPr="2F1CA799">
        <w:t xml:space="preserve">gifts he left to an array of religious, charitable, educational, scientific, medical and heritage-related organisations, including the </w:t>
      </w:r>
      <w:r w:rsidR="00A27530">
        <w:t>University of Edinburgh</w:t>
      </w:r>
      <w:r w:rsidR="00773F7C" w:rsidRPr="2F1CA799">
        <w:t>’s Schools of Medicine and Divinity, in both Brazil and Britain</w:t>
      </w:r>
      <w:r w:rsidR="009F6299" w:rsidRPr="2F1CA799">
        <w:t xml:space="preserve">. This includes endowments that are still in effect </w:t>
      </w:r>
      <w:r w:rsidR="00A87F0F" w:rsidRPr="2F1CA799">
        <w:t xml:space="preserve">at the </w:t>
      </w:r>
      <w:r w:rsidR="00A27530">
        <w:t>University of Edinburgh</w:t>
      </w:r>
      <w:r w:rsidR="00A87F0F" w:rsidRPr="2F1CA799">
        <w:t xml:space="preserve"> </w:t>
      </w:r>
      <w:r w:rsidR="009F6299" w:rsidRPr="2F1CA799">
        <w:t xml:space="preserve">today, such as the </w:t>
      </w:r>
      <w:r w:rsidR="00A87F0F" w:rsidRPr="2F1CA799">
        <w:rPr>
          <w:rStyle w:val="outlook-search-highlight"/>
          <w:color w:val="212121"/>
        </w:rPr>
        <w:t>Gunning</w:t>
      </w:r>
      <w:r w:rsidR="00A87F0F" w:rsidRPr="2F1CA799">
        <w:rPr>
          <w:rStyle w:val="apple-converted-space"/>
          <w:color w:val="212121"/>
        </w:rPr>
        <w:t> </w:t>
      </w:r>
      <w:r w:rsidR="00A87F0F" w:rsidRPr="2F1CA799">
        <w:rPr>
          <w:color w:val="212121"/>
        </w:rPr>
        <w:t>Victoria Jubilee Divinity Prizes and the</w:t>
      </w:r>
      <w:r w:rsidR="00A87F0F" w:rsidRPr="2F1CA799">
        <w:rPr>
          <w:rStyle w:val="apple-converted-space"/>
          <w:color w:val="212121"/>
        </w:rPr>
        <w:t> </w:t>
      </w:r>
      <w:hyperlink r:id="rId68" w:tooltip="Original URL: https://divinity.ed.ac.uk/news-events/public-lecture-series/gunning-lectures  Click to follow link." w:history="1">
        <w:r w:rsidR="00A87F0F" w:rsidRPr="00D9372B">
          <w:rPr>
            <w:rStyle w:val="outlook-search-highlight"/>
          </w:rPr>
          <w:t>Gunning</w:t>
        </w:r>
        <w:r w:rsidR="00A87F0F" w:rsidRPr="00D9372B">
          <w:rPr>
            <w:rStyle w:val="Hyperlink"/>
            <w:color w:val="auto"/>
            <w:u w:val="none"/>
          </w:rPr>
          <w:t> Lectures</w:t>
        </w:r>
      </w:hyperlink>
      <w:r w:rsidR="00773F7C" w:rsidRPr="2F1CA799">
        <w:t>.</w:t>
      </w:r>
      <w:r w:rsidR="00991C62" w:rsidRPr="2F1CA799">
        <w:rPr>
          <w:rStyle w:val="FootnoteReference"/>
        </w:rPr>
        <w:footnoteReference w:id="61"/>
      </w:r>
      <w:r w:rsidR="00773F7C" w:rsidRPr="0017357E">
        <w:rPr>
          <w:rFonts w:ascii="Calibri" w:hAnsi="Calibri" w:cs="Calibri"/>
        </w:rPr>
        <w:t xml:space="preserve"> </w:t>
      </w:r>
    </w:p>
    <w:p w14:paraId="4C418C58" w14:textId="77777777" w:rsidR="001A7A52" w:rsidRDefault="001A7A52" w:rsidP="001D272A">
      <w:pPr>
        <w:pStyle w:val="Heading4"/>
      </w:pPr>
    </w:p>
    <w:p w14:paraId="24A15273" w14:textId="7E2AD530" w:rsidR="00773F7C" w:rsidRPr="00130766" w:rsidRDefault="00773F7C" w:rsidP="00C35702">
      <w:pPr>
        <w:pStyle w:val="Heading3"/>
      </w:pPr>
      <w:bookmarkStart w:id="30" w:name="_Toc190939407"/>
      <w:bookmarkStart w:id="31" w:name="_Toc202627090"/>
      <w:r w:rsidRPr="00130766">
        <w:t>Conclusions from Research Strand 1</w:t>
      </w:r>
      <w:bookmarkEnd w:id="30"/>
      <w:bookmarkEnd w:id="31"/>
    </w:p>
    <w:p w14:paraId="5BE4C624" w14:textId="2F61B7F8" w:rsidR="00773F7C" w:rsidRPr="0017357E" w:rsidRDefault="00773F7C" w:rsidP="00057638">
      <w:pPr>
        <w:spacing w:line="259" w:lineRule="auto"/>
        <w:rPr>
          <w:rFonts w:ascii="Calibri" w:hAnsi="Calibri" w:cs="Calibri"/>
        </w:rPr>
      </w:pPr>
      <w:r w:rsidRPr="0017357E">
        <w:rPr>
          <w:rFonts w:ascii="Calibri" w:hAnsi="Calibri" w:cs="Calibri"/>
        </w:rPr>
        <w:t xml:space="preserve">Research into the </w:t>
      </w:r>
      <w:r w:rsidR="00A27530">
        <w:rPr>
          <w:rFonts w:ascii="Calibri" w:hAnsi="Calibri" w:cs="Calibri"/>
        </w:rPr>
        <w:t>University of Edinburgh</w:t>
      </w:r>
      <w:r w:rsidRPr="0017357E">
        <w:rPr>
          <w:rFonts w:ascii="Calibri" w:hAnsi="Calibri" w:cs="Calibri"/>
        </w:rPr>
        <w:t xml:space="preserve">’s receipt of slavery- and empire-linked wealth situates the </w:t>
      </w:r>
      <w:r w:rsidR="00A27530">
        <w:rPr>
          <w:rFonts w:ascii="Calibri" w:hAnsi="Calibri" w:cs="Calibri"/>
        </w:rPr>
        <w:t>University of Edinburgh</w:t>
      </w:r>
      <w:r w:rsidRPr="0017357E">
        <w:rPr>
          <w:rFonts w:ascii="Calibri" w:hAnsi="Calibri" w:cs="Calibri"/>
        </w:rPr>
        <w:t xml:space="preserve"> within the complex web of Scotland’s and Brita</w:t>
      </w:r>
      <w:r w:rsidR="00224C6B">
        <w:rPr>
          <w:rFonts w:ascii="Calibri" w:hAnsi="Calibri" w:cs="Calibri"/>
        </w:rPr>
        <w:t>i</w:t>
      </w:r>
      <w:r w:rsidRPr="0017357E">
        <w:rPr>
          <w:rFonts w:ascii="Calibri" w:hAnsi="Calibri" w:cs="Calibri"/>
        </w:rPr>
        <w:t xml:space="preserve">n’s global and imperial trade from the </w:t>
      </w:r>
      <w:r w:rsidR="00C35702">
        <w:rPr>
          <w:rFonts w:ascii="Calibri" w:hAnsi="Calibri" w:cs="Calibri"/>
        </w:rPr>
        <w:t>17</w:t>
      </w:r>
      <w:r w:rsidR="00C35702" w:rsidRPr="00997CEA">
        <w:rPr>
          <w:rFonts w:ascii="Calibri" w:hAnsi="Calibri" w:cs="Calibri"/>
          <w:vertAlign w:val="superscript"/>
        </w:rPr>
        <w:t>th</w:t>
      </w:r>
      <w:r w:rsidR="00997CEA">
        <w:rPr>
          <w:rFonts w:ascii="Calibri" w:hAnsi="Calibri" w:cs="Calibri"/>
        </w:rPr>
        <w:t xml:space="preserve"> to the</w:t>
      </w:r>
      <w:r w:rsidR="00C35702" w:rsidRPr="0017357E">
        <w:rPr>
          <w:rFonts w:ascii="Calibri" w:hAnsi="Calibri" w:cs="Calibri"/>
        </w:rPr>
        <w:t xml:space="preserve"> </w:t>
      </w:r>
      <w:r w:rsidR="00C35702">
        <w:rPr>
          <w:rFonts w:ascii="Calibri" w:hAnsi="Calibri" w:cs="Calibri"/>
        </w:rPr>
        <w:t>20</w:t>
      </w:r>
      <w:r w:rsidRPr="0017357E">
        <w:rPr>
          <w:rFonts w:ascii="Calibri" w:hAnsi="Calibri" w:cs="Calibri"/>
        </w:rPr>
        <w:t>th centuries, revealing how it has been entangled in the logics of a system often described as racial capitalism.</w:t>
      </w:r>
      <w:r w:rsidRPr="0017357E">
        <w:rPr>
          <w:rStyle w:val="FootnoteReference"/>
          <w:rFonts w:ascii="Calibri" w:hAnsi="Calibri" w:cs="Calibri"/>
        </w:rPr>
        <w:footnoteReference w:id="62"/>
      </w:r>
      <w:r w:rsidRPr="0017357E">
        <w:rPr>
          <w:rFonts w:ascii="Calibri" w:hAnsi="Calibri" w:cs="Calibri"/>
        </w:rPr>
        <w:t xml:space="preserve"> Some of the philanthropic gifts which the </w:t>
      </w:r>
      <w:r w:rsidR="00A27530">
        <w:rPr>
          <w:rFonts w:ascii="Calibri" w:hAnsi="Calibri" w:cs="Calibri"/>
        </w:rPr>
        <w:t>University of Edinburgh</w:t>
      </w:r>
      <w:r w:rsidRPr="0017357E">
        <w:rPr>
          <w:rFonts w:ascii="Calibri" w:hAnsi="Calibri" w:cs="Calibri"/>
        </w:rPr>
        <w:t xml:space="preserve"> received during the last few centuries can be traced to the profits that arise from the cultivation, production and sale of colonial commodities</w:t>
      </w:r>
      <w:r w:rsidR="00674E37">
        <w:rPr>
          <w:rFonts w:ascii="Calibri" w:hAnsi="Calibri" w:cs="Calibri"/>
        </w:rPr>
        <w:t xml:space="preserve"> </w:t>
      </w:r>
      <w:r w:rsidRPr="0017357E">
        <w:rPr>
          <w:rFonts w:ascii="Calibri" w:hAnsi="Calibri" w:cs="Calibri"/>
        </w:rPr>
        <w:t>—</w:t>
      </w:r>
      <w:r w:rsidR="00674E37">
        <w:rPr>
          <w:rFonts w:ascii="Calibri" w:hAnsi="Calibri" w:cs="Calibri"/>
        </w:rPr>
        <w:t xml:space="preserve"> </w:t>
      </w:r>
      <w:r w:rsidRPr="0017357E">
        <w:rPr>
          <w:rFonts w:ascii="Calibri" w:hAnsi="Calibri" w:cs="Calibri"/>
        </w:rPr>
        <w:t>tobacco, sugar, cotton, gold, silk, indigo, linen, iron, opium, to name a few</w:t>
      </w:r>
      <w:r w:rsidR="00674E37">
        <w:rPr>
          <w:rFonts w:ascii="Calibri" w:hAnsi="Calibri" w:cs="Calibri"/>
        </w:rPr>
        <w:t xml:space="preserve"> </w:t>
      </w:r>
      <w:r w:rsidRPr="0017357E">
        <w:rPr>
          <w:rFonts w:ascii="Calibri" w:hAnsi="Calibri" w:cs="Calibri"/>
        </w:rPr>
        <w:t>—</w:t>
      </w:r>
      <w:r w:rsidR="00674E37">
        <w:rPr>
          <w:rFonts w:ascii="Calibri" w:hAnsi="Calibri" w:cs="Calibri"/>
        </w:rPr>
        <w:t xml:space="preserve"> </w:t>
      </w:r>
      <w:r w:rsidRPr="0017357E">
        <w:rPr>
          <w:rFonts w:ascii="Calibri" w:hAnsi="Calibri" w:cs="Calibri"/>
        </w:rPr>
        <w:t>and the financial, legal, military, medical and administrative services that relied on, benefited from or were in some way linked to the ownership and tr</w:t>
      </w:r>
      <w:r w:rsidR="004D74FC">
        <w:rPr>
          <w:rFonts w:ascii="Calibri" w:hAnsi="Calibri" w:cs="Calibri"/>
        </w:rPr>
        <w:t>afficking</w:t>
      </w:r>
      <w:r w:rsidRPr="0017357E">
        <w:rPr>
          <w:rFonts w:ascii="Calibri" w:hAnsi="Calibri" w:cs="Calibri"/>
        </w:rPr>
        <w:t xml:space="preserve"> of enslaved people of African descent, or the colonisation, exploitation and subjugation of peoples across Asia, Oceania, Africa and the Americas. </w:t>
      </w:r>
    </w:p>
    <w:p w14:paraId="72922E0A" w14:textId="217D96B7" w:rsidR="00773F7C" w:rsidRPr="0017357E" w:rsidRDefault="00773F7C" w:rsidP="00057638">
      <w:pPr>
        <w:spacing w:line="259" w:lineRule="auto"/>
        <w:ind w:firstLine="720"/>
        <w:rPr>
          <w:rFonts w:ascii="Calibri" w:hAnsi="Calibri" w:cs="Calibri"/>
        </w:rPr>
      </w:pPr>
      <w:r w:rsidRPr="0017357E">
        <w:rPr>
          <w:rFonts w:ascii="Calibri" w:hAnsi="Calibri" w:cs="Calibri"/>
        </w:rPr>
        <w:t xml:space="preserve">Identifying the </w:t>
      </w:r>
      <w:r w:rsidR="00A27530">
        <w:rPr>
          <w:rFonts w:ascii="Calibri" w:hAnsi="Calibri" w:cs="Calibri"/>
        </w:rPr>
        <w:t>University of Edinburgh</w:t>
      </w:r>
      <w:r w:rsidRPr="0017357E">
        <w:rPr>
          <w:rFonts w:ascii="Calibri" w:hAnsi="Calibri" w:cs="Calibri"/>
        </w:rPr>
        <w:t xml:space="preserve"> as a financial beneficiary of enslavement and colonialism is an important, if not unusual finding. Understanding the scale of this investment is a difficult, but nonetheless important task. Records of philanthropy, importantly, help us to map out the </w:t>
      </w:r>
      <w:r w:rsidR="00A27530">
        <w:rPr>
          <w:rFonts w:ascii="Calibri" w:hAnsi="Calibri" w:cs="Calibri"/>
        </w:rPr>
        <w:t>University of Edinburgh</w:t>
      </w:r>
      <w:r w:rsidRPr="0017357E">
        <w:rPr>
          <w:rFonts w:ascii="Calibri" w:hAnsi="Calibri" w:cs="Calibri"/>
        </w:rPr>
        <w:t xml:space="preserve">’s colonial networks, especially in cases where University representatives proactively </w:t>
      </w:r>
      <w:r w:rsidRPr="0017357E">
        <w:rPr>
          <w:rFonts w:ascii="Calibri" w:hAnsi="Calibri" w:cs="Calibri"/>
          <w:i/>
          <w:iCs/>
        </w:rPr>
        <w:t xml:space="preserve">sought out </w:t>
      </w:r>
      <w:r w:rsidRPr="0017357E">
        <w:rPr>
          <w:rFonts w:ascii="Calibri" w:hAnsi="Calibri" w:cs="Calibri"/>
        </w:rPr>
        <w:t xml:space="preserve">colonial wealth (i.e. during the two capital campaigns). That it was often alumni who gave generously to their </w:t>
      </w:r>
      <w:r w:rsidRPr="0017357E">
        <w:rPr>
          <w:rFonts w:ascii="Calibri" w:hAnsi="Calibri" w:cs="Calibri"/>
          <w:i/>
          <w:iCs/>
        </w:rPr>
        <w:t>alma mater</w:t>
      </w:r>
      <w:r w:rsidRPr="0017357E">
        <w:rPr>
          <w:rFonts w:ascii="Calibri" w:hAnsi="Calibri" w:cs="Calibri"/>
        </w:rPr>
        <w:t xml:space="preserve">, in many cases as thanks for providing them with the skills, knowledge and social capital necessary to thrive in their post-university careers in Britain and its colonies, says a great deal about the </w:t>
      </w:r>
      <w:r w:rsidR="00A27530">
        <w:rPr>
          <w:rFonts w:ascii="Calibri" w:hAnsi="Calibri" w:cs="Calibri"/>
        </w:rPr>
        <w:t>University of Edinburgh</w:t>
      </w:r>
      <w:r w:rsidRPr="0017357E">
        <w:rPr>
          <w:rFonts w:ascii="Calibri" w:hAnsi="Calibri" w:cs="Calibri"/>
        </w:rPr>
        <w:t>’s significant role in the making and remaking of British imperial power and the institution of slavery in colonial societies.</w:t>
      </w:r>
    </w:p>
    <w:p w14:paraId="6CFD231A" w14:textId="553B2093" w:rsidR="00773F7C" w:rsidRPr="0017357E" w:rsidRDefault="00773F7C" w:rsidP="00057638">
      <w:pPr>
        <w:spacing w:line="259" w:lineRule="auto"/>
        <w:ind w:firstLine="720"/>
        <w:rPr>
          <w:rFonts w:ascii="Calibri" w:hAnsi="Calibri" w:cs="Calibri"/>
        </w:rPr>
      </w:pPr>
      <w:r w:rsidRPr="0017357E">
        <w:rPr>
          <w:rFonts w:ascii="Calibri" w:hAnsi="Calibri" w:cs="Calibri"/>
        </w:rPr>
        <w:lastRenderedPageBreak/>
        <w:t xml:space="preserve">Slavery- and empire-linked endowments identified as still financially ‘active’ are remarkably tangible reminders of how the </w:t>
      </w:r>
      <w:r w:rsidR="00A27530">
        <w:rPr>
          <w:rFonts w:ascii="Calibri" w:hAnsi="Calibri" w:cs="Calibri"/>
        </w:rPr>
        <w:t>University of Edinburgh</w:t>
      </w:r>
      <w:r w:rsidRPr="0017357E">
        <w:rPr>
          <w:rFonts w:ascii="Calibri" w:hAnsi="Calibri" w:cs="Calibri"/>
        </w:rPr>
        <w:t xml:space="preserve">’s historic connections to enslavement and colonialism remain threaded throughout the modern, </w:t>
      </w:r>
      <w:r w:rsidR="00A26641">
        <w:rPr>
          <w:rFonts w:ascii="Calibri" w:hAnsi="Calibri" w:cs="Calibri"/>
        </w:rPr>
        <w:t>21st</w:t>
      </w:r>
      <w:r w:rsidRPr="0017357E">
        <w:rPr>
          <w:rFonts w:ascii="Calibri" w:hAnsi="Calibri" w:cs="Calibri"/>
        </w:rPr>
        <w:t>-century institution</w:t>
      </w:r>
      <w:r w:rsidR="00F57128">
        <w:rPr>
          <w:rFonts w:ascii="Calibri" w:hAnsi="Calibri" w:cs="Calibri"/>
        </w:rPr>
        <w:t>. I</w:t>
      </w:r>
      <w:r w:rsidRPr="0017357E">
        <w:rPr>
          <w:rFonts w:ascii="Calibri" w:hAnsi="Calibri" w:cs="Calibri"/>
        </w:rPr>
        <w:t xml:space="preserve">t should be remembered, </w:t>
      </w:r>
      <w:r w:rsidR="00F57128">
        <w:rPr>
          <w:rFonts w:ascii="Calibri" w:hAnsi="Calibri" w:cs="Calibri"/>
        </w:rPr>
        <w:t>however</w:t>
      </w:r>
      <w:r w:rsidR="00F93BD5">
        <w:rPr>
          <w:rFonts w:ascii="Calibri" w:hAnsi="Calibri" w:cs="Calibri"/>
        </w:rPr>
        <w:t>,</w:t>
      </w:r>
      <w:r w:rsidR="00F57128">
        <w:rPr>
          <w:rFonts w:ascii="Calibri" w:hAnsi="Calibri" w:cs="Calibri"/>
        </w:rPr>
        <w:t xml:space="preserve"> that these </w:t>
      </w:r>
      <w:r w:rsidRPr="0017357E">
        <w:rPr>
          <w:rFonts w:ascii="Calibri" w:hAnsi="Calibri" w:cs="Calibri"/>
        </w:rPr>
        <w:t xml:space="preserve">are only the most visible remnants of a wider history of financial entanglement. </w:t>
      </w:r>
    </w:p>
    <w:p w14:paraId="51CF8B5D" w14:textId="6C2448A3" w:rsidR="00773F7C" w:rsidRPr="0017357E" w:rsidRDefault="00773F7C" w:rsidP="00057638">
      <w:pPr>
        <w:spacing w:line="259" w:lineRule="auto"/>
        <w:ind w:firstLine="720"/>
        <w:rPr>
          <w:rFonts w:ascii="Calibri" w:hAnsi="Calibri" w:cs="Calibri"/>
        </w:rPr>
      </w:pPr>
      <w:r w:rsidRPr="0017357E">
        <w:rPr>
          <w:rFonts w:ascii="Calibri" w:hAnsi="Calibri" w:cs="Calibri"/>
        </w:rPr>
        <w:t xml:space="preserve">Finally, as the other research avenues explored during this Fellowship indicate, the transfer of financial capital to the </w:t>
      </w:r>
      <w:r w:rsidR="00A27530">
        <w:rPr>
          <w:rFonts w:ascii="Calibri" w:hAnsi="Calibri" w:cs="Calibri"/>
        </w:rPr>
        <w:t>University of Edinburgh</w:t>
      </w:r>
      <w:r w:rsidRPr="0017357E">
        <w:rPr>
          <w:rFonts w:ascii="Calibri" w:hAnsi="Calibri" w:cs="Calibri"/>
        </w:rPr>
        <w:t xml:space="preserve"> from slavery-linked sources and colonial contexts was complemented</w:t>
      </w:r>
      <w:r w:rsidR="003A5400">
        <w:rPr>
          <w:rFonts w:ascii="Calibri" w:hAnsi="Calibri" w:cs="Calibri"/>
        </w:rPr>
        <w:t xml:space="preserve"> </w:t>
      </w:r>
      <w:r w:rsidRPr="0017357E">
        <w:rPr>
          <w:rFonts w:ascii="Calibri" w:hAnsi="Calibri" w:cs="Calibri"/>
        </w:rPr>
        <w:t>and often enabled</w:t>
      </w:r>
      <w:r w:rsidR="003A5400">
        <w:rPr>
          <w:rFonts w:ascii="Calibri" w:hAnsi="Calibri" w:cs="Calibri"/>
        </w:rPr>
        <w:t xml:space="preserve"> </w:t>
      </w:r>
      <w:r w:rsidRPr="0017357E">
        <w:rPr>
          <w:rFonts w:ascii="Calibri" w:hAnsi="Calibri" w:cs="Calibri"/>
        </w:rPr>
        <w:t xml:space="preserve">by the institution’s exceptionally well-nested position within the circuits of human capital, resources and knowledge that stretched across and beyond the British Empire. Better understanding the </w:t>
      </w:r>
      <w:r w:rsidR="00A27530">
        <w:rPr>
          <w:rFonts w:ascii="Calibri" w:hAnsi="Calibri" w:cs="Calibri"/>
        </w:rPr>
        <w:t>University of Edinburgh</w:t>
      </w:r>
      <w:r w:rsidRPr="0017357E">
        <w:rPr>
          <w:rFonts w:ascii="Calibri" w:hAnsi="Calibri" w:cs="Calibri"/>
        </w:rPr>
        <w:t>’s place within those imperial networks is a key next step for research in this field.</w:t>
      </w:r>
      <w:r w:rsidRPr="0017357E">
        <w:rPr>
          <w:rFonts w:ascii="Calibri" w:hAnsi="Calibri" w:cs="Calibri"/>
          <w:color w:val="000000" w:themeColor="text1"/>
        </w:rPr>
        <w:t xml:space="preserve"> </w:t>
      </w:r>
    </w:p>
    <w:p w14:paraId="465329C4" w14:textId="340271DB" w:rsidR="00773F7C" w:rsidRPr="0017357E" w:rsidRDefault="00773F7C" w:rsidP="00057638">
      <w:pPr>
        <w:spacing w:after="160" w:line="259" w:lineRule="auto"/>
        <w:rPr>
          <w:rFonts w:ascii="Calibri" w:eastAsia="Times New Roman" w:hAnsi="Calibri" w:cs="Calibri"/>
          <w:color w:val="000000" w:themeColor="text1"/>
        </w:rPr>
      </w:pPr>
    </w:p>
    <w:p w14:paraId="552B188F" w14:textId="4F13EA9E" w:rsidR="00773F7C" w:rsidRPr="008379F8" w:rsidRDefault="00773F7C" w:rsidP="00A26641">
      <w:pPr>
        <w:pStyle w:val="Heading2"/>
      </w:pPr>
      <w:bookmarkStart w:id="32" w:name="_Toc157238071"/>
      <w:bookmarkStart w:id="33" w:name="_Toc190939408"/>
      <w:bookmarkStart w:id="34" w:name="_Toc202627091"/>
      <w:r w:rsidRPr="008379F8">
        <w:t xml:space="preserve">Research Strand 2: </w:t>
      </w:r>
      <w:bookmarkEnd w:id="32"/>
      <w:r w:rsidRPr="008379F8">
        <w:t>Theories of Race and Civili</w:t>
      </w:r>
      <w:r w:rsidR="002D0C6E">
        <w:t>s</w:t>
      </w:r>
      <w:r w:rsidRPr="008379F8">
        <w:t xml:space="preserve">ation at </w:t>
      </w:r>
      <w:r w:rsidR="008B591E">
        <w:t>the</w:t>
      </w:r>
      <w:r w:rsidRPr="008379F8">
        <w:t xml:space="preserve"> </w:t>
      </w:r>
      <w:r w:rsidR="00A27530">
        <w:t>University of Edinburgh</w:t>
      </w:r>
      <w:r w:rsidRPr="008379F8">
        <w:t>, c.1750</w:t>
      </w:r>
      <w:r w:rsidR="003A5400" w:rsidRPr="008379F8">
        <w:t>–</w:t>
      </w:r>
      <w:r w:rsidRPr="008379F8">
        <w:t>c.1850</w:t>
      </w:r>
      <w:bookmarkEnd w:id="33"/>
      <w:bookmarkEnd w:id="34"/>
    </w:p>
    <w:p w14:paraId="38A46595" w14:textId="20DB5F0A" w:rsidR="003977DB" w:rsidRPr="008379F8" w:rsidRDefault="003977DB">
      <w:pPr>
        <w:pStyle w:val="Heading3"/>
      </w:pPr>
      <w:bookmarkStart w:id="35" w:name="_Toc190939409"/>
      <w:bookmarkStart w:id="36" w:name="_Toc202627092"/>
      <w:r w:rsidRPr="008379F8">
        <w:t>Introduction</w:t>
      </w:r>
      <w:bookmarkEnd w:id="35"/>
      <w:bookmarkEnd w:id="36"/>
    </w:p>
    <w:p w14:paraId="7DA3AC91" w14:textId="585D95B2" w:rsidR="003977DB" w:rsidRDefault="003977DB" w:rsidP="00057638">
      <w:pPr>
        <w:spacing w:line="259" w:lineRule="auto"/>
        <w:rPr>
          <w:rFonts w:ascii="Calibri" w:hAnsi="Calibri" w:cs="Calibri"/>
        </w:rPr>
      </w:pPr>
      <w:r w:rsidRPr="2F1CA799">
        <w:t xml:space="preserve">The second research strand focused on the intellectual movement known as the ‘Scottish Enlightenment’, which witnessed the systematisation of hierarchical theories of human difference based on ‘race’ and ‘civilisation’, with professors, students and alumni of the </w:t>
      </w:r>
      <w:r w:rsidR="00A27530">
        <w:t>University of Edinburgh</w:t>
      </w:r>
      <w:r w:rsidRPr="2F1CA799">
        <w:t xml:space="preserve"> play</w:t>
      </w:r>
      <w:r w:rsidR="00E71048" w:rsidRPr="2F1CA799">
        <w:t>ing</w:t>
      </w:r>
      <w:r w:rsidRPr="2F1CA799">
        <w:t xml:space="preserve"> a central role in this process. The full results of this </w:t>
      </w:r>
      <w:r w:rsidR="00E71048" w:rsidRPr="2F1CA799">
        <w:t>research</w:t>
      </w:r>
      <w:r w:rsidRPr="2F1CA799">
        <w:t xml:space="preserve"> can be read in a separate report entitled</w:t>
      </w:r>
      <w:r w:rsidR="00203D72" w:rsidRPr="2F1CA799">
        <w:t xml:space="preserve"> </w:t>
      </w:r>
      <w:r w:rsidR="00E71048" w:rsidRPr="2F1CA799">
        <w:t>‘</w:t>
      </w:r>
      <w:r w:rsidR="00203D72" w:rsidRPr="2F1CA799">
        <w:t>The University of Edinburgh, Theories of Race and Civili</w:t>
      </w:r>
      <w:r w:rsidR="00076FAA">
        <w:t>s</w:t>
      </w:r>
      <w:r w:rsidR="00203D72" w:rsidRPr="2F1CA799">
        <w:t xml:space="preserve">ation, and British </w:t>
      </w:r>
      <w:r w:rsidR="00203D72" w:rsidRPr="00D72A0F">
        <w:t>Imperialism</w:t>
      </w:r>
      <w:r w:rsidR="00E71048" w:rsidRPr="00D72A0F">
        <w:t xml:space="preserve">’ (Appendix </w:t>
      </w:r>
      <w:r w:rsidR="00E260B3" w:rsidRPr="00D72A0F">
        <w:t>2</w:t>
      </w:r>
      <w:r w:rsidR="00E71048" w:rsidRPr="00D72A0F">
        <w:t>).</w:t>
      </w:r>
      <w:r w:rsidR="001931EB" w:rsidRPr="00D72A0F">
        <w:rPr>
          <w:rStyle w:val="FootnoteReference"/>
        </w:rPr>
        <w:footnoteReference w:id="63"/>
      </w:r>
      <w:r w:rsidR="00E71048" w:rsidRPr="00D72A0F">
        <w:t xml:space="preserve"> </w:t>
      </w:r>
      <w:r w:rsidR="001C4759" w:rsidRPr="00D72A0F">
        <w:t>Wh</w:t>
      </w:r>
      <w:r w:rsidR="001C4759" w:rsidRPr="2F1CA799">
        <w:t xml:space="preserve">ile ‘the Enlightenment’ across its various geographical locations and spheres of intellectual activity has often been celebrated as having generated the ideas that underpin modern liberal democracy, it has increasingly </w:t>
      </w:r>
      <w:r w:rsidR="008662FA" w:rsidRPr="2F1CA799">
        <w:t xml:space="preserve">been </w:t>
      </w:r>
      <w:r w:rsidR="001C4759" w:rsidRPr="2F1CA799">
        <w:t>recognised that Enlightenment thinkers were also responsible for nurturing some of the most damaging ideas in human history.</w:t>
      </w:r>
      <w:r w:rsidR="001C4759" w:rsidRPr="2F1CA799">
        <w:rPr>
          <w:rStyle w:val="FootnoteReference"/>
        </w:rPr>
        <w:footnoteReference w:id="64"/>
      </w:r>
      <w:r w:rsidR="001C4759" w:rsidRPr="2F1CA799">
        <w:t xml:space="preserve"> As this </w:t>
      </w:r>
      <w:r w:rsidR="001C4759" w:rsidRPr="00D72A0F">
        <w:t xml:space="preserve">summary and Appendix </w:t>
      </w:r>
      <w:r w:rsidR="006D27D9" w:rsidRPr="00D72A0F">
        <w:t xml:space="preserve">2 </w:t>
      </w:r>
      <w:r w:rsidR="001C4759" w:rsidRPr="00D72A0F">
        <w:t>show, among</w:t>
      </w:r>
      <w:r w:rsidR="001C4759" w:rsidRPr="2F1CA799">
        <w:t xml:space="preserve"> the thinkers of the Scottish Enlightenment, ‘civilisation’ became systematised as a hierarchical progression through which all societies passed from ‘savage’ to ‘barbarous’ to </w:t>
      </w:r>
      <w:r w:rsidR="001C4759" w:rsidRPr="2F1CA799">
        <w:lastRenderedPageBreak/>
        <w:t>‘civilised’</w:t>
      </w:r>
      <w:r w:rsidR="001C4759" w:rsidRPr="002C21AB">
        <w:rPr>
          <w:rFonts w:ascii="Calibri" w:hAnsi="Calibri" w:cs="Calibri"/>
        </w:rPr>
        <w:t>.</w:t>
      </w:r>
      <w:r w:rsidR="001C4759" w:rsidRPr="002C21AB">
        <w:rPr>
          <w:rStyle w:val="FootnoteReference"/>
          <w:rFonts w:ascii="Calibri" w:hAnsi="Calibri" w:cs="Calibri"/>
        </w:rPr>
        <w:footnoteReference w:id="65"/>
      </w:r>
      <w:r w:rsidR="002C21AB" w:rsidRPr="002C21AB">
        <w:rPr>
          <w:rFonts w:ascii="Calibri" w:hAnsi="Calibri" w:cs="Calibri"/>
        </w:rPr>
        <w:t xml:space="preserve"> Europeans invariably placed themselves at the pinnacle of civili</w:t>
      </w:r>
      <w:r w:rsidR="00530839">
        <w:rPr>
          <w:rFonts w:ascii="Calibri" w:hAnsi="Calibri" w:cs="Calibri"/>
        </w:rPr>
        <w:t>s</w:t>
      </w:r>
      <w:r w:rsidR="002C21AB" w:rsidRPr="002C21AB">
        <w:rPr>
          <w:rFonts w:ascii="Calibri" w:hAnsi="Calibri" w:cs="Calibri"/>
        </w:rPr>
        <w:t>ation,</w:t>
      </w:r>
      <w:r w:rsidR="00D21E95">
        <w:rPr>
          <w:rFonts w:ascii="Calibri" w:hAnsi="Calibri" w:cs="Calibri"/>
        </w:rPr>
        <w:t xml:space="preserve"> viewing themselves as</w:t>
      </w:r>
      <w:r w:rsidR="002C21AB" w:rsidRPr="002C21AB">
        <w:rPr>
          <w:rFonts w:ascii="Calibri" w:hAnsi="Calibri" w:cs="Calibri"/>
        </w:rPr>
        <w:t xml:space="preserve"> the standard according to which the various cultures and societies around the world should be measured. It was within related Enlightenment currents of thought that the idea of ‘</w:t>
      </w:r>
      <w:r w:rsidR="00D21E95">
        <w:rPr>
          <w:rFonts w:ascii="Calibri" w:hAnsi="Calibri" w:cs="Calibri"/>
        </w:rPr>
        <w:t>r</w:t>
      </w:r>
      <w:r w:rsidR="002C21AB" w:rsidRPr="002C21AB">
        <w:rPr>
          <w:rFonts w:ascii="Calibri" w:hAnsi="Calibri" w:cs="Calibri"/>
        </w:rPr>
        <w:t>ace’ emerged in its modern form in which the physical features of individuals and populations became linked to their supposed intellectual aptitude and moral characters, all of which were tied to their genealogy. Races were arranged along the civili</w:t>
      </w:r>
      <w:r w:rsidR="00D21E95">
        <w:rPr>
          <w:rFonts w:ascii="Calibri" w:hAnsi="Calibri" w:cs="Calibri"/>
        </w:rPr>
        <w:t>s</w:t>
      </w:r>
      <w:r w:rsidR="002C21AB" w:rsidRPr="002C21AB">
        <w:rPr>
          <w:rFonts w:ascii="Calibri" w:hAnsi="Calibri" w:cs="Calibri"/>
        </w:rPr>
        <w:t xml:space="preserve">ational </w:t>
      </w:r>
      <w:r w:rsidR="00414B9A" w:rsidRPr="002C21AB">
        <w:rPr>
          <w:rFonts w:ascii="Calibri" w:hAnsi="Calibri" w:cs="Calibri"/>
        </w:rPr>
        <w:t>ladder,</w:t>
      </w:r>
      <w:r w:rsidR="002C21AB" w:rsidRPr="002C21AB">
        <w:rPr>
          <w:rFonts w:ascii="Calibri" w:hAnsi="Calibri" w:cs="Calibri"/>
        </w:rPr>
        <w:t xml:space="preserve"> and it was hypothesised by some European thinkers that some races might be incapable of ascending further than the ‘savage’ or ‘barbarous’ stage; in other words, they were seen as naturally inferior to </w:t>
      </w:r>
      <w:r w:rsidR="000F287D">
        <w:rPr>
          <w:rFonts w:ascii="Calibri" w:hAnsi="Calibri" w:cs="Calibri"/>
        </w:rPr>
        <w:t>‘</w:t>
      </w:r>
      <w:r w:rsidR="002C21AB" w:rsidRPr="002C21AB">
        <w:rPr>
          <w:rFonts w:ascii="Calibri" w:hAnsi="Calibri" w:cs="Calibri"/>
        </w:rPr>
        <w:t>civili</w:t>
      </w:r>
      <w:r w:rsidR="000F287D">
        <w:rPr>
          <w:rFonts w:ascii="Calibri" w:hAnsi="Calibri" w:cs="Calibri"/>
        </w:rPr>
        <w:t>s</w:t>
      </w:r>
      <w:r w:rsidR="002C21AB" w:rsidRPr="002C21AB">
        <w:rPr>
          <w:rFonts w:ascii="Calibri" w:hAnsi="Calibri" w:cs="Calibri"/>
        </w:rPr>
        <w:t>ed</w:t>
      </w:r>
      <w:r w:rsidR="000F287D">
        <w:rPr>
          <w:rFonts w:ascii="Calibri" w:hAnsi="Calibri" w:cs="Calibri"/>
        </w:rPr>
        <w:t>’</w:t>
      </w:r>
      <w:r w:rsidR="002C21AB" w:rsidRPr="002C21AB">
        <w:rPr>
          <w:rFonts w:ascii="Calibri" w:hAnsi="Calibri" w:cs="Calibri"/>
        </w:rPr>
        <w:t xml:space="preserve"> Europeans. </w:t>
      </w:r>
      <w:r w:rsidR="000F287D">
        <w:rPr>
          <w:rFonts w:ascii="Calibri" w:hAnsi="Calibri" w:cs="Calibri"/>
        </w:rPr>
        <w:t>As this research shows, civilisational</w:t>
      </w:r>
      <w:r w:rsidR="002C21AB" w:rsidRPr="002C21AB">
        <w:rPr>
          <w:rFonts w:ascii="Calibri" w:hAnsi="Calibri" w:cs="Calibri"/>
        </w:rPr>
        <w:t xml:space="preserve"> hierarchies and racial theories provided powerful intellectual justifications for </w:t>
      </w:r>
      <w:r w:rsidR="000F287D">
        <w:rPr>
          <w:rFonts w:ascii="Calibri" w:hAnsi="Calibri" w:cs="Calibri"/>
        </w:rPr>
        <w:t xml:space="preserve">enslavement and </w:t>
      </w:r>
      <w:r w:rsidR="008F6D9B">
        <w:rPr>
          <w:rFonts w:ascii="Calibri" w:hAnsi="Calibri" w:cs="Calibri"/>
        </w:rPr>
        <w:t>colonialism and</w:t>
      </w:r>
      <w:r w:rsidR="002C21AB" w:rsidRPr="002C21AB">
        <w:rPr>
          <w:rFonts w:ascii="Calibri" w:hAnsi="Calibri" w:cs="Calibri"/>
        </w:rPr>
        <w:t xml:space="preserve"> would underpin the rapid expansion of European empire around the world in the </w:t>
      </w:r>
      <w:r w:rsidR="00A26641">
        <w:rPr>
          <w:rFonts w:ascii="Calibri" w:hAnsi="Calibri" w:cs="Calibri"/>
        </w:rPr>
        <w:t>19</w:t>
      </w:r>
      <w:r w:rsidR="00A26641" w:rsidRPr="002C21AB">
        <w:rPr>
          <w:rFonts w:ascii="Calibri" w:hAnsi="Calibri" w:cs="Calibri"/>
        </w:rPr>
        <w:t xml:space="preserve">th </w:t>
      </w:r>
      <w:r w:rsidR="002C21AB" w:rsidRPr="002C21AB">
        <w:rPr>
          <w:rFonts w:ascii="Calibri" w:hAnsi="Calibri" w:cs="Calibri"/>
        </w:rPr>
        <w:t>century.</w:t>
      </w:r>
      <w:r w:rsidR="002C21AB" w:rsidRPr="002C21AB">
        <w:rPr>
          <w:rStyle w:val="FootnoteReference"/>
          <w:rFonts w:ascii="Calibri" w:hAnsi="Calibri" w:cs="Calibri"/>
        </w:rPr>
        <w:footnoteReference w:id="66"/>
      </w:r>
      <w:r w:rsidR="002C21AB" w:rsidRPr="002C21AB">
        <w:rPr>
          <w:rFonts w:ascii="Calibri" w:hAnsi="Calibri" w:cs="Calibri"/>
        </w:rPr>
        <w:t xml:space="preserve"> </w:t>
      </w:r>
    </w:p>
    <w:p w14:paraId="036FC669" w14:textId="55F78639" w:rsidR="005614B6" w:rsidRPr="008F6D9B" w:rsidRDefault="008F6D9B" w:rsidP="00057638">
      <w:pPr>
        <w:spacing w:line="259" w:lineRule="auto"/>
        <w:rPr>
          <w:rFonts w:cstheme="minorHAnsi"/>
        </w:rPr>
      </w:pPr>
      <w:r>
        <w:rPr>
          <w:rFonts w:ascii="Calibri" w:hAnsi="Calibri" w:cs="Calibri"/>
        </w:rPr>
        <w:tab/>
      </w:r>
      <w:r w:rsidRPr="008F6D9B">
        <w:rPr>
          <w:rFonts w:cstheme="minorHAnsi"/>
          <w:color w:val="000000"/>
        </w:rPr>
        <w:t xml:space="preserve">This </w:t>
      </w:r>
      <w:r>
        <w:rPr>
          <w:rFonts w:cstheme="minorHAnsi"/>
          <w:color w:val="000000"/>
        </w:rPr>
        <w:t xml:space="preserve">summary and </w:t>
      </w:r>
      <w:r w:rsidRPr="00D72A0F">
        <w:rPr>
          <w:rFonts w:cstheme="minorHAnsi"/>
          <w:color w:val="000000"/>
        </w:rPr>
        <w:t>accompanying Appendix is based</w:t>
      </w:r>
      <w:r w:rsidRPr="008F6D9B">
        <w:rPr>
          <w:rFonts w:cstheme="minorHAnsi"/>
          <w:color w:val="000000"/>
        </w:rPr>
        <w:t xml:space="preserve"> on extensive primary and secondary research in various libraries and archives across the UK, making use of such primary material as professorial lecture notes, student lecture notes, student dissertations and letters. The main archival repositories include</w:t>
      </w:r>
      <w:r>
        <w:rPr>
          <w:rFonts w:cstheme="minorHAnsi"/>
          <w:color w:val="000000"/>
        </w:rPr>
        <w:t>d</w:t>
      </w:r>
      <w:r w:rsidRPr="008F6D9B">
        <w:rPr>
          <w:rFonts w:cstheme="minorHAnsi"/>
          <w:color w:val="000000"/>
        </w:rPr>
        <w:t xml:space="preserve"> the </w:t>
      </w:r>
      <w:r w:rsidR="00A27530">
        <w:rPr>
          <w:rFonts w:cstheme="minorHAnsi"/>
          <w:color w:val="000000"/>
        </w:rPr>
        <w:t>University of Edinburgh</w:t>
      </w:r>
      <w:r w:rsidRPr="008F6D9B">
        <w:rPr>
          <w:rFonts w:cstheme="minorHAnsi"/>
          <w:color w:val="000000"/>
        </w:rPr>
        <w:t xml:space="preserve"> Library, the British Library, the National Library of Scotland, the Royal College of Surgeons of Edinburgh, the Royal Medical Society of Edinburgh and the Wellcome Collection.</w:t>
      </w:r>
    </w:p>
    <w:p w14:paraId="68C37FD1" w14:textId="77777777" w:rsidR="000F287D" w:rsidRDefault="000F287D" w:rsidP="00057638">
      <w:pPr>
        <w:spacing w:line="259" w:lineRule="auto"/>
      </w:pPr>
    </w:p>
    <w:p w14:paraId="6C708F39" w14:textId="2591E323" w:rsidR="003977DB" w:rsidRPr="002306EC" w:rsidRDefault="003A05B8" w:rsidP="00C35702">
      <w:pPr>
        <w:pStyle w:val="Heading3"/>
      </w:pPr>
      <w:bookmarkStart w:id="37" w:name="_Toc190939410"/>
      <w:bookmarkStart w:id="38" w:name="_Toc202627093"/>
      <w:r w:rsidRPr="002306EC">
        <w:t>Key Research Findings</w:t>
      </w:r>
      <w:bookmarkEnd w:id="37"/>
      <w:bookmarkEnd w:id="38"/>
    </w:p>
    <w:p w14:paraId="442DA323" w14:textId="083154F9" w:rsidR="00773F7C" w:rsidRPr="0017357E" w:rsidRDefault="00773F7C" w:rsidP="00057638">
      <w:pPr>
        <w:spacing w:line="259" w:lineRule="auto"/>
      </w:pPr>
      <w:r w:rsidRPr="2F1CA799">
        <w:t>One of the most famous applications of the civili</w:t>
      </w:r>
      <w:r w:rsidR="00510204" w:rsidRPr="2F1CA799">
        <w:t>s</w:t>
      </w:r>
      <w:r w:rsidRPr="2F1CA799">
        <w:t xml:space="preserve">ational scheme was by the historian William Robertson, </w:t>
      </w:r>
      <w:r w:rsidR="00A26641">
        <w:t>P</w:t>
      </w:r>
      <w:r w:rsidRPr="2F1CA799">
        <w:t xml:space="preserve">rincipal of </w:t>
      </w:r>
      <w:r w:rsidR="00A27530">
        <w:t>University of Edinburgh</w:t>
      </w:r>
      <w:r w:rsidRPr="2F1CA799">
        <w:t xml:space="preserve"> between 1762 and 1793</w:t>
      </w:r>
      <w:r w:rsidR="00C51872">
        <w:t>.</w:t>
      </w:r>
      <w:r w:rsidR="00AE4AD4" w:rsidRPr="2F1CA799">
        <w:t xml:space="preserve"> </w:t>
      </w:r>
      <w:r w:rsidR="00C51872">
        <w:t>I</w:t>
      </w:r>
      <w:r w:rsidR="00AE4AD4" w:rsidRPr="2F1CA799">
        <w:t xml:space="preserve">n his </w:t>
      </w:r>
      <w:r w:rsidR="00AE4AD4" w:rsidRPr="4F20518F">
        <w:rPr>
          <w:i/>
          <w:iCs/>
        </w:rPr>
        <w:t>History of America</w:t>
      </w:r>
      <w:r w:rsidR="00AE4AD4" w:rsidRPr="2F1CA799">
        <w:t xml:space="preserve"> (1777),</w:t>
      </w:r>
      <w:r w:rsidRPr="2F1CA799">
        <w:t xml:space="preserve"> </w:t>
      </w:r>
      <w:r w:rsidR="00C51872">
        <w:t xml:space="preserve">Robertson </w:t>
      </w:r>
      <w:r w:rsidRPr="2F1CA799">
        <w:t>noted differences in the manners and cultures of different Native American peoples</w:t>
      </w:r>
      <w:r w:rsidR="00AE4AD4" w:rsidRPr="2F1CA799">
        <w:t>,</w:t>
      </w:r>
      <w:r w:rsidRPr="2F1CA799">
        <w:t xml:space="preserve"> but declared that</w:t>
      </w:r>
      <w:r w:rsidR="0021730E">
        <w:t>,</w:t>
      </w:r>
      <w:r w:rsidRPr="2F1CA799">
        <w:t xml:space="preserve"> by and large</w:t>
      </w:r>
      <w:r w:rsidR="0021730E">
        <w:t>,</w:t>
      </w:r>
      <w:r w:rsidRPr="2F1CA799">
        <w:t xml:space="preserve"> they were ‘so extremely rude that the denomination of </w:t>
      </w:r>
      <w:r w:rsidRPr="4F20518F">
        <w:rPr>
          <w:i/>
          <w:iCs/>
        </w:rPr>
        <w:t>savage</w:t>
      </w:r>
      <w:r w:rsidRPr="2F1CA799">
        <w:t xml:space="preserve"> may be applied to them all’.</w:t>
      </w:r>
      <w:r w:rsidRPr="2F1CA799">
        <w:rPr>
          <w:rStyle w:val="FootnoteReference"/>
        </w:rPr>
        <w:footnoteReference w:id="67"/>
      </w:r>
      <w:r w:rsidRPr="2F1CA799">
        <w:t xml:space="preserve"> </w:t>
      </w:r>
      <w:r w:rsidR="00040A5D" w:rsidRPr="2F1CA799">
        <w:t>This was also the period in which</w:t>
      </w:r>
      <w:r w:rsidRPr="2F1CA799">
        <w:t xml:space="preserve"> ‘</w:t>
      </w:r>
      <w:r w:rsidR="00510204" w:rsidRPr="2F1CA799">
        <w:t>r</w:t>
      </w:r>
      <w:r w:rsidRPr="2F1CA799">
        <w:t xml:space="preserve">ace’ emerged in its modern form </w:t>
      </w:r>
      <w:r w:rsidR="00F513FF">
        <w:rPr>
          <w:rFonts w:ascii="Calibri" w:hAnsi="Calibri" w:cs="Calibri"/>
        </w:rPr>
        <w:t>—</w:t>
      </w:r>
      <w:r w:rsidRPr="2F1CA799">
        <w:t xml:space="preserve"> i.e. one in which the physical features of individuals and populations became linked to their supposed intellectual aptitude and moral characters </w:t>
      </w:r>
      <w:r w:rsidR="00F513FF">
        <w:rPr>
          <w:rFonts w:ascii="Calibri" w:hAnsi="Calibri" w:cs="Calibri"/>
        </w:rPr>
        <w:t>—</w:t>
      </w:r>
      <w:r w:rsidRPr="2F1CA799">
        <w:t xml:space="preserve"> and races were ranged across the civili</w:t>
      </w:r>
      <w:r w:rsidR="00F513FF" w:rsidRPr="2F1CA799">
        <w:t>s</w:t>
      </w:r>
      <w:r w:rsidRPr="2F1CA799">
        <w:t xml:space="preserve">ational ladder. One of the clearest examples of this </w:t>
      </w:r>
      <w:r w:rsidR="00285277">
        <w:t>can be found in</w:t>
      </w:r>
      <w:r w:rsidRPr="2F1CA799">
        <w:t xml:space="preserve"> </w:t>
      </w:r>
      <w:r w:rsidR="00A27530">
        <w:t>University of Edinburgh</w:t>
      </w:r>
      <w:r w:rsidRPr="2F1CA799">
        <w:t xml:space="preserve"> alumnus David Hume’s ‘notorious footnote’ of 1753</w:t>
      </w:r>
      <w:r w:rsidR="00BB368E">
        <w:t>.</w:t>
      </w:r>
      <w:r w:rsidR="00AF3187" w:rsidRPr="2F1CA799">
        <w:rPr>
          <w:rStyle w:val="FootnoteReference"/>
        </w:rPr>
        <w:footnoteReference w:id="68"/>
      </w:r>
      <w:r w:rsidR="00BB368E">
        <w:t xml:space="preserve"> In this footnote, he</w:t>
      </w:r>
      <w:r w:rsidRPr="2F1CA799">
        <w:t xml:space="preserve"> condemned non-white races ‘to be naturally inferior to the whites’</w:t>
      </w:r>
      <w:r w:rsidR="00AF3187" w:rsidRPr="00AF3187">
        <w:t xml:space="preserve">, before </w:t>
      </w:r>
      <w:r w:rsidR="00AF3187" w:rsidRPr="008B591E">
        <w:t>revising the note</w:t>
      </w:r>
      <w:r w:rsidR="00AF3187">
        <w:t>,</w:t>
      </w:r>
      <w:r w:rsidR="00AF3187" w:rsidRPr="008B591E">
        <w:t xml:space="preserve"> just before his death</w:t>
      </w:r>
      <w:r w:rsidR="00AF3187">
        <w:t>,</w:t>
      </w:r>
      <w:r w:rsidR="00AF3187" w:rsidRPr="008B591E">
        <w:t xml:space="preserve"> to refer to ‘the Negroes’, rendering the comment explicitly anti-African.</w:t>
      </w:r>
      <w:r w:rsidR="00AF3187">
        <w:rPr>
          <w:rStyle w:val="FootnoteReference"/>
        </w:rPr>
        <w:footnoteReference w:id="69"/>
      </w:r>
      <w:r w:rsidR="00AF3187" w:rsidRPr="00561C7D">
        <w:t xml:space="preserve"> This</w:t>
      </w:r>
      <w:r w:rsidRPr="00561C7D">
        <w:t xml:space="preserve"> generated debate within Scotland</w:t>
      </w:r>
      <w:r w:rsidR="00285277" w:rsidRPr="00561C7D">
        <w:t>,</w:t>
      </w:r>
      <w:r w:rsidRPr="00561C7D">
        <w:t xml:space="preserve"> and especially at</w:t>
      </w:r>
      <w:r w:rsidR="007B3014" w:rsidRPr="00561C7D">
        <w:t xml:space="preserve"> the</w:t>
      </w:r>
      <w:r w:rsidRPr="00561C7D">
        <w:t xml:space="preserve"> </w:t>
      </w:r>
      <w:r w:rsidR="00A27530" w:rsidRPr="00561C7D">
        <w:t xml:space="preserve">University </w:t>
      </w:r>
      <w:r w:rsidR="00A27530">
        <w:t>of Edinburgh</w:t>
      </w:r>
      <w:r w:rsidR="00285277">
        <w:t>,</w:t>
      </w:r>
      <w:r w:rsidRPr="2F1CA799">
        <w:t xml:space="preserve"> through</w:t>
      </w:r>
      <w:r w:rsidR="00420164" w:rsidRPr="2F1CA799">
        <w:t>out</w:t>
      </w:r>
      <w:r w:rsidRPr="2F1CA799">
        <w:t xml:space="preserve"> the rest of the century.</w:t>
      </w:r>
      <w:r w:rsidR="00AF3187">
        <w:rPr>
          <w:rStyle w:val="FootnoteReference"/>
        </w:rPr>
        <w:footnoteReference w:id="70"/>
      </w:r>
      <w:r w:rsidRPr="2F1CA799">
        <w:t xml:space="preserve"> As Hume’s </w:t>
      </w:r>
      <w:r w:rsidRPr="2F1CA799">
        <w:lastRenderedPageBreak/>
        <w:t>example suggests, civili</w:t>
      </w:r>
      <w:r w:rsidR="007B3014" w:rsidRPr="2F1CA799">
        <w:t>s</w:t>
      </w:r>
      <w:r w:rsidRPr="2F1CA799">
        <w:t xml:space="preserve">ational hierarchies and racial theories provided powerful intellectual justifications for the systems of inequality that already existed, notably the </w:t>
      </w:r>
      <w:r w:rsidR="007B3014" w:rsidRPr="2F1CA799">
        <w:t>t</w:t>
      </w:r>
      <w:r w:rsidRPr="2F1CA799">
        <w:t xml:space="preserve">ransatlantic </w:t>
      </w:r>
      <w:r w:rsidR="007B3014" w:rsidRPr="2F1CA799">
        <w:t xml:space="preserve">trafficking and enslavement of African </w:t>
      </w:r>
      <w:r w:rsidR="00962314" w:rsidRPr="2F1CA799">
        <w:t>peoples</w:t>
      </w:r>
      <w:r w:rsidRPr="2F1CA799">
        <w:t>, and would underpin the rapid expansion of European empire</w:t>
      </w:r>
      <w:r w:rsidR="00962314" w:rsidRPr="2F1CA799">
        <w:t>s</w:t>
      </w:r>
      <w:r w:rsidRPr="2F1CA799">
        <w:t xml:space="preserve"> </w:t>
      </w:r>
      <w:r w:rsidR="00744248" w:rsidRPr="2F1CA799">
        <w:t>during</w:t>
      </w:r>
      <w:r w:rsidRPr="2F1CA799">
        <w:t xml:space="preserve"> the </w:t>
      </w:r>
      <w:r w:rsidR="00A26641">
        <w:t>19</w:t>
      </w:r>
      <w:r w:rsidR="00A26641" w:rsidRPr="2F1CA799">
        <w:t xml:space="preserve">th </w:t>
      </w:r>
      <w:r w:rsidRPr="2F1CA799">
        <w:t>century.</w:t>
      </w:r>
      <w:r w:rsidRPr="2F1CA799">
        <w:rPr>
          <w:rStyle w:val="FootnoteReference"/>
        </w:rPr>
        <w:footnoteReference w:id="71"/>
      </w:r>
      <w:r w:rsidRPr="2F1CA799">
        <w:t xml:space="preserve"> </w:t>
      </w:r>
      <w:r w:rsidR="00744248" w:rsidRPr="2F1CA799">
        <w:t>As this research strand shows, t</w:t>
      </w:r>
      <w:r w:rsidRPr="2F1CA799">
        <w:t xml:space="preserve">he </w:t>
      </w:r>
      <w:r w:rsidR="00A27530">
        <w:t>University of Edinburgh</w:t>
      </w:r>
      <w:r w:rsidRPr="2F1CA799">
        <w:t xml:space="preserve"> </w:t>
      </w:r>
      <w:r w:rsidR="00744248" w:rsidRPr="2F1CA799">
        <w:t>was</w:t>
      </w:r>
      <w:r w:rsidRPr="2F1CA799">
        <w:t xml:space="preserve"> conspicuous for the contributions that its professors, students and alumni made to these modes of thought and their proliferation.</w:t>
      </w:r>
    </w:p>
    <w:p w14:paraId="152E689B" w14:textId="5CEF12C6" w:rsidR="00773F7C" w:rsidRPr="0017357E" w:rsidRDefault="00773F7C" w:rsidP="00057638">
      <w:pPr>
        <w:spacing w:line="259" w:lineRule="auto"/>
        <w:ind w:firstLine="720"/>
      </w:pPr>
      <w:r w:rsidRPr="2F1CA799">
        <w:t xml:space="preserve">Racial theories were taught across the various </w:t>
      </w:r>
      <w:r w:rsidR="00744248" w:rsidRPr="2F1CA799">
        <w:t>colleges</w:t>
      </w:r>
      <w:r w:rsidRPr="2F1CA799">
        <w:t xml:space="preserve"> at the </w:t>
      </w:r>
      <w:r w:rsidR="00A27530">
        <w:t>University of Edinburgh</w:t>
      </w:r>
      <w:r w:rsidRPr="2F1CA799">
        <w:t xml:space="preserve"> from about the 1760s onwards. Adam Ferguson incorporated racial theory into his moral philosophy lectures as early as the 1760s, well before contemporary philosophers in Germany</w:t>
      </w:r>
      <w:r w:rsidR="00F51B89">
        <w:t>,</w:t>
      </w:r>
      <w:r w:rsidRPr="2F1CA799">
        <w:t xml:space="preserve"> such as Kant and Blumenbach</w:t>
      </w:r>
      <w:r w:rsidR="00F51B89">
        <w:t>,</w:t>
      </w:r>
      <w:r w:rsidRPr="2F1CA799">
        <w:t xml:space="preserve"> developed their own theories on the subject.</w:t>
      </w:r>
      <w:r w:rsidRPr="2F1CA799">
        <w:rPr>
          <w:rStyle w:val="FootnoteReference"/>
        </w:rPr>
        <w:footnoteReference w:id="72"/>
      </w:r>
      <w:r w:rsidRPr="2F1CA799">
        <w:t xml:space="preserve"> The theory of race that Ferguson began lecturing about in the 1760s, and continued to teach until his retirement in 1785, derived from the French philosophers Buffon and Montesquieu.</w:t>
      </w:r>
      <w:r w:rsidRPr="2F1CA799">
        <w:rPr>
          <w:rStyle w:val="FootnoteReference"/>
        </w:rPr>
        <w:footnoteReference w:id="73"/>
      </w:r>
      <w:r w:rsidRPr="2F1CA799">
        <w:t xml:space="preserve"> From Buffon, Ferguson took the notion that there were six different races </w:t>
      </w:r>
      <w:r w:rsidR="00CA12CD">
        <w:rPr>
          <w:rFonts w:ascii="Calibri" w:hAnsi="Calibri" w:cs="Calibri"/>
        </w:rPr>
        <w:t>—</w:t>
      </w:r>
      <w:r w:rsidRPr="2F1CA799">
        <w:t xml:space="preserve"> ‘European, Laplander, Tartar, Hindoo, Negro, American’ </w:t>
      </w:r>
      <w:r w:rsidR="00CA12CD">
        <w:rPr>
          <w:rFonts w:ascii="Calibri" w:hAnsi="Calibri" w:cs="Calibri"/>
        </w:rPr>
        <w:t>—</w:t>
      </w:r>
      <w:r w:rsidRPr="2F1CA799">
        <w:t xml:space="preserve"> and from Montesquieu he took the idea that it was ‘the air, and climates [that] change the complexions [of man].’</w:t>
      </w:r>
      <w:r w:rsidR="001F785E">
        <w:rPr>
          <w:rStyle w:val="FootnoteReference"/>
        </w:rPr>
        <w:footnoteReference w:id="74"/>
      </w:r>
      <w:r w:rsidRPr="2F1CA799">
        <w:t xml:space="preserve"> Although he therefore believed that all humans belonged to the same species </w:t>
      </w:r>
      <w:r w:rsidR="00CA12CD">
        <w:rPr>
          <w:rFonts w:ascii="Calibri" w:hAnsi="Calibri" w:cs="Calibri"/>
        </w:rPr>
        <w:t>—</w:t>
      </w:r>
      <w:r w:rsidRPr="2F1CA799">
        <w:t xml:space="preserve"> in contrast to other Scottish philosophers like David Hume or Lord Kames </w:t>
      </w:r>
      <w:r w:rsidR="00CA12CD">
        <w:rPr>
          <w:rFonts w:ascii="Calibri" w:hAnsi="Calibri" w:cs="Calibri"/>
        </w:rPr>
        <w:t>—</w:t>
      </w:r>
      <w:r w:rsidRPr="2F1CA799">
        <w:t xml:space="preserve"> Ferguson portrayed Europeans ‘as the standard to which we must refer in describing the other Races’</w:t>
      </w:r>
      <w:r w:rsidR="00A3673E">
        <w:t>.</w:t>
      </w:r>
      <w:r w:rsidRPr="2F1CA799">
        <w:rPr>
          <w:rStyle w:val="FootnoteReference"/>
        </w:rPr>
        <w:footnoteReference w:id="75"/>
      </w:r>
      <w:r w:rsidRPr="2F1CA799">
        <w:t xml:space="preserve"> </w:t>
      </w:r>
    </w:p>
    <w:p w14:paraId="202F8E11" w14:textId="6EBD8B4C" w:rsidR="00773F7C" w:rsidRPr="0017357E" w:rsidRDefault="00773F7C" w:rsidP="00057638">
      <w:pPr>
        <w:spacing w:line="259" w:lineRule="auto"/>
        <w:ind w:firstLine="720"/>
      </w:pPr>
      <w:r w:rsidRPr="2F1CA799">
        <w:t xml:space="preserve">Dugald Stewart continued to teach ‘race’ when he took over the Chair of Moral Philosophy from Ferguson. The </w:t>
      </w:r>
      <w:r w:rsidR="00A27530">
        <w:t>University of Edinburgh</w:t>
      </w:r>
      <w:r w:rsidRPr="2F1CA799">
        <w:t xml:space="preserve"> Library’s collections show that, in his lectures spanning the late 1770s to 1810, Stewart retained Ferguson’s six-fold racial division but greatly expanded this section of the lectures by adducing observations on different races gleaned from his wide reading. Stewart held to the same </w:t>
      </w:r>
      <w:r w:rsidR="007B7349" w:rsidRPr="2F1CA799">
        <w:t>monogen</w:t>
      </w:r>
      <w:r w:rsidRPr="2F1CA799">
        <w:t>ist position as Ferguson, and was outspoken in his condemnation of slavery as a moral abomination.</w:t>
      </w:r>
      <w:r w:rsidR="00030C40" w:rsidRPr="2F1CA799">
        <w:rPr>
          <w:rStyle w:val="FootnoteReference"/>
        </w:rPr>
        <w:footnoteReference w:id="76"/>
      </w:r>
      <w:r w:rsidRPr="2F1CA799">
        <w:t xml:space="preserve"> He repeatedly criticised David Hume’s ‘inhuman opinion that the negroes being inferior to the Whites ought to be Slaves’, as well as Thomas Jefferson’s opinion that Africans ‘are not capable of much Reflection &amp; their intellectual powers are very blunt</w:t>
      </w:r>
      <w:r w:rsidR="007B7349" w:rsidRPr="2F1CA799">
        <w:t xml:space="preserve"> [</w:t>
      </w:r>
      <w:r w:rsidRPr="2F1CA799">
        <w:t>…</w:t>
      </w:r>
      <w:r w:rsidR="007B7349" w:rsidRPr="2F1CA799">
        <w:t xml:space="preserve">] </w:t>
      </w:r>
      <w:r w:rsidRPr="2F1CA799">
        <w:t>much inferior [to us] in Judgement.’</w:t>
      </w:r>
      <w:r w:rsidRPr="2F1CA799">
        <w:rPr>
          <w:rStyle w:val="FootnoteReference"/>
        </w:rPr>
        <w:footnoteReference w:id="77"/>
      </w:r>
      <w:r w:rsidRPr="2F1CA799">
        <w:t xml:space="preserve"> However, it is vital to note that Stewart agreed with Hume and Jefferson that non-European races were indeed inferior, </w:t>
      </w:r>
      <w:r w:rsidR="4007A85D">
        <w:t xml:space="preserve">but thought that </w:t>
      </w:r>
      <w:r w:rsidRPr="2F1CA799">
        <w:t xml:space="preserve">they were not </w:t>
      </w:r>
      <w:r w:rsidRPr="3C6D1E23">
        <w:rPr>
          <w:i/>
          <w:iCs/>
        </w:rPr>
        <w:t>naturally so</w:t>
      </w:r>
      <w:r w:rsidRPr="2F1CA799">
        <w:t xml:space="preserve">, and could be improved over time with European tutelage. To take one example, Stewart asserted that, ‘The bodily constitution undergoes some change, in the progress of civil society. The bodily constitution of a savage hinders him from refined speculation; but in time the </w:t>
      </w:r>
      <w:r w:rsidRPr="2F1CA799">
        <w:lastRenderedPageBreak/>
        <w:t>Negroes may be as refin’d as we are’.</w:t>
      </w:r>
      <w:r w:rsidRPr="2F1CA799">
        <w:rPr>
          <w:rStyle w:val="FootnoteReference"/>
        </w:rPr>
        <w:footnoteReference w:id="78"/>
      </w:r>
      <w:r w:rsidRPr="2F1CA799">
        <w:t xml:space="preserve"> The crucial point here is that, in Stewart’s view, Africans were inferior to Europeans because they were less civilised, or ‘savage’, but that this could be altered with time and assistance. Elsewhere, Stewart referred to the </w:t>
      </w:r>
      <w:r w:rsidR="620C6AEB">
        <w:t>College of New Jersey (</w:t>
      </w:r>
      <w:r w:rsidRPr="2F1CA799">
        <w:t>Princeton</w:t>
      </w:r>
      <w:r w:rsidR="66481D47">
        <w:t>)</w:t>
      </w:r>
      <w:r w:rsidRPr="2F1CA799">
        <w:t xml:space="preserve"> philosopher</w:t>
      </w:r>
      <w:r w:rsidR="0068150B">
        <w:t>,</w:t>
      </w:r>
      <w:r w:rsidRPr="2F1CA799">
        <w:t xml:space="preserve"> Samuel Stanhope Smith</w:t>
      </w:r>
      <w:r w:rsidR="0068150B">
        <w:t>, and his</w:t>
      </w:r>
      <w:r w:rsidRPr="2F1CA799">
        <w:t xml:space="preserve"> idea that ‘field slaves’ in America retained their native customs and character longer, while ‘Domestic Slaves</w:t>
      </w:r>
      <w:r w:rsidR="007327CB" w:rsidRPr="2F1CA799">
        <w:t xml:space="preserve"> [</w:t>
      </w:r>
      <w:r w:rsidRPr="2F1CA799">
        <w:t>…</w:t>
      </w:r>
      <w:r w:rsidR="007327CB" w:rsidRPr="2F1CA799">
        <w:t xml:space="preserve">] </w:t>
      </w:r>
      <w:r w:rsidRPr="2F1CA799">
        <w:t>see more of polish[ed] life &amp; are better informed’ and therefore became civilised and even started to more closely resemble Europeans.</w:t>
      </w:r>
      <w:r w:rsidR="0071173F">
        <w:rPr>
          <w:rStyle w:val="FootnoteReference"/>
        </w:rPr>
        <w:footnoteReference w:id="79"/>
      </w:r>
      <w:r w:rsidRPr="2F1CA799">
        <w:t xml:space="preserve"> Essentially, Stewart would repeat some of the harshest verdicts of his contemporaries on non-European races, and especially Africans, by propagating their ideas about racial inferiority, while noting that they could eventually rise to the level of Europeans through ‘civilisation’. It is well-recognised that Dugald Stewart was the most popular lecturer in Edinburgh at the time</w:t>
      </w:r>
      <w:r w:rsidR="001E01AF">
        <w:t>.</w:t>
      </w:r>
      <w:r w:rsidRPr="2F1CA799">
        <w:t xml:space="preserve"> </w:t>
      </w:r>
      <w:r w:rsidR="001E01AF">
        <w:t>T</w:t>
      </w:r>
      <w:r w:rsidRPr="2F1CA799">
        <w:t xml:space="preserve">hrough his pedagogy, he exerted great, if somewhat indirect, influence on the intellectual landscape of early </w:t>
      </w:r>
      <w:r w:rsidR="00A26641">
        <w:t>19</w:t>
      </w:r>
      <w:r w:rsidR="00A26641" w:rsidRPr="2F1CA799">
        <w:t>th</w:t>
      </w:r>
      <w:r w:rsidRPr="2F1CA799">
        <w:t xml:space="preserve">-century Britain. Together he and Ferguson taught </w:t>
      </w:r>
      <w:r w:rsidR="00A26641">
        <w:t>more than</w:t>
      </w:r>
      <w:r w:rsidR="00A26641" w:rsidRPr="2F1CA799">
        <w:t xml:space="preserve"> </w:t>
      </w:r>
      <w:r w:rsidR="06DAA6C5">
        <w:t xml:space="preserve">four </w:t>
      </w:r>
      <w:r w:rsidRPr="2F1CA799">
        <w:t xml:space="preserve">decades’ worth of students </w:t>
      </w:r>
      <w:r w:rsidR="005D6BDC">
        <w:rPr>
          <w:rFonts w:ascii="Calibri" w:hAnsi="Calibri" w:cs="Calibri"/>
        </w:rPr>
        <w:t>—</w:t>
      </w:r>
      <w:r w:rsidRPr="2F1CA799">
        <w:t xml:space="preserve"> many of whom would go on</w:t>
      </w:r>
      <w:r w:rsidR="00697E97" w:rsidRPr="2F1CA799">
        <w:t xml:space="preserve"> to have</w:t>
      </w:r>
      <w:r w:rsidRPr="2F1CA799">
        <w:t xml:space="preserve"> elite careers in politics and imperial administration </w:t>
      </w:r>
      <w:r w:rsidR="005D6BDC">
        <w:rPr>
          <w:rFonts w:ascii="Calibri" w:hAnsi="Calibri" w:cs="Calibri"/>
        </w:rPr>
        <w:t>—</w:t>
      </w:r>
      <w:r w:rsidRPr="2F1CA799">
        <w:t xml:space="preserve"> that humanity was divided into a racial hierarchy, at the top of which sat white Europeans. </w:t>
      </w:r>
    </w:p>
    <w:p w14:paraId="431BD4C8" w14:textId="292D7EE9" w:rsidR="00773F7C" w:rsidRPr="0017357E" w:rsidRDefault="00773F7C" w:rsidP="00057638">
      <w:pPr>
        <w:spacing w:line="259" w:lineRule="auto"/>
        <w:ind w:firstLine="720"/>
        <w:rPr>
          <w:rFonts w:cstheme="minorHAnsi"/>
        </w:rPr>
      </w:pPr>
      <w:r w:rsidRPr="2F1CA799">
        <w:t xml:space="preserve">The professors of </w:t>
      </w:r>
      <w:r w:rsidR="00A26641">
        <w:t>n</w:t>
      </w:r>
      <w:r w:rsidR="00A26641" w:rsidRPr="2F1CA799">
        <w:t xml:space="preserve">atural </w:t>
      </w:r>
      <w:r w:rsidR="00A26641">
        <w:t>h</w:t>
      </w:r>
      <w:r w:rsidR="00A26641" w:rsidRPr="2F1CA799">
        <w:t xml:space="preserve">istory </w:t>
      </w:r>
      <w:r w:rsidRPr="2F1CA799">
        <w:t xml:space="preserve">and </w:t>
      </w:r>
      <w:r w:rsidR="00A26641">
        <w:t>m</w:t>
      </w:r>
      <w:r w:rsidR="00A26641" w:rsidRPr="2F1CA799">
        <w:t xml:space="preserve">edicine </w:t>
      </w:r>
      <w:r w:rsidRPr="2F1CA799">
        <w:t xml:space="preserve">also elaborated racial theories during this period. Rev. Dr. John Walker, Regius Professor of Natural History from 1779 until 1803, developed theories on differences between Europeans and Africans </w:t>
      </w:r>
      <w:r w:rsidR="00933E6E">
        <w:t>(</w:t>
      </w:r>
      <w:r w:rsidRPr="2F1CA799">
        <w:t>‘I know not of any two varieties in the human race more widely different than the fair-haired European and the Angola Negro’</w:t>
      </w:r>
      <w:r w:rsidR="00933E6E">
        <w:t>),</w:t>
      </w:r>
      <w:r w:rsidDel="00773F7C">
        <w:t xml:space="preserve"> </w:t>
      </w:r>
      <w:r w:rsidRPr="2F1CA799">
        <w:t>on the effects of race-mixing in colonial societies and on the differences between Celtic Highlanders and Saxon Lowlanders, among other things.</w:t>
      </w:r>
      <w:r w:rsidR="00E87313" w:rsidRPr="2F1CA799">
        <w:rPr>
          <w:rStyle w:val="FootnoteReference"/>
        </w:rPr>
        <w:footnoteReference w:id="80"/>
      </w:r>
      <w:r w:rsidRPr="2F1CA799">
        <w:t xml:space="preserve"> When he took over from Walker, the Professor of Natural History Robert Jameson gave a wide-ranging course on natural history, in which he drew a racial pyramid depicting the ‘Caucasan’ (European) race at the top, with the ‘Mongol’ and ‘Malay’ races forming an intermediate step and the ‘American’ and ‘Negro’ at the bottom level.</w:t>
      </w:r>
      <w:r w:rsidRPr="2F1CA799">
        <w:rPr>
          <w:rStyle w:val="FootnoteReference"/>
        </w:rPr>
        <w:footnoteReference w:id="81"/>
      </w:r>
      <w:r w:rsidRPr="2F1CA799">
        <w:t xml:space="preserve"> These distinctions</w:t>
      </w:r>
      <w:r w:rsidR="00766746">
        <w:t xml:space="preserve"> </w:t>
      </w:r>
      <w:r w:rsidR="001A0B7C">
        <w:t xml:space="preserve">were </w:t>
      </w:r>
      <w:r w:rsidR="00766746">
        <w:t xml:space="preserve">seen as being </w:t>
      </w:r>
      <w:r w:rsidRPr="2F1CA799">
        <w:t>directly related to intelligence: ‘The Differences existing between these various races are very great. For example</w:t>
      </w:r>
      <w:r w:rsidR="00A26641">
        <w:t>,</w:t>
      </w:r>
      <w:r w:rsidRPr="2F1CA799">
        <w:t xml:space="preserve"> the Brain is most developed in the Caucasan and in the Negro least of all.’</w:t>
      </w:r>
      <w:r w:rsidRPr="2F1CA799">
        <w:rPr>
          <w:rStyle w:val="FootnoteReference"/>
        </w:rPr>
        <w:footnoteReference w:id="82"/>
      </w:r>
      <w:r w:rsidRPr="2F1CA799">
        <w:t xml:space="preserve"> In a later set of lectures by Jameson, a student also noted explicit assumptions of white aesthetic superiority (bearing a resemblance to the theories of the Dutch Physician Petrus Camper): ‘At one extremity of the scale of Form is the Grecian, the most perfect. &amp; at the other extremity some of the Negro Race, the least perfect. Europeans are the strongest. Savages the weakest Race.’</w:t>
      </w:r>
      <w:r w:rsidRPr="2F1CA799">
        <w:rPr>
          <w:rStyle w:val="FootnoteReference"/>
        </w:rPr>
        <w:footnoteReference w:id="83"/>
      </w:r>
      <w:r w:rsidRPr="2F1CA799">
        <w:t xml:space="preserve"> Jameson therefore taught that race was directly correlated to intelligence and beauty. The Professors of Surgery, Alexander Monro Secundus and Alexander Munro Tertius also lectured on racial theories, illustrating their points with </w:t>
      </w:r>
      <w:r w:rsidR="00AE3997" w:rsidRPr="2F1CA799">
        <w:t xml:space="preserve">human </w:t>
      </w:r>
      <w:r w:rsidRPr="2F1CA799">
        <w:lastRenderedPageBreak/>
        <w:t>skulls. Like Jameson, Tertius later wrote that he had lectured ‘that the Negro skull, and consequently the brain, is smaller than that of the European, an opinion still held by different medical gentlemen who have resided in the West Indies, or our different settlements on the coast of Africa.’</w:t>
      </w:r>
      <w:r w:rsidRPr="2F1CA799">
        <w:rPr>
          <w:rStyle w:val="FootnoteReference"/>
        </w:rPr>
        <w:footnoteReference w:id="84"/>
      </w:r>
      <w:r w:rsidRPr="2F1CA799">
        <w:t xml:space="preserve"> Lecture notes from 1801</w:t>
      </w:r>
      <w:r w:rsidR="00AE3997">
        <w:rPr>
          <w:rFonts w:ascii="Calibri" w:hAnsi="Calibri" w:cs="Calibri"/>
        </w:rPr>
        <w:t>–</w:t>
      </w:r>
      <w:r w:rsidR="00AE3997" w:rsidRPr="2F1CA799">
        <w:t>0</w:t>
      </w:r>
      <w:r w:rsidRPr="2F1CA799">
        <w:t>2, show that they also lectured according to the facial angle established by Petrus Camper, in which the ‘gradation’ was supposed to accord with beauty and intelligence: ‘I set before you in the order of Gradation the skulls of different countries; European or Grecian, Asiatic; Negro.’</w:t>
      </w:r>
      <w:r w:rsidRPr="2F1CA799">
        <w:rPr>
          <w:rStyle w:val="FootnoteReference"/>
        </w:rPr>
        <w:footnoteReference w:id="85"/>
      </w:r>
      <w:r w:rsidRPr="2F1CA799">
        <w:t xml:space="preserve"> Walker, Jameson and the Monros also contributed to the University’s Natural History Museum, and Jameson wrote a set of instructions to travellers in which he encouraged them to collect skulls, especially from </w:t>
      </w:r>
      <w:r w:rsidR="00AE3997" w:rsidRPr="2F1CA799">
        <w:t>I</w:t>
      </w:r>
      <w:r w:rsidRPr="2F1CA799">
        <w:t>ndigenous peoples: ‘Of man, the skull is the most interesting part, as it varies in the different races of the human species, and is also frequently singularly altered by the practices of savage tribes</w:t>
      </w:r>
      <w:r w:rsidR="00AE3997" w:rsidRPr="2F1CA799">
        <w:t>.</w:t>
      </w:r>
      <w:r w:rsidRPr="2F1CA799">
        <w:t>’</w:t>
      </w:r>
      <w:r w:rsidRPr="2F1CA799">
        <w:rPr>
          <w:rStyle w:val="FootnoteReference"/>
        </w:rPr>
        <w:footnoteReference w:id="86"/>
      </w:r>
    </w:p>
    <w:p w14:paraId="75417BF9" w14:textId="588B2C72" w:rsidR="00E738CD" w:rsidRPr="0079239B" w:rsidRDefault="00773F7C" w:rsidP="0079239B">
      <w:pPr>
        <w:spacing w:line="259" w:lineRule="auto"/>
        <w:ind w:firstLine="720"/>
        <w:jc w:val="both"/>
      </w:pPr>
      <w:r w:rsidRPr="2F1CA799">
        <w:t xml:space="preserve">Students at the </w:t>
      </w:r>
      <w:r w:rsidR="00A27530">
        <w:t>University of Edinburgh</w:t>
      </w:r>
      <w:r w:rsidRPr="2F1CA799">
        <w:t xml:space="preserve"> during this period were intensely interested in ideas of race.</w:t>
      </w:r>
      <w:r w:rsidRPr="2F1CA799">
        <w:rPr>
          <w:rStyle w:val="FootnoteReference"/>
        </w:rPr>
        <w:footnoteReference w:id="87"/>
      </w:r>
      <w:r w:rsidRPr="2F1CA799">
        <w:t xml:space="preserve"> They hosted debates about the subject in various clubs and devised their own racial theories in essays and dissertations. The most famous of the student societies was the Royal Medical Society (RMS)</w:t>
      </w:r>
      <w:r w:rsidR="006B5BC5">
        <w:t xml:space="preserve">. Each year, </w:t>
      </w:r>
      <w:r w:rsidRPr="2F1CA799">
        <w:t>dissertations were read on the subject at least once, and often twice or more, over</w:t>
      </w:r>
      <w:r w:rsidDel="00773F7C">
        <w:t xml:space="preserve"> </w:t>
      </w:r>
      <w:r w:rsidRPr="2F1CA799">
        <w:t>this period. Intelligence was again a noticeable topic of consideration. In the academic year 1790</w:t>
      </w:r>
      <w:r w:rsidR="00E738CD">
        <w:rPr>
          <w:rFonts w:ascii="Calibri" w:hAnsi="Calibri" w:cs="Calibri"/>
        </w:rPr>
        <w:t>–</w:t>
      </w:r>
      <w:r w:rsidRPr="2F1CA799">
        <w:t xml:space="preserve">91, James Buchan wrote, </w:t>
      </w:r>
    </w:p>
    <w:p w14:paraId="58B11689" w14:textId="77777777" w:rsidR="00E738CD" w:rsidRDefault="00E738CD" w:rsidP="00E738CD">
      <w:pPr>
        <w:spacing w:line="259" w:lineRule="auto"/>
        <w:jc w:val="both"/>
        <w:rPr>
          <w:rFonts w:cstheme="minorHAnsi"/>
        </w:rPr>
      </w:pPr>
    </w:p>
    <w:p w14:paraId="218E2D79" w14:textId="77777777" w:rsidR="00872EF4" w:rsidRPr="00872EF4" w:rsidRDefault="00773F7C" w:rsidP="00872EF4">
      <w:pPr>
        <w:spacing w:line="259" w:lineRule="auto"/>
        <w:ind w:left="284" w:right="284"/>
        <w:jc w:val="both"/>
        <w:rPr>
          <w:rFonts w:cstheme="minorHAnsi"/>
          <w:sz w:val="22"/>
          <w:szCs w:val="22"/>
        </w:rPr>
      </w:pPr>
      <w:r w:rsidRPr="2F1CA799">
        <w:rPr>
          <w:sz w:val="22"/>
          <w:szCs w:val="22"/>
        </w:rPr>
        <w:t>who would not, at first, suppose the Negroe &amp; European to be of different species?</w:t>
      </w:r>
      <w:r w:rsidR="00E738CD" w:rsidRPr="2F1CA799">
        <w:rPr>
          <w:sz w:val="22"/>
          <w:szCs w:val="22"/>
        </w:rPr>
        <w:t xml:space="preserve"> [</w:t>
      </w:r>
      <w:r w:rsidRPr="2F1CA799">
        <w:rPr>
          <w:sz w:val="22"/>
          <w:szCs w:val="22"/>
        </w:rPr>
        <w:t>...</w:t>
      </w:r>
      <w:r w:rsidR="00E738CD" w:rsidRPr="2F1CA799">
        <w:rPr>
          <w:sz w:val="22"/>
          <w:szCs w:val="22"/>
        </w:rPr>
        <w:t xml:space="preserve">] </w:t>
      </w:r>
      <w:r w:rsidRPr="2F1CA799">
        <w:rPr>
          <w:sz w:val="22"/>
          <w:szCs w:val="22"/>
        </w:rPr>
        <w:t>An author of great acuteness has brought several arguments to prove that the blacks are naturally of an inferior capacity to white people. These are well founded on the supposition that there never appeared any individuals of great learning, or nations in a highly civilized state.</w:t>
      </w:r>
      <w:r w:rsidRPr="2F1CA799">
        <w:rPr>
          <w:rStyle w:val="FootnoteReference"/>
          <w:sz w:val="22"/>
          <w:szCs w:val="22"/>
        </w:rPr>
        <w:footnoteReference w:id="88"/>
      </w:r>
    </w:p>
    <w:p w14:paraId="6EB1A880" w14:textId="77777777" w:rsidR="00872EF4" w:rsidRDefault="00872EF4" w:rsidP="00E738CD">
      <w:pPr>
        <w:spacing w:line="259" w:lineRule="auto"/>
        <w:jc w:val="both"/>
        <w:rPr>
          <w:rFonts w:cstheme="minorHAnsi"/>
        </w:rPr>
      </w:pPr>
    </w:p>
    <w:p w14:paraId="3C343701" w14:textId="53FA8430" w:rsidR="00773F7C" w:rsidRPr="0017357E" w:rsidRDefault="00773F7C" w:rsidP="00057638">
      <w:pPr>
        <w:spacing w:line="259" w:lineRule="auto"/>
        <w:rPr>
          <w:rFonts w:cstheme="minorHAnsi"/>
        </w:rPr>
      </w:pPr>
      <w:r w:rsidRPr="2F1CA799">
        <w:t>Nicholas Pitta argued that dark skin colour was ‘corrected by a state of civilization’, and in the book he later published on the subject he argued that</w:t>
      </w:r>
      <w:r w:rsidR="00ED77D1" w:rsidRPr="2F1CA799">
        <w:t>,</w:t>
      </w:r>
      <w:r w:rsidRPr="2F1CA799">
        <w:t xml:space="preserve"> ‘The small progress of negroes in the study of the sciences and in civilization</w:t>
      </w:r>
      <w:r w:rsidR="00ED77D1" w:rsidRPr="2F1CA799">
        <w:t xml:space="preserve"> [</w:t>
      </w:r>
      <w:r w:rsidRPr="2F1CA799">
        <w:t>…</w:t>
      </w:r>
      <w:r w:rsidR="00ED77D1" w:rsidRPr="2F1CA799">
        <w:t xml:space="preserve">] </w:t>
      </w:r>
      <w:r w:rsidRPr="2F1CA799">
        <w:t>the form of their head, which is in a medium between the European and Orang-outang’ were among the ‘proofs of physical and mental inferiority’ but did not justify their enslavement.</w:t>
      </w:r>
      <w:r w:rsidRPr="2F1CA799">
        <w:rPr>
          <w:rStyle w:val="FootnoteReference"/>
        </w:rPr>
        <w:footnoteReference w:id="89"/>
      </w:r>
      <w:r w:rsidRPr="2F1CA799">
        <w:t xml:space="preserve"> Even those who defended the natural </w:t>
      </w:r>
      <w:r w:rsidRPr="2F1CA799">
        <w:lastRenderedPageBreak/>
        <w:t>equality of Africans, such as Richard Dyett (a</w:t>
      </w:r>
      <w:r w:rsidR="00ED77D1" w:rsidRPr="2F1CA799">
        <w:t>n enslaver</w:t>
      </w:r>
      <w:r w:rsidRPr="2F1CA799">
        <w:t xml:space="preserve"> on the island of Montserrat), wrote that</w:t>
      </w:r>
      <w:r w:rsidR="00ED77D1" w:rsidRPr="2F1CA799">
        <w:t>,</w:t>
      </w:r>
      <w:r w:rsidRPr="2F1CA799">
        <w:t xml:space="preserve"> ‘We well know that it is morally impossible, that Africa should be at present a civilized nation.’</w:t>
      </w:r>
      <w:r w:rsidRPr="2F1CA799">
        <w:rPr>
          <w:rStyle w:val="FootnoteReference"/>
        </w:rPr>
        <w:footnoteReference w:id="90"/>
      </w:r>
      <w:r w:rsidRPr="2F1CA799">
        <w:t xml:space="preserve"> In another group, the Royal Physical Society, the student Samuel Cramer argued that other races had degenerated from an ideal </w:t>
      </w:r>
      <w:r w:rsidR="00ED77D1" w:rsidRPr="2F1CA799">
        <w:t>w</w:t>
      </w:r>
      <w:r w:rsidRPr="2F1CA799">
        <w:t>hite type: ‘these changes which the African, the Asiatic, or the American undergo are but accidental deformities, which a kinder climate, better nourishment, or more civilized manners would in due course of time very probably remove.’</w:t>
      </w:r>
      <w:r w:rsidRPr="2F1CA799">
        <w:rPr>
          <w:rStyle w:val="FootnoteReference"/>
        </w:rPr>
        <w:footnoteReference w:id="91"/>
      </w:r>
      <w:r w:rsidRPr="2F1CA799">
        <w:t xml:space="preserve"> However, an American student named John Taylor, whose family owned a plantation with over 100 enslaved people in Virginia, argued that the differences between races were so great that they constituted separate species.</w:t>
      </w:r>
      <w:r w:rsidRPr="2F1CA799">
        <w:rPr>
          <w:rStyle w:val="FootnoteReference"/>
        </w:rPr>
        <w:footnoteReference w:id="92"/>
      </w:r>
      <w:r w:rsidRPr="2F1CA799">
        <w:t xml:space="preserve"> </w:t>
      </w:r>
    </w:p>
    <w:p w14:paraId="6185A8AE" w14:textId="516A7654" w:rsidR="00773F7C" w:rsidRPr="0017357E" w:rsidRDefault="00773F7C" w:rsidP="00057638">
      <w:pPr>
        <w:spacing w:line="259" w:lineRule="auto"/>
        <w:ind w:firstLine="720"/>
      </w:pPr>
      <w:r w:rsidRPr="2F1CA799">
        <w:t>The emphasis on civili</w:t>
      </w:r>
      <w:r w:rsidR="00ED77D1" w:rsidRPr="2F1CA799">
        <w:t>s</w:t>
      </w:r>
      <w:r w:rsidRPr="2F1CA799">
        <w:t xml:space="preserve">ation and its effects on supposedly inferior races underpinned justifications for British imperialism over the </w:t>
      </w:r>
      <w:r w:rsidR="00A26641">
        <w:t>19</w:t>
      </w:r>
      <w:r w:rsidR="00A26641" w:rsidRPr="2F1CA799">
        <w:t xml:space="preserve">th </w:t>
      </w:r>
      <w:r w:rsidRPr="2F1CA799">
        <w:t>century. A former student of Stewart’s, Francis Irvine, attempted to write the first political economy of India, averring that its lessons should be applied through British governance: ‘I have not the smallest doubt</w:t>
      </w:r>
      <w:r w:rsidR="00ED77D1" w:rsidRPr="2F1CA799">
        <w:t xml:space="preserve"> [</w:t>
      </w:r>
      <w:r w:rsidRPr="2F1CA799">
        <w:t>…</w:t>
      </w:r>
      <w:r w:rsidR="00ED77D1" w:rsidRPr="2F1CA799">
        <w:t xml:space="preserve">] </w:t>
      </w:r>
      <w:r w:rsidRPr="2F1CA799">
        <w:t>that any country whatsoever (even Negroland), may be civilized without colonization.’</w:t>
      </w:r>
      <w:r w:rsidRPr="2F1CA799">
        <w:rPr>
          <w:rStyle w:val="FootnoteReference"/>
        </w:rPr>
        <w:footnoteReference w:id="93"/>
      </w:r>
      <w:r w:rsidR="00073FD6">
        <w:t xml:space="preserve"> </w:t>
      </w:r>
      <w:r w:rsidRPr="2F1CA799">
        <w:t xml:space="preserve">Another </w:t>
      </w:r>
      <w:r w:rsidR="00A27530">
        <w:t>University of Edinburgh</w:t>
      </w:r>
      <w:r w:rsidRPr="2F1CA799">
        <w:t xml:space="preserve"> alumnus, who became the Resident (governor) of Singapore</w:t>
      </w:r>
      <w:r w:rsidR="00163CEC">
        <w:t>,</w:t>
      </w:r>
      <w:r w:rsidRPr="2F1CA799">
        <w:t xml:space="preserve"> wrote a history of the East Indian Archipelago, which divided it into two races akin to those drawn between Europe and Africa: </w:t>
      </w:r>
    </w:p>
    <w:p w14:paraId="5FA50A07" w14:textId="77777777" w:rsidR="00773F7C" w:rsidRPr="0017357E" w:rsidRDefault="00773F7C" w:rsidP="00057638">
      <w:pPr>
        <w:spacing w:line="259" w:lineRule="auto"/>
        <w:rPr>
          <w:rFonts w:cstheme="minorHAnsi"/>
        </w:rPr>
      </w:pPr>
    </w:p>
    <w:p w14:paraId="597EA12F" w14:textId="77777777" w:rsidR="00773F7C" w:rsidRPr="0017357E" w:rsidRDefault="00773F7C" w:rsidP="00057638">
      <w:pPr>
        <w:spacing w:line="259" w:lineRule="auto"/>
        <w:ind w:left="284" w:right="284"/>
        <w:rPr>
          <w:rFonts w:cstheme="minorHAnsi"/>
          <w:sz w:val="22"/>
          <w:szCs w:val="22"/>
        </w:rPr>
      </w:pPr>
      <w:r w:rsidRPr="2F1CA799">
        <w:rPr>
          <w:sz w:val="22"/>
          <w:szCs w:val="22"/>
        </w:rPr>
        <w:t xml:space="preserve">The </w:t>
      </w:r>
      <w:r w:rsidRPr="3C6D1E23">
        <w:rPr>
          <w:i/>
          <w:iCs/>
          <w:sz w:val="22"/>
          <w:szCs w:val="22"/>
        </w:rPr>
        <w:t xml:space="preserve">brown </w:t>
      </w:r>
      <w:r w:rsidRPr="2F1CA799">
        <w:rPr>
          <w:sz w:val="22"/>
          <w:szCs w:val="22"/>
        </w:rPr>
        <w:t xml:space="preserve">and </w:t>
      </w:r>
      <w:r w:rsidRPr="3C6D1E23">
        <w:rPr>
          <w:i/>
          <w:iCs/>
          <w:sz w:val="22"/>
          <w:szCs w:val="22"/>
        </w:rPr>
        <w:t>negro</w:t>
      </w:r>
      <w:r w:rsidRPr="2F1CA799">
        <w:rPr>
          <w:sz w:val="22"/>
          <w:szCs w:val="22"/>
        </w:rPr>
        <w:t xml:space="preserve"> races of the Archipelago may be considered to present, in their physical and moral character a complete parallel with the white and negro races of the western world. The first have always displayed as eminent a relative superiority over the second as the race of white men have done over the negroes of the west. All the indigenous civilization of the Archipelago has sprung from them, and the negro race is constantly found in the most savage state.</w:t>
      </w:r>
      <w:r w:rsidRPr="2F1CA799">
        <w:rPr>
          <w:rStyle w:val="FootnoteReference"/>
          <w:sz w:val="22"/>
          <w:szCs w:val="22"/>
        </w:rPr>
        <w:footnoteReference w:id="94"/>
      </w:r>
    </w:p>
    <w:p w14:paraId="69FA5E77" w14:textId="77777777" w:rsidR="00773F7C" w:rsidRPr="0017357E" w:rsidRDefault="00773F7C" w:rsidP="00057638">
      <w:pPr>
        <w:spacing w:line="259" w:lineRule="auto"/>
        <w:rPr>
          <w:rFonts w:cstheme="minorHAnsi"/>
        </w:rPr>
      </w:pPr>
    </w:p>
    <w:p w14:paraId="6A818CAA" w14:textId="6FCB78F2" w:rsidR="00773F7C" w:rsidRPr="0017357E" w:rsidRDefault="00773F7C" w:rsidP="00057638">
      <w:pPr>
        <w:spacing w:line="259" w:lineRule="auto"/>
        <w:rPr>
          <w:rFonts w:cstheme="minorHAnsi"/>
        </w:rPr>
      </w:pPr>
      <w:r w:rsidRPr="2F1CA799">
        <w:t xml:space="preserve">Perhaps the most famous advocate of the civilising mission in India was James Mill, a </w:t>
      </w:r>
      <w:r w:rsidR="00A27530">
        <w:t>University of Edinburgh</w:t>
      </w:r>
      <w:r w:rsidRPr="2F1CA799">
        <w:t xml:space="preserve"> alumnus who had taken Stewart’s lectures. He wrote that the ‘Hindu character’ was nowhere ‘far removed from that of the savage state’, and that British government should root out what he considered this ‘superstitious’ system and civilise the country.</w:t>
      </w:r>
      <w:r w:rsidRPr="2F1CA799">
        <w:rPr>
          <w:rStyle w:val="FootnoteReference"/>
        </w:rPr>
        <w:footnoteReference w:id="95"/>
      </w:r>
      <w:r w:rsidRPr="2F1CA799">
        <w:t xml:space="preserve"> In an early essay arguing for British colonisation and civili</w:t>
      </w:r>
      <w:r w:rsidR="00DA27E0" w:rsidRPr="2F1CA799">
        <w:t>s</w:t>
      </w:r>
      <w:r w:rsidRPr="2F1CA799">
        <w:t>ation of India, Mill suggested that the alternative was the rise of a mixed-race class that would be of far more doubtful promise, than [coloni</w:t>
      </w:r>
      <w:r w:rsidR="00DA27E0" w:rsidRPr="2F1CA799">
        <w:t>s</w:t>
      </w:r>
      <w:r w:rsidRPr="2F1CA799">
        <w:t>ation] by natives from Europe.’</w:t>
      </w:r>
      <w:r w:rsidRPr="2F1CA799">
        <w:rPr>
          <w:rStyle w:val="FootnoteReference"/>
        </w:rPr>
        <w:footnoteReference w:id="96"/>
      </w:r>
    </w:p>
    <w:p w14:paraId="284240CE" w14:textId="7A5F53BD" w:rsidR="00140A14" w:rsidRDefault="00A27530" w:rsidP="00057638">
      <w:pPr>
        <w:spacing w:line="259" w:lineRule="auto"/>
        <w:ind w:firstLine="720"/>
      </w:pPr>
      <w:r>
        <w:t>University of Edinburgh</w:t>
      </w:r>
      <w:r w:rsidR="00773F7C" w:rsidRPr="2F1CA799">
        <w:t xml:space="preserve"> alumni of this period went on to found some of the ‘sciences of race’, built on the supposition of racial and civili</w:t>
      </w:r>
      <w:r w:rsidR="002B0D18" w:rsidRPr="2F1CA799">
        <w:t>s</w:t>
      </w:r>
      <w:r w:rsidR="00773F7C" w:rsidRPr="2F1CA799">
        <w:t>ational inequality. The founder of ‘ethnology’ in Britain, James Cowles Prichard, studied at</w:t>
      </w:r>
      <w:r w:rsidR="00B644E8">
        <w:t xml:space="preserve"> the</w:t>
      </w:r>
      <w:r w:rsidR="00773F7C" w:rsidRPr="2F1CA799">
        <w:t xml:space="preserve"> </w:t>
      </w:r>
      <w:r>
        <w:t>University</w:t>
      </w:r>
      <w:r w:rsidR="00773F7C" w:rsidDel="00773F7C">
        <w:t xml:space="preserve"> </w:t>
      </w:r>
      <w:r w:rsidR="00773F7C" w:rsidRPr="2F1CA799">
        <w:t xml:space="preserve">between 1805 and 1808 and was stimulated to take up the subject by Dugald Stewart’s lectures. He wrote in </w:t>
      </w:r>
      <w:r w:rsidR="00773F7C" w:rsidRPr="2F1CA799">
        <w:lastRenderedPageBreak/>
        <w:t xml:space="preserve">the first edition of his </w:t>
      </w:r>
      <w:r w:rsidR="00773F7C" w:rsidRPr="3C6D1E23">
        <w:rPr>
          <w:i/>
          <w:iCs/>
        </w:rPr>
        <w:t>Physical Researches into the History of Man</w:t>
      </w:r>
      <w:r w:rsidR="00773F7C" w:rsidRPr="2F1CA799">
        <w:t xml:space="preserve"> (1813) that </w:t>
      </w:r>
      <w:r w:rsidR="00773F7C" w:rsidRPr="2F1CA799">
        <w:rPr>
          <w:rFonts w:eastAsia="Times New Roman"/>
        </w:rPr>
        <w:t>‘the process of Nature in the human species is the transmutation of the characters of the Negro into that of the European, or the evolution of white varieties in black races of men’</w:t>
      </w:r>
      <w:r w:rsidR="002B0D18" w:rsidRPr="2F1CA799">
        <w:rPr>
          <w:rFonts w:eastAsia="Times New Roman"/>
        </w:rPr>
        <w:t>; meaning that he thought</w:t>
      </w:r>
      <w:r w:rsidR="00773F7C" w:rsidRPr="2F1CA799">
        <w:rPr>
          <w:rFonts w:eastAsia="Times New Roman"/>
        </w:rPr>
        <w:t xml:space="preserve"> that dark-skinned peoples would turn white as they became more civilised.</w:t>
      </w:r>
      <w:r w:rsidR="002B0D18" w:rsidRPr="2F1CA799">
        <w:rPr>
          <w:rStyle w:val="FootnoteReference"/>
          <w:rFonts w:eastAsia="Times New Roman"/>
        </w:rPr>
        <w:footnoteReference w:id="97"/>
      </w:r>
      <w:r w:rsidR="00773F7C" w:rsidRPr="2F1CA799">
        <w:rPr>
          <w:rFonts w:eastAsia="Times New Roman"/>
        </w:rPr>
        <w:t xml:space="preserve"> Samuel George Morton, a student of Jameson and an admirer of Prichard, founded the American </w:t>
      </w:r>
      <w:r w:rsidR="6F8E8526" w:rsidRPr="3C6D1E23">
        <w:rPr>
          <w:rFonts w:eastAsia="Times New Roman"/>
        </w:rPr>
        <w:t>s</w:t>
      </w:r>
      <w:r w:rsidR="00773F7C" w:rsidRPr="2F1CA799">
        <w:rPr>
          <w:rFonts w:eastAsia="Times New Roman"/>
        </w:rPr>
        <w:t xml:space="preserve">chool of </w:t>
      </w:r>
      <w:r w:rsidR="2C7BDDCB" w:rsidRPr="3C6D1E23">
        <w:rPr>
          <w:rFonts w:eastAsia="Times New Roman"/>
        </w:rPr>
        <w:t>c</w:t>
      </w:r>
      <w:r w:rsidR="00773F7C" w:rsidRPr="2F1CA799">
        <w:rPr>
          <w:rFonts w:eastAsia="Times New Roman"/>
        </w:rPr>
        <w:t xml:space="preserve">raniology, in which he measured </w:t>
      </w:r>
      <w:r w:rsidR="00773F7C" w:rsidRPr="2F1CA799">
        <w:t xml:space="preserve">the capacity of his massive collection of crania and </w:t>
      </w:r>
      <w:r w:rsidR="0026661B">
        <w:t>claimed</w:t>
      </w:r>
      <w:r w:rsidR="00773F7C" w:rsidRPr="2F1CA799">
        <w:t xml:space="preserve"> that ‘Caucasians’ had the largest skulls. The Caucasian race</w:t>
      </w:r>
      <w:r w:rsidR="002B0D18" w:rsidRPr="2F1CA799">
        <w:t xml:space="preserve"> was</w:t>
      </w:r>
      <w:r w:rsidR="00773F7C" w:rsidRPr="2F1CA799">
        <w:t xml:space="preserve"> therefore</w:t>
      </w:r>
      <w:r w:rsidR="002B0D18" w:rsidRPr="2F1CA799">
        <w:t xml:space="preserve"> deemed to be</w:t>
      </w:r>
      <w:r w:rsidR="00773F7C" w:rsidRPr="2F1CA799">
        <w:t xml:space="preserve"> ‘distinguished for the facility with which it attains the highest intellectual endowments’, while the ‘Ethiopian’ (Black African) race ‘present a singular diversity of intellectual character, of which the far extreme is the lowest grade of humanity.’</w:t>
      </w:r>
      <w:r w:rsidR="00773F7C" w:rsidRPr="2F1CA799">
        <w:rPr>
          <w:rStyle w:val="FootnoteReference"/>
        </w:rPr>
        <w:footnoteReference w:id="98"/>
      </w:r>
      <w:r w:rsidR="00773F7C" w:rsidRPr="2F1CA799">
        <w:t xml:space="preserve"> In his magnum opus, Morton included a letter by the leader of the phrenological movement (and </w:t>
      </w:r>
      <w:r>
        <w:t>University of Edinburgh</w:t>
      </w:r>
      <w:r w:rsidR="00773F7C" w:rsidRPr="2F1CA799">
        <w:t xml:space="preserve"> alumnus), George Combe, on the principles of phrenology, and agreed about ‘the [lower] mental character of the Indian, and his cranial developments as explained by Phrenology’.</w:t>
      </w:r>
      <w:r w:rsidR="00773F7C" w:rsidRPr="2F1CA799">
        <w:rPr>
          <w:rStyle w:val="FootnoteReference"/>
        </w:rPr>
        <w:footnoteReference w:id="99"/>
      </w:r>
      <w:r w:rsidR="00773F7C" w:rsidRPr="2F1CA799">
        <w:t xml:space="preserve"> Some </w:t>
      </w:r>
      <w:r>
        <w:t>University of Edinburgh</w:t>
      </w:r>
      <w:r w:rsidR="00773F7C" w:rsidRPr="2F1CA799">
        <w:t xml:space="preserve"> professors supported the movement, such as Robert Verity, who thought it could be combined with physiology, and investigated</w:t>
      </w:r>
      <w:r w:rsidR="0017294A" w:rsidRPr="2F1CA799">
        <w:t xml:space="preserve"> the </w:t>
      </w:r>
      <w:r w:rsidR="0017294A" w:rsidRPr="2F1CA799">
        <w:rPr>
          <w:color w:val="000000"/>
        </w:rPr>
        <w:t xml:space="preserve">proportion of white to grey matter </w:t>
      </w:r>
      <w:r w:rsidR="00773F7C" w:rsidRPr="2F1CA799">
        <w:t>‘throughout the different regions of the brain, in the savage, in the negro, and other inferior varieties of the race’.</w:t>
      </w:r>
      <w:r w:rsidR="00773F7C" w:rsidRPr="2F1CA799">
        <w:rPr>
          <w:rStyle w:val="FootnoteReference"/>
        </w:rPr>
        <w:footnoteReference w:id="100"/>
      </w:r>
      <w:r w:rsidR="00773F7C" w:rsidRPr="2F1CA799">
        <w:t xml:space="preserve"> </w:t>
      </w:r>
    </w:p>
    <w:p w14:paraId="00E127A5" w14:textId="7C4A4B81" w:rsidR="00140A14" w:rsidRDefault="00773F7C" w:rsidP="00057638">
      <w:pPr>
        <w:spacing w:line="259" w:lineRule="auto"/>
        <w:ind w:firstLine="720"/>
        <w:rPr>
          <w:rFonts w:cstheme="minorHAnsi"/>
        </w:rPr>
      </w:pPr>
      <w:r w:rsidRPr="0017357E">
        <w:rPr>
          <w:rFonts w:cstheme="minorHAnsi"/>
        </w:rPr>
        <w:t xml:space="preserve">The </w:t>
      </w:r>
      <w:r w:rsidR="00A27530">
        <w:rPr>
          <w:rFonts w:cstheme="minorHAnsi"/>
        </w:rPr>
        <w:t>University of Edinburgh</w:t>
      </w:r>
      <w:r w:rsidRPr="0017357E">
        <w:rPr>
          <w:rFonts w:cstheme="minorHAnsi"/>
        </w:rPr>
        <w:t xml:space="preserve"> also benefitted financially from its relationship to phrenology. For example, the Combe Trust </w:t>
      </w:r>
      <w:r w:rsidR="00140A14">
        <w:rPr>
          <w:rFonts w:ascii="Calibri" w:hAnsi="Calibri" w:cs="Calibri"/>
        </w:rPr>
        <w:t>—</w:t>
      </w:r>
      <w:r w:rsidRPr="0017357E">
        <w:rPr>
          <w:rFonts w:cstheme="minorHAnsi"/>
        </w:rPr>
        <w:t xml:space="preserve"> set up </w:t>
      </w:r>
      <w:r w:rsidR="00140A14">
        <w:rPr>
          <w:rFonts w:cstheme="minorHAnsi"/>
        </w:rPr>
        <w:t>by</w:t>
      </w:r>
      <w:r w:rsidRPr="0017357E">
        <w:rPr>
          <w:rFonts w:cstheme="minorHAnsi"/>
        </w:rPr>
        <w:t xml:space="preserve"> the George Combe</w:t>
      </w:r>
      <w:r w:rsidR="00140A14">
        <w:rPr>
          <w:rFonts w:cstheme="minorHAnsi"/>
        </w:rPr>
        <w:t xml:space="preserve"> estate</w:t>
      </w:r>
      <w:r w:rsidRPr="0017357E">
        <w:rPr>
          <w:rFonts w:cstheme="minorHAnsi"/>
        </w:rPr>
        <w:t xml:space="preserve">, and therefore the money he made from his books and lecture tours promoting phrenology </w:t>
      </w:r>
      <w:r w:rsidR="00140A14">
        <w:rPr>
          <w:rFonts w:ascii="Calibri" w:hAnsi="Calibri" w:cs="Calibri"/>
        </w:rPr>
        <w:t>—</w:t>
      </w:r>
      <w:r w:rsidRPr="0017357E">
        <w:rPr>
          <w:rFonts w:cstheme="minorHAnsi"/>
        </w:rPr>
        <w:t xml:space="preserve"> endowed the first Professorship in Psychology in 1906, which was known as the Combe Professorship. The Combe Trust continues to fund a Combe Trust fellowship in the</w:t>
      </w:r>
      <w:r w:rsidR="001531CC">
        <w:rPr>
          <w:rFonts w:cstheme="minorHAnsi"/>
        </w:rPr>
        <w:t xml:space="preserve"> University’s</w:t>
      </w:r>
      <w:r w:rsidRPr="0017357E">
        <w:rPr>
          <w:rFonts w:cstheme="minorHAnsi"/>
        </w:rPr>
        <w:t xml:space="preserve"> Institute for Advanced Studies in the Humanities. The most notorious racial theorist associated with </w:t>
      </w:r>
      <w:r w:rsidR="00A27530">
        <w:rPr>
          <w:rFonts w:cstheme="minorHAnsi"/>
        </w:rPr>
        <w:t>University of Edinburgh</w:t>
      </w:r>
      <w:r w:rsidRPr="0017357E">
        <w:rPr>
          <w:rFonts w:cstheme="minorHAnsi"/>
        </w:rPr>
        <w:t xml:space="preserve">, Robert Knox, inspired the foundation of what became anthropology in Britain and argued that the differences between Africans and Europeans would lead to a global race war: </w:t>
      </w:r>
    </w:p>
    <w:p w14:paraId="0B7E5B24" w14:textId="77777777" w:rsidR="00140A14" w:rsidRDefault="00140A14" w:rsidP="00057638">
      <w:pPr>
        <w:spacing w:line="259" w:lineRule="auto"/>
        <w:rPr>
          <w:rFonts w:cstheme="minorHAnsi"/>
        </w:rPr>
      </w:pPr>
    </w:p>
    <w:p w14:paraId="175159D6" w14:textId="1F4FFED6" w:rsidR="00773F7C" w:rsidRPr="00757B27" w:rsidRDefault="00757B27" w:rsidP="00057638">
      <w:pPr>
        <w:ind w:left="284" w:right="284"/>
        <w:rPr>
          <w:rFonts w:cstheme="minorHAnsi"/>
          <w:sz w:val="22"/>
          <w:szCs w:val="22"/>
        </w:rPr>
      </w:pPr>
      <w:r w:rsidRPr="2F1CA799">
        <w:rPr>
          <w:sz w:val="22"/>
          <w:szCs w:val="22"/>
        </w:rPr>
        <w:t xml:space="preserve">Look at the Negro, so well known to you, and say, need I describe him? Is he shaped like any white person? Is the anatomy of his frame, of his muscles, or organs like ours? Does he walk like us, think like us, act like us? Not in the least […] Can the black races become civilized? I should say not; their future history, then must resemble the past. The Saxon race will never tolerate them-never amalgamate-never be at peace. The hottest actual war ever carried on […] is not equal to that now waging between our descendants in America and the dark races; it is a war of extermination </w:t>
      </w:r>
      <w:r w:rsidR="002808F1" w:rsidRPr="3C6D1E23">
        <w:rPr>
          <w:rFonts w:ascii="Calibri" w:hAnsi="Calibri" w:cs="Calibri"/>
          <w:sz w:val="22"/>
          <w:szCs w:val="22"/>
        </w:rPr>
        <w:t>—</w:t>
      </w:r>
      <w:r w:rsidRPr="2F1CA799">
        <w:rPr>
          <w:sz w:val="22"/>
          <w:szCs w:val="22"/>
        </w:rPr>
        <w:t xml:space="preserve"> inscribed on each banner is a death’s head and no surrender; one or other must fall.</w:t>
      </w:r>
      <w:r w:rsidR="00773F7C" w:rsidRPr="2F1CA799">
        <w:rPr>
          <w:rStyle w:val="FootnoteReference"/>
          <w:sz w:val="22"/>
          <w:szCs w:val="22"/>
        </w:rPr>
        <w:footnoteReference w:id="101"/>
      </w:r>
    </w:p>
    <w:p w14:paraId="53C34E9A" w14:textId="77777777" w:rsidR="00140A14" w:rsidRDefault="00140A14" w:rsidP="00140A14">
      <w:pPr>
        <w:spacing w:line="259" w:lineRule="auto"/>
        <w:jc w:val="both"/>
        <w:rPr>
          <w:rFonts w:cstheme="minorHAnsi"/>
        </w:rPr>
      </w:pPr>
    </w:p>
    <w:p w14:paraId="04AD0BEF" w14:textId="448D8C30" w:rsidR="000E7FEC" w:rsidRPr="000E7FEC" w:rsidRDefault="000E7FEC" w:rsidP="001531CC">
      <w:pPr>
        <w:pStyle w:val="Heading3"/>
      </w:pPr>
      <w:bookmarkStart w:id="39" w:name="_Toc190939411"/>
      <w:bookmarkStart w:id="40" w:name="_Toc202627094"/>
      <w:r w:rsidRPr="000E7FEC">
        <w:lastRenderedPageBreak/>
        <w:t xml:space="preserve">Conclusions from Research Strand </w:t>
      </w:r>
      <w:r w:rsidR="00F97E65">
        <w:t>2</w:t>
      </w:r>
      <w:bookmarkEnd w:id="39"/>
      <w:bookmarkEnd w:id="40"/>
    </w:p>
    <w:p w14:paraId="4908DDEF" w14:textId="2C84F3AD" w:rsidR="00773F7C" w:rsidRPr="000E7FEC" w:rsidRDefault="000E7FEC" w:rsidP="00057638">
      <w:pPr>
        <w:spacing w:line="259" w:lineRule="auto"/>
        <w:rPr>
          <w:rFonts w:ascii="Calibri" w:hAnsi="Calibri" w:cs="Calibri"/>
          <w:color w:val="000000" w:themeColor="text1"/>
        </w:rPr>
      </w:pPr>
      <w:r w:rsidRPr="000E7FEC">
        <w:rPr>
          <w:rFonts w:ascii="Calibri" w:hAnsi="Calibri" w:cs="Calibri"/>
        </w:rPr>
        <w:t xml:space="preserve">As this overview of some of the key professors, alumni and senior leadership </w:t>
      </w:r>
      <w:r w:rsidR="002808F1">
        <w:rPr>
          <w:rFonts w:ascii="Calibri" w:hAnsi="Calibri" w:cs="Calibri"/>
        </w:rPr>
        <w:t xml:space="preserve">figures </w:t>
      </w:r>
      <w:r w:rsidRPr="000E7FEC">
        <w:rPr>
          <w:rFonts w:ascii="Calibri" w:hAnsi="Calibri" w:cs="Calibri"/>
        </w:rPr>
        <w:t xml:space="preserve">reveals, the </w:t>
      </w:r>
      <w:r w:rsidR="00A27530">
        <w:rPr>
          <w:rFonts w:ascii="Calibri" w:hAnsi="Calibri" w:cs="Calibri"/>
        </w:rPr>
        <w:t>University of Edinburgh</w:t>
      </w:r>
      <w:r w:rsidR="66C1EDDC" w:rsidRPr="48F5E4D8">
        <w:rPr>
          <w:rFonts w:ascii="Calibri" w:hAnsi="Calibri" w:cs="Calibri"/>
        </w:rPr>
        <w:t xml:space="preserve"> </w:t>
      </w:r>
      <w:r w:rsidRPr="000E7FEC">
        <w:rPr>
          <w:rFonts w:ascii="Calibri" w:hAnsi="Calibri" w:cs="Calibri"/>
        </w:rPr>
        <w:t>formed a central point in a network of knowledge about ‘civili</w:t>
      </w:r>
      <w:r w:rsidR="00620329">
        <w:rPr>
          <w:rFonts w:ascii="Calibri" w:hAnsi="Calibri" w:cs="Calibri"/>
        </w:rPr>
        <w:t>s</w:t>
      </w:r>
      <w:r w:rsidRPr="000E7FEC">
        <w:rPr>
          <w:rFonts w:ascii="Calibri" w:hAnsi="Calibri" w:cs="Calibri"/>
        </w:rPr>
        <w:t>ation’ and ‘race’ from the period of the Enlightenment onward</w:t>
      </w:r>
      <w:r w:rsidR="00620329">
        <w:rPr>
          <w:rFonts w:ascii="Calibri" w:hAnsi="Calibri" w:cs="Calibri"/>
        </w:rPr>
        <w:t>s</w:t>
      </w:r>
      <w:r w:rsidRPr="000E7FEC">
        <w:rPr>
          <w:rFonts w:ascii="Calibri" w:hAnsi="Calibri" w:cs="Calibri"/>
        </w:rPr>
        <w:t>. These assumed a normative framework in which the white, educated and often wealthy male was positioned as the ideal type. Other races were either depicted as inherently inferior and so different that they constituted a separate species (as held by the polygenists), as ‘degenerated’ versions of humans whose complexions and other physical features had changed as they fell down the civili</w:t>
      </w:r>
      <w:r w:rsidR="00E617FD">
        <w:rPr>
          <w:rFonts w:ascii="Calibri" w:hAnsi="Calibri" w:cs="Calibri"/>
        </w:rPr>
        <w:t>s</w:t>
      </w:r>
      <w:r w:rsidRPr="000E7FEC">
        <w:rPr>
          <w:rFonts w:ascii="Calibri" w:hAnsi="Calibri" w:cs="Calibri"/>
        </w:rPr>
        <w:t>ational ladder, or as ‘savages’ or ‘barbarians’ who had yet to ascend it. Civili</w:t>
      </w:r>
      <w:r w:rsidR="00E617FD">
        <w:rPr>
          <w:rFonts w:ascii="Calibri" w:hAnsi="Calibri" w:cs="Calibri"/>
        </w:rPr>
        <w:t>s</w:t>
      </w:r>
      <w:r w:rsidRPr="000E7FEC">
        <w:rPr>
          <w:rFonts w:ascii="Calibri" w:hAnsi="Calibri" w:cs="Calibri"/>
        </w:rPr>
        <w:t>ational and racial theories were adopted, developed</w:t>
      </w:r>
      <w:r w:rsidR="00E617FD">
        <w:rPr>
          <w:rFonts w:ascii="Calibri" w:hAnsi="Calibri" w:cs="Calibri"/>
        </w:rPr>
        <w:t xml:space="preserve"> </w:t>
      </w:r>
      <w:r w:rsidRPr="000E7FEC">
        <w:rPr>
          <w:rFonts w:ascii="Calibri" w:hAnsi="Calibri" w:cs="Calibri"/>
        </w:rPr>
        <w:t xml:space="preserve">and deployed at an early stage by the Moral Philosophy Professors Adam Ferguson and Dugald Stewart. The </w:t>
      </w:r>
      <w:r w:rsidR="0075208A">
        <w:rPr>
          <w:rFonts w:ascii="Calibri" w:hAnsi="Calibri" w:cs="Calibri"/>
        </w:rPr>
        <w:t>University P</w:t>
      </w:r>
      <w:r w:rsidRPr="000E7FEC">
        <w:rPr>
          <w:rFonts w:ascii="Calibri" w:hAnsi="Calibri" w:cs="Calibri"/>
        </w:rPr>
        <w:t xml:space="preserve">rincipal and historian William Robertson also examined the histories of the Americas and India through the stadial model, characterising Native Americans writ large as ‘savages’. These theories were also taught by the Professors of Natural History John Walker and Robert Jameson, who drew on their collections of </w:t>
      </w:r>
      <w:r w:rsidR="00E617FD">
        <w:rPr>
          <w:rFonts w:ascii="Calibri" w:hAnsi="Calibri" w:cs="Calibri"/>
        </w:rPr>
        <w:t>ancestral</w:t>
      </w:r>
      <w:r w:rsidRPr="000E7FEC">
        <w:rPr>
          <w:rFonts w:ascii="Calibri" w:hAnsi="Calibri" w:cs="Calibri"/>
        </w:rPr>
        <w:t xml:space="preserve"> remains</w:t>
      </w:r>
      <w:r w:rsidR="00690772">
        <w:rPr>
          <w:rFonts w:ascii="Calibri" w:hAnsi="Calibri" w:cs="Calibri"/>
        </w:rPr>
        <w:t xml:space="preserve">. This </w:t>
      </w:r>
      <w:r w:rsidRPr="000E7FEC">
        <w:rPr>
          <w:rFonts w:ascii="Calibri" w:hAnsi="Calibri" w:cs="Calibri"/>
        </w:rPr>
        <w:t>includ</w:t>
      </w:r>
      <w:r w:rsidR="00690772">
        <w:rPr>
          <w:rFonts w:ascii="Calibri" w:hAnsi="Calibri" w:cs="Calibri"/>
        </w:rPr>
        <w:t>ed</w:t>
      </w:r>
      <w:r w:rsidRPr="000E7FEC">
        <w:rPr>
          <w:rFonts w:ascii="Calibri" w:hAnsi="Calibri" w:cs="Calibri"/>
        </w:rPr>
        <w:t xml:space="preserve"> </w:t>
      </w:r>
      <w:r w:rsidR="00690772">
        <w:rPr>
          <w:rFonts w:ascii="Calibri" w:hAnsi="Calibri" w:cs="Calibri"/>
        </w:rPr>
        <w:t xml:space="preserve">using </w:t>
      </w:r>
      <w:r w:rsidRPr="000E7FEC">
        <w:rPr>
          <w:rFonts w:ascii="Calibri" w:hAnsi="Calibri" w:cs="Calibri"/>
        </w:rPr>
        <w:t xml:space="preserve">the skulls </w:t>
      </w:r>
      <w:r w:rsidR="00B91C3B" w:rsidRPr="000E7FEC">
        <w:rPr>
          <w:rFonts w:ascii="Calibri" w:hAnsi="Calibri" w:cs="Calibri"/>
        </w:rPr>
        <w:t xml:space="preserve">in their teaching </w:t>
      </w:r>
      <w:r w:rsidR="00B91C3B">
        <w:rPr>
          <w:rFonts w:ascii="Calibri" w:hAnsi="Calibri" w:cs="Calibri"/>
        </w:rPr>
        <w:t xml:space="preserve">that were </w:t>
      </w:r>
      <w:r w:rsidRPr="000E7FEC">
        <w:rPr>
          <w:rFonts w:ascii="Calibri" w:hAnsi="Calibri" w:cs="Calibri"/>
        </w:rPr>
        <w:t xml:space="preserve">frequently stolen from </w:t>
      </w:r>
      <w:r w:rsidR="00E617FD">
        <w:rPr>
          <w:rFonts w:ascii="Calibri" w:hAnsi="Calibri" w:cs="Calibri"/>
        </w:rPr>
        <w:t>I</w:t>
      </w:r>
      <w:r w:rsidRPr="000E7FEC">
        <w:rPr>
          <w:rFonts w:ascii="Calibri" w:hAnsi="Calibri" w:cs="Calibri"/>
        </w:rPr>
        <w:t>ndigenous populations and sent to them</w:t>
      </w:r>
      <w:r w:rsidR="00B91C3B">
        <w:rPr>
          <w:rFonts w:ascii="Calibri" w:hAnsi="Calibri" w:cs="Calibri"/>
        </w:rPr>
        <w:t xml:space="preserve"> </w:t>
      </w:r>
      <w:r w:rsidRPr="000E7FEC">
        <w:rPr>
          <w:rFonts w:ascii="Calibri" w:hAnsi="Calibri" w:cs="Calibri"/>
        </w:rPr>
        <w:t>from around the world</w:t>
      </w:r>
      <w:r w:rsidR="00690772">
        <w:rPr>
          <w:rFonts w:ascii="Calibri" w:hAnsi="Calibri" w:cs="Calibri"/>
        </w:rPr>
        <w:t xml:space="preserve"> often by former students</w:t>
      </w:r>
      <w:r w:rsidRPr="000E7FEC">
        <w:rPr>
          <w:rFonts w:ascii="Calibri" w:hAnsi="Calibri" w:cs="Calibri"/>
        </w:rPr>
        <w:t>. Student societies debated different racial questions over this period and many medical students chose to write dissertations on the subject. When they fanned out across the world</w:t>
      </w:r>
      <w:r w:rsidR="00B1641A">
        <w:rPr>
          <w:rFonts w:ascii="Calibri" w:hAnsi="Calibri" w:cs="Calibri"/>
        </w:rPr>
        <w:t>,</w:t>
      </w:r>
      <w:r w:rsidRPr="000E7FEC">
        <w:rPr>
          <w:rFonts w:ascii="Calibri" w:hAnsi="Calibri" w:cs="Calibri"/>
        </w:rPr>
        <w:t xml:space="preserve"> </w:t>
      </w:r>
      <w:r w:rsidR="00145542">
        <w:rPr>
          <w:rFonts w:ascii="Calibri" w:hAnsi="Calibri" w:cs="Calibri"/>
        </w:rPr>
        <w:t xml:space="preserve">securing </w:t>
      </w:r>
      <w:r w:rsidRPr="000E7FEC">
        <w:rPr>
          <w:rFonts w:ascii="Calibri" w:hAnsi="Calibri" w:cs="Calibri"/>
        </w:rPr>
        <w:t xml:space="preserve">positions with the help of their </w:t>
      </w:r>
      <w:r w:rsidR="00A27530">
        <w:rPr>
          <w:rFonts w:ascii="Calibri" w:hAnsi="Calibri" w:cs="Calibri"/>
        </w:rPr>
        <w:t>University of Edinburgh</w:t>
      </w:r>
      <w:r w:rsidRPr="000E7FEC">
        <w:rPr>
          <w:rFonts w:ascii="Calibri" w:hAnsi="Calibri" w:cs="Calibri"/>
        </w:rPr>
        <w:t xml:space="preserve"> credentials, these alumni applied racial theories and the stadial theories of civili</w:t>
      </w:r>
      <w:r w:rsidR="00E617FD">
        <w:rPr>
          <w:rFonts w:ascii="Calibri" w:hAnsi="Calibri" w:cs="Calibri"/>
        </w:rPr>
        <w:t>s</w:t>
      </w:r>
      <w:r w:rsidRPr="000E7FEC">
        <w:rPr>
          <w:rFonts w:ascii="Calibri" w:hAnsi="Calibri" w:cs="Calibri"/>
        </w:rPr>
        <w:t xml:space="preserve">ation in their own works on these subjects. When published back in Britain, their findings strengthened these systems of knowledge. As the </w:t>
      </w:r>
      <w:r w:rsidR="001531CC">
        <w:rPr>
          <w:rFonts w:ascii="Calibri" w:hAnsi="Calibri" w:cs="Calibri"/>
        </w:rPr>
        <w:t>19</w:t>
      </w:r>
      <w:r w:rsidR="001531CC" w:rsidRPr="000E7FEC">
        <w:rPr>
          <w:rFonts w:ascii="Calibri" w:hAnsi="Calibri" w:cs="Calibri"/>
        </w:rPr>
        <w:t xml:space="preserve">th </w:t>
      </w:r>
      <w:r w:rsidRPr="000E7FEC">
        <w:rPr>
          <w:rFonts w:ascii="Calibri" w:hAnsi="Calibri" w:cs="Calibri"/>
        </w:rPr>
        <w:t xml:space="preserve">century progressed, </w:t>
      </w:r>
      <w:r w:rsidR="00A27530">
        <w:rPr>
          <w:rFonts w:ascii="Calibri" w:hAnsi="Calibri" w:cs="Calibri"/>
        </w:rPr>
        <w:t>University of Edinburgh</w:t>
      </w:r>
      <w:r w:rsidRPr="000E7FEC">
        <w:rPr>
          <w:rFonts w:ascii="Calibri" w:hAnsi="Calibri" w:cs="Calibri"/>
        </w:rPr>
        <w:t xml:space="preserve"> alumni were some of the most important figures in the development of </w:t>
      </w:r>
      <w:r w:rsidR="00E617FD">
        <w:rPr>
          <w:rFonts w:ascii="Calibri" w:hAnsi="Calibri" w:cs="Calibri"/>
        </w:rPr>
        <w:t>pseudo-</w:t>
      </w:r>
      <w:r w:rsidRPr="000E7FEC">
        <w:rPr>
          <w:rFonts w:ascii="Calibri" w:hAnsi="Calibri" w:cs="Calibri"/>
        </w:rPr>
        <w:t>sciences that placed racial and civili</w:t>
      </w:r>
      <w:r w:rsidR="00E617FD">
        <w:rPr>
          <w:rFonts w:ascii="Calibri" w:hAnsi="Calibri" w:cs="Calibri"/>
        </w:rPr>
        <w:t>s</w:t>
      </w:r>
      <w:r w:rsidRPr="000E7FEC">
        <w:rPr>
          <w:rFonts w:ascii="Calibri" w:hAnsi="Calibri" w:cs="Calibri"/>
        </w:rPr>
        <w:t>ational ideas at their centres. While the history of ideas of civili</w:t>
      </w:r>
      <w:r w:rsidR="00E617FD">
        <w:rPr>
          <w:rFonts w:ascii="Calibri" w:hAnsi="Calibri" w:cs="Calibri"/>
        </w:rPr>
        <w:t>s</w:t>
      </w:r>
      <w:r w:rsidRPr="000E7FEC">
        <w:rPr>
          <w:rFonts w:ascii="Calibri" w:hAnsi="Calibri" w:cs="Calibri"/>
        </w:rPr>
        <w:t xml:space="preserve">ation and race has tended to focus on major intellectual figures and their influence, future historiography will have to take greater account of institutions and the networks of individuals and ideas </w:t>
      </w:r>
      <w:r w:rsidR="00AB7741">
        <w:rPr>
          <w:rFonts w:ascii="Calibri" w:hAnsi="Calibri" w:cs="Calibri"/>
        </w:rPr>
        <w:t xml:space="preserve">that </w:t>
      </w:r>
      <w:r w:rsidRPr="000E7FEC">
        <w:rPr>
          <w:rFonts w:ascii="Calibri" w:hAnsi="Calibri" w:cs="Calibri"/>
        </w:rPr>
        <w:t xml:space="preserve">connected them. All the foregoing evidence suggests that the </w:t>
      </w:r>
      <w:r w:rsidR="00A27530">
        <w:rPr>
          <w:rFonts w:ascii="Calibri" w:hAnsi="Calibri" w:cs="Calibri"/>
        </w:rPr>
        <w:t>University of Edinburgh</w:t>
      </w:r>
      <w:r w:rsidRPr="000E7FEC">
        <w:rPr>
          <w:rFonts w:ascii="Calibri" w:hAnsi="Calibri" w:cs="Calibri"/>
        </w:rPr>
        <w:t xml:space="preserve"> was one of the institutional centres for the development of ideas about civili</w:t>
      </w:r>
      <w:r w:rsidR="00E617FD">
        <w:rPr>
          <w:rFonts w:ascii="Calibri" w:hAnsi="Calibri" w:cs="Calibri"/>
        </w:rPr>
        <w:t>s</w:t>
      </w:r>
      <w:r w:rsidRPr="000E7FEC">
        <w:rPr>
          <w:rFonts w:ascii="Calibri" w:hAnsi="Calibri" w:cs="Calibri"/>
        </w:rPr>
        <w:t xml:space="preserve">ation and race, and their crystallisation within the ‘race sciences’ that developed in the </w:t>
      </w:r>
      <w:r w:rsidR="001531CC">
        <w:rPr>
          <w:rFonts w:ascii="Calibri" w:hAnsi="Calibri" w:cs="Calibri"/>
        </w:rPr>
        <w:t>19</w:t>
      </w:r>
      <w:r w:rsidR="001531CC" w:rsidRPr="000E7FEC">
        <w:rPr>
          <w:rFonts w:ascii="Calibri" w:hAnsi="Calibri" w:cs="Calibri"/>
        </w:rPr>
        <w:t xml:space="preserve">th </w:t>
      </w:r>
      <w:r w:rsidRPr="000E7FEC">
        <w:rPr>
          <w:rFonts w:ascii="Calibri" w:hAnsi="Calibri" w:cs="Calibri"/>
        </w:rPr>
        <w:t xml:space="preserve">century. In different ways, all of these played into intellectual justifications for slavery and colonialism over the period </w:t>
      </w:r>
      <w:r w:rsidRPr="00D72A0F">
        <w:rPr>
          <w:rFonts w:ascii="Calibri" w:hAnsi="Calibri" w:cs="Calibri"/>
        </w:rPr>
        <w:t>examined</w:t>
      </w:r>
      <w:r w:rsidR="00E617FD" w:rsidRPr="00D72A0F">
        <w:rPr>
          <w:rFonts w:ascii="Calibri" w:hAnsi="Calibri" w:cs="Calibri"/>
        </w:rPr>
        <w:t xml:space="preserve"> and explored further in Appendix </w:t>
      </w:r>
      <w:r w:rsidR="006D27D9" w:rsidRPr="00D72A0F">
        <w:rPr>
          <w:rFonts w:ascii="Calibri" w:hAnsi="Calibri" w:cs="Calibri"/>
        </w:rPr>
        <w:t>2</w:t>
      </w:r>
      <w:r w:rsidRPr="00D72A0F">
        <w:rPr>
          <w:rFonts w:ascii="Calibri" w:hAnsi="Calibri" w:cs="Calibri"/>
        </w:rPr>
        <w:t>. The</w:t>
      </w:r>
      <w:r w:rsidRPr="000E7FEC">
        <w:rPr>
          <w:rFonts w:ascii="Calibri" w:hAnsi="Calibri" w:cs="Calibri"/>
        </w:rPr>
        <w:t xml:space="preserve"> same systems of knowledge retained a central place in Western thought through much of the </w:t>
      </w:r>
      <w:r w:rsidR="001531CC">
        <w:rPr>
          <w:rFonts w:ascii="Calibri" w:hAnsi="Calibri" w:cs="Calibri"/>
        </w:rPr>
        <w:t>20</w:t>
      </w:r>
      <w:r w:rsidR="001531CC" w:rsidRPr="000E7FEC">
        <w:rPr>
          <w:rFonts w:ascii="Calibri" w:hAnsi="Calibri" w:cs="Calibri"/>
        </w:rPr>
        <w:t xml:space="preserve">th </w:t>
      </w:r>
      <w:r w:rsidRPr="000E7FEC">
        <w:rPr>
          <w:rFonts w:ascii="Calibri" w:hAnsi="Calibri" w:cs="Calibri"/>
        </w:rPr>
        <w:t>century</w:t>
      </w:r>
      <w:r w:rsidR="002C6004">
        <w:rPr>
          <w:rFonts w:ascii="Calibri" w:hAnsi="Calibri" w:cs="Calibri"/>
        </w:rPr>
        <w:t>.</w:t>
      </w:r>
      <w:r w:rsidRPr="000E7FEC">
        <w:rPr>
          <w:rFonts w:ascii="Calibri" w:hAnsi="Calibri" w:cs="Calibri"/>
        </w:rPr>
        <w:t xml:space="preserve"> </w:t>
      </w:r>
      <w:r w:rsidR="002C6004">
        <w:rPr>
          <w:rFonts w:ascii="Calibri" w:hAnsi="Calibri" w:cs="Calibri"/>
        </w:rPr>
        <w:t>E</w:t>
      </w:r>
      <w:r w:rsidRPr="000E7FEC">
        <w:rPr>
          <w:rFonts w:ascii="Calibri" w:hAnsi="Calibri" w:cs="Calibri"/>
        </w:rPr>
        <w:t xml:space="preserve">ven though ‘race’ has been debunked as a scientifically legitimate idea, its cultural and social legacies continue to shape the world in which we live. </w:t>
      </w:r>
      <w:r w:rsidR="00773F7C" w:rsidRPr="000E7FEC">
        <w:rPr>
          <w:rFonts w:ascii="Calibri" w:hAnsi="Calibri" w:cs="Calibri"/>
          <w:color w:val="000000" w:themeColor="text1"/>
        </w:rPr>
        <w:t xml:space="preserve"> </w:t>
      </w:r>
    </w:p>
    <w:p w14:paraId="3DBB7751" w14:textId="11C47316" w:rsidR="00773F7C" w:rsidRPr="0017357E" w:rsidRDefault="00773F7C" w:rsidP="00B7374B">
      <w:pPr>
        <w:spacing w:line="259" w:lineRule="auto"/>
        <w:jc w:val="both"/>
        <w:rPr>
          <w:rFonts w:cstheme="minorHAnsi"/>
          <w:color w:val="000000" w:themeColor="text1"/>
        </w:rPr>
      </w:pPr>
    </w:p>
    <w:p w14:paraId="495F93A7" w14:textId="04944D3A" w:rsidR="00773F7C" w:rsidRPr="004D66E5" w:rsidRDefault="00773F7C" w:rsidP="001531CC">
      <w:pPr>
        <w:pStyle w:val="Heading2"/>
      </w:pPr>
      <w:bookmarkStart w:id="41" w:name="_Toc190939412"/>
      <w:bookmarkStart w:id="42" w:name="_Toc202627095"/>
      <w:r w:rsidRPr="004D66E5">
        <w:t xml:space="preserve">Research Strand 3: </w:t>
      </w:r>
      <w:r w:rsidR="001531CC">
        <w:t xml:space="preserve">The </w:t>
      </w:r>
      <w:r w:rsidR="00A27530">
        <w:t>University of Edinburgh</w:t>
      </w:r>
      <w:r w:rsidRPr="004D66E5">
        <w:t xml:space="preserve"> and the Question of Palestine: Balfour’s Imperial Legacy and its Afterlife</w:t>
      </w:r>
      <w:bookmarkEnd w:id="41"/>
      <w:bookmarkEnd w:id="42"/>
    </w:p>
    <w:p w14:paraId="152CF8CF" w14:textId="45117757" w:rsidR="00F97E65" w:rsidRPr="004D66E5" w:rsidRDefault="00F97E65">
      <w:pPr>
        <w:pStyle w:val="Heading3"/>
      </w:pPr>
      <w:bookmarkStart w:id="43" w:name="_Toc190939413"/>
      <w:bookmarkStart w:id="44" w:name="_Toc202627096"/>
      <w:r w:rsidRPr="004D66E5">
        <w:t>Introduction</w:t>
      </w:r>
      <w:bookmarkEnd w:id="43"/>
      <w:bookmarkEnd w:id="44"/>
    </w:p>
    <w:p w14:paraId="40E5A134" w14:textId="19FEB3A7" w:rsidR="001D1D49" w:rsidRPr="0017357E" w:rsidRDefault="060039D6" w:rsidP="00057638">
      <w:pPr>
        <w:spacing w:line="259" w:lineRule="auto"/>
      </w:pPr>
      <w:bookmarkStart w:id="45" w:name="OLE_LINK1"/>
      <w:r w:rsidRPr="5055E476">
        <w:t xml:space="preserve">The third research strand focused on the </w:t>
      </w:r>
      <w:r w:rsidR="5875F461">
        <w:t xml:space="preserve">colonial </w:t>
      </w:r>
      <w:r w:rsidR="4B63226D" w:rsidRPr="5055E476">
        <w:t xml:space="preserve">links between the </w:t>
      </w:r>
      <w:r w:rsidR="702229E4">
        <w:t>University of Edinburgh</w:t>
      </w:r>
      <w:r w:rsidR="4B63226D" w:rsidRPr="5055E476">
        <w:t xml:space="preserve"> and Palestine</w:t>
      </w:r>
      <w:r w:rsidR="5875F461">
        <w:t>. Specifically, it looked at</w:t>
      </w:r>
      <w:r w:rsidR="066C9A35" w:rsidDel="4B63226D">
        <w:t xml:space="preserve"> </w:t>
      </w:r>
      <w:r w:rsidR="1BED698A" w:rsidRPr="5055E476">
        <w:t xml:space="preserve">the unique role </w:t>
      </w:r>
      <w:r w:rsidR="5875F461">
        <w:t xml:space="preserve">played by </w:t>
      </w:r>
      <w:r w:rsidR="61340293">
        <w:t xml:space="preserve">one of the University’s </w:t>
      </w:r>
      <w:r w:rsidR="683DCAD8">
        <w:t>longest serving Chancellors,</w:t>
      </w:r>
      <w:r w:rsidR="1BED698A" w:rsidRPr="5055E476">
        <w:t xml:space="preserve"> </w:t>
      </w:r>
      <w:r w:rsidR="50189DCB">
        <w:t>Arthur James Balfour</w:t>
      </w:r>
      <w:r w:rsidR="6B1EA82B">
        <w:t xml:space="preserve"> (</w:t>
      </w:r>
      <w:r w:rsidR="30E60844">
        <w:t>1891</w:t>
      </w:r>
      <w:r w:rsidR="683C26C2" w:rsidRPr="06A5C420">
        <w:rPr>
          <w:rFonts w:ascii="Calibri" w:hAnsi="Calibri" w:cs="Calibri"/>
        </w:rPr>
        <w:t>–</w:t>
      </w:r>
      <w:r w:rsidR="09EC68E2" w:rsidRPr="06A5C420">
        <w:rPr>
          <w:rFonts w:ascii="Calibri" w:hAnsi="Calibri" w:cs="Calibri"/>
        </w:rPr>
        <w:t xml:space="preserve">1930), </w:t>
      </w:r>
      <w:r w:rsidR="1BED698A" w:rsidRPr="5055E476">
        <w:t xml:space="preserve">in establishing and </w:t>
      </w:r>
      <w:r w:rsidR="1BED698A" w:rsidRPr="5055E476">
        <w:lastRenderedPageBreak/>
        <w:t xml:space="preserve">maintaining a century-long process of imperial and </w:t>
      </w:r>
      <w:r w:rsidR="2360D51C">
        <w:t>settler-</w:t>
      </w:r>
      <w:r w:rsidR="1BED698A" w:rsidRPr="5055E476">
        <w:t>colonial rule in Palestine</w:t>
      </w:r>
      <w:r w:rsidR="0892ED92" w:rsidRPr="2F1CA799">
        <w:t xml:space="preserve">, </w:t>
      </w:r>
      <w:r w:rsidR="0892ED92" w:rsidRPr="2F1CA799">
        <w:rPr>
          <w:rFonts w:eastAsia="Times New Roman"/>
          <w:color w:val="000000" w:themeColor="text1"/>
        </w:rPr>
        <w:t>resulting today in one of the longest standing colonial occupations and apartheid regimes in modern history.</w:t>
      </w:r>
      <w:r w:rsidR="39E5090C" w:rsidRPr="5055E476">
        <w:t xml:space="preserve"> </w:t>
      </w:r>
      <w:r w:rsidR="65D8FA0B" w:rsidRPr="5055E476">
        <w:t>As this section shows, t</w:t>
      </w:r>
      <w:r w:rsidR="39E5090C" w:rsidRPr="5055E476">
        <w:t>he territorial realisation of modern political Zionism as a settler</w:t>
      </w:r>
      <w:r w:rsidR="00492A47">
        <w:t>-</w:t>
      </w:r>
      <w:r w:rsidR="39E5090C" w:rsidRPr="5055E476">
        <w:t xml:space="preserve">colonial nation-state inside of Palestine was first instituted through material, discursive and military support of </w:t>
      </w:r>
      <w:r w:rsidR="7A42663B">
        <w:t xml:space="preserve">the </w:t>
      </w:r>
      <w:r w:rsidR="39E5090C" w:rsidRPr="5055E476">
        <w:t xml:space="preserve">British empire leading up to and during the period of </w:t>
      </w:r>
      <w:r w:rsidR="2FBBE9D3" w:rsidRPr="5055E476">
        <w:t xml:space="preserve">the </w:t>
      </w:r>
      <w:r w:rsidR="39E5090C" w:rsidRPr="5055E476">
        <w:t>British Mandate in Palestine (1922</w:t>
      </w:r>
      <w:r w:rsidR="5A08B4B9">
        <w:rPr>
          <w:rFonts w:ascii="Calibri" w:hAnsi="Calibri" w:cs="Calibri"/>
        </w:rPr>
        <w:t>–</w:t>
      </w:r>
      <w:r w:rsidR="39E5090C" w:rsidRPr="5055E476">
        <w:t xml:space="preserve">1948) and in coordination with leading figures of the Zionist movement. The transition from the </w:t>
      </w:r>
      <w:r w:rsidR="045AC3AE" w:rsidRPr="5055E476">
        <w:t>M</w:t>
      </w:r>
      <w:r w:rsidR="39E5090C" w:rsidRPr="5055E476">
        <w:t xml:space="preserve">andate </w:t>
      </w:r>
      <w:r w:rsidR="045AC3AE" w:rsidRPr="5055E476">
        <w:t>era</w:t>
      </w:r>
      <w:r w:rsidR="39E5090C" w:rsidRPr="5055E476">
        <w:t xml:space="preserve"> to Israel’s state declaration in 1948 was accomplished through the start of the </w:t>
      </w:r>
      <w:r w:rsidR="39E5090C" w:rsidRPr="06A5C420">
        <w:rPr>
          <w:i/>
          <w:iCs/>
        </w:rPr>
        <w:t xml:space="preserve">Nakba </w:t>
      </w:r>
      <w:r w:rsidR="39E5090C" w:rsidRPr="5055E476">
        <w:t>(</w:t>
      </w:r>
      <w:r w:rsidR="2FBBE9D3" w:rsidRPr="5055E476">
        <w:t xml:space="preserve">meaning </w:t>
      </w:r>
      <w:r w:rsidR="39E5090C" w:rsidRPr="5055E476">
        <w:t>the</w:t>
      </w:r>
      <w:r w:rsidR="39E5090C" w:rsidRPr="06A5C420">
        <w:rPr>
          <w:i/>
          <w:iCs/>
        </w:rPr>
        <w:t xml:space="preserve"> </w:t>
      </w:r>
      <w:r w:rsidR="39E5090C" w:rsidRPr="5055E476">
        <w:t>‘catastrophe’ in Arabic)</w:t>
      </w:r>
      <w:r w:rsidR="373C77AE">
        <w:t>. This was</w:t>
      </w:r>
      <w:r w:rsidR="39E5090C" w:rsidRPr="06A5C420">
        <w:rPr>
          <w:i/>
          <w:iCs/>
        </w:rPr>
        <w:t xml:space="preserve"> </w:t>
      </w:r>
      <w:r w:rsidR="39E5090C" w:rsidRPr="5055E476">
        <w:t>an aggressive ethnic cleansing campaign of systematic elimination by means of massacre, dispossession and</w:t>
      </w:r>
      <w:r w:rsidR="373C77AE">
        <w:t xml:space="preserve"> the</w:t>
      </w:r>
      <w:r w:rsidR="39E5090C" w:rsidRPr="5055E476">
        <w:t xml:space="preserve"> forced expulsion of approximately 750,000 of Palestine’s </w:t>
      </w:r>
      <w:r w:rsidR="7C7D1757" w:rsidRPr="5055E476">
        <w:t>I</w:t>
      </w:r>
      <w:r w:rsidR="39E5090C" w:rsidRPr="5055E476">
        <w:t>ndigenous people under the leadership of Zionist militia groups</w:t>
      </w:r>
      <w:r w:rsidR="50EE1394" w:rsidRPr="5055E476">
        <w:t>,</w:t>
      </w:r>
      <w:r w:rsidR="39E5090C" w:rsidRPr="5055E476">
        <w:t xml:space="preserve"> </w:t>
      </w:r>
      <w:r w:rsidR="39E5090C" w:rsidRPr="5055E476">
        <w:rPr>
          <w:rFonts w:eastAsia="Calibri"/>
        </w:rPr>
        <w:t>namely the Haganah (which would be the future army of the state of Israel) and the Irgun</w:t>
      </w:r>
      <w:r w:rsidR="39E5090C" w:rsidRPr="5055E476">
        <w:t xml:space="preserve">. The historical and ongoing processes of Palestinian dispossession, including ongoing Israeli human rights and international law violations in Gaza </w:t>
      </w:r>
      <w:r w:rsidR="358627FF" w:rsidRPr="5055E476">
        <w:t>that are</w:t>
      </w:r>
      <w:r w:rsidR="39E5090C" w:rsidRPr="5055E476">
        <w:t xml:space="preserve"> tantamount to what the International Court of Justice has described as ‘plausible’ violation of the 1948 Genocide Convention, has resulted in </w:t>
      </w:r>
      <w:r w:rsidR="098DC50B" w:rsidRPr="5055E476">
        <w:t xml:space="preserve">one of </w:t>
      </w:r>
      <w:r w:rsidR="39E5090C" w:rsidRPr="5055E476">
        <w:t xml:space="preserve">the largest and </w:t>
      </w:r>
      <w:r w:rsidR="098DC50B" w:rsidRPr="5055E476">
        <w:t>most</w:t>
      </w:r>
      <w:r w:rsidR="39E5090C" w:rsidRPr="5055E476">
        <w:t xml:space="preserve"> protracted refugee </w:t>
      </w:r>
      <w:r w:rsidR="098DC50B" w:rsidRPr="5055E476">
        <w:t>crises in the</w:t>
      </w:r>
      <w:r w:rsidR="39E5090C" w:rsidRPr="5055E476">
        <w:t xml:space="preserve"> world today.</w:t>
      </w:r>
      <w:r w:rsidR="0085425F" w:rsidRPr="5055E476">
        <w:rPr>
          <w:rStyle w:val="FootnoteReference"/>
        </w:rPr>
        <w:footnoteReference w:id="102"/>
      </w:r>
      <w:r w:rsidR="39E5090C" w:rsidRPr="5055E476">
        <w:t xml:space="preserve"> As historians of the modern Arab world have co</w:t>
      </w:r>
      <w:r w:rsidR="098DC50B" w:rsidRPr="5055E476">
        <w:t>mmented</w:t>
      </w:r>
      <w:r w:rsidR="39E5090C" w:rsidRPr="5055E476">
        <w:t xml:space="preserve"> </w:t>
      </w:r>
      <w:r w:rsidR="2B70AA53">
        <w:rPr>
          <w:rFonts w:ascii="Calibri" w:hAnsi="Calibri" w:cs="Calibri"/>
        </w:rPr>
        <w:t>—</w:t>
      </w:r>
      <w:r w:rsidR="39E5090C" w:rsidRPr="5055E476">
        <w:t xml:space="preserve"> including scholars of Palestine Studies and the new wave of Israeli historians</w:t>
      </w:r>
      <w:r w:rsidR="2B70AA53" w:rsidRPr="5055E476">
        <w:t xml:space="preserve"> </w:t>
      </w:r>
      <w:r w:rsidR="2B70AA53">
        <w:rPr>
          <w:rFonts w:ascii="Calibri" w:hAnsi="Calibri" w:cs="Calibri"/>
        </w:rPr>
        <w:t>—</w:t>
      </w:r>
      <w:r w:rsidR="39E5090C" w:rsidRPr="5055E476">
        <w:t xml:space="preserve"> settler colonialism in Palestine d</w:t>
      </w:r>
      <w:r w:rsidR="79862F95" w:rsidRPr="5055E476">
        <w:t>id</w:t>
      </w:r>
      <w:r w:rsidR="39E5090C" w:rsidRPr="5055E476">
        <w:t xml:space="preserve"> not begin in 1948 at the time of Israel’s state declaration, but in 1917 through the signing of the Balfour Declaration.</w:t>
      </w:r>
      <w:r w:rsidR="00773F7C" w:rsidRPr="5055E476">
        <w:rPr>
          <w:rStyle w:val="FootnoteReference"/>
        </w:rPr>
        <w:footnoteReference w:id="103"/>
      </w:r>
      <w:bookmarkEnd w:id="45"/>
    </w:p>
    <w:p w14:paraId="56122CB9" w14:textId="7A0F0328" w:rsidR="00773F7C" w:rsidRPr="0070066A" w:rsidRDefault="00697CDD" w:rsidP="00057638">
      <w:pPr>
        <w:spacing w:line="259" w:lineRule="auto"/>
        <w:ind w:firstLine="720"/>
      </w:pPr>
      <w:r>
        <w:t>B</w:t>
      </w:r>
      <w:r w:rsidR="00773F7C" w:rsidRPr="2F1CA799">
        <w:t>etween 1891</w:t>
      </w:r>
      <w:r w:rsidR="001D1D49" w:rsidRPr="2F1CA799">
        <w:t xml:space="preserve"> and </w:t>
      </w:r>
      <w:r w:rsidR="00773F7C" w:rsidRPr="2F1CA799">
        <w:t>1930,</w:t>
      </w:r>
      <w:r w:rsidR="001311B3">
        <w:t xml:space="preserve"> the</w:t>
      </w:r>
      <w:r w:rsidR="00773F7C" w:rsidRPr="2F1CA799">
        <w:t xml:space="preserve"> </w:t>
      </w:r>
      <w:r w:rsidR="00A27530">
        <w:t>University of Edinburgh</w:t>
      </w:r>
      <w:r w:rsidR="00773F7C" w:rsidRPr="2F1CA799">
        <w:t xml:space="preserve"> </w:t>
      </w:r>
      <w:r w:rsidR="004B197B">
        <w:t>appointed</w:t>
      </w:r>
      <w:r w:rsidR="004B197B" w:rsidRPr="2F1CA799">
        <w:t xml:space="preserve"> </w:t>
      </w:r>
      <w:r w:rsidR="00773F7C" w:rsidRPr="2F1CA799">
        <w:t xml:space="preserve">Arthur James Balfour to preside as </w:t>
      </w:r>
      <w:r w:rsidR="00796CE8" w:rsidRPr="2F1CA799">
        <w:t>U</w:t>
      </w:r>
      <w:r w:rsidR="00773F7C" w:rsidRPr="2F1CA799">
        <w:t xml:space="preserve">niversity </w:t>
      </w:r>
      <w:r w:rsidR="00796CE8" w:rsidRPr="2F1CA799">
        <w:t>C</w:t>
      </w:r>
      <w:r w:rsidR="00773F7C" w:rsidRPr="2F1CA799">
        <w:t>hancellor</w:t>
      </w:r>
      <w:r w:rsidR="009532C1">
        <w:t xml:space="preserve">. </w:t>
      </w:r>
      <w:r w:rsidR="00590B1E">
        <w:t xml:space="preserve">During Balfour’s nomination speech, </w:t>
      </w:r>
      <w:r w:rsidR="00D23270">
        <w:t>Vice-Chancellor Professor Cam</w:t>
      </w:r>
      <w:r w:rsidR="00B54166">
        <w:t>p</w:t>
      </w:r>
      <w:r w:rsidR="00D23270">
        <w:t xml:space="preserve">bell Fraser </w:t>
      </w:r>
      <w:r w:rsidR="00590B1E">
        <w:t xml:space="preserve">defined this role </w:t>
      </w:r>
      <w:r w:rsidR="005E0CF4">
        <w:t>as ‘</w:t>
      </w:r>
      <w:r w:rsidR="00DE05D6">
        <w:t>the supreme head of the university’</w:t>
      </w:r>
      <w:r w:rsidR="000E14B9">
        <w:t>.</w:t>
      </w:r>
      <w:r w:rsidR="000E14B9">
        <w:rPr>
          <w:rStyle w:val="FootnoteReference"/>
        </w:rPr>
        <w:footnoteReference w:id="104"/>
      </w:r>
      <w:r w:rsidR="009532C1">
        <w:t xml:space="preserve"> Today, it still represents</w:t>
      </w:r>
      <w:r>
        <w:t xml:space="preserve"> </w:t>
      </w:r>
      <w:r w:rsidR="00790B9D" w:rsidRPr="2F1CA799">
        <w:t xml:space="preserve">the highest position in the institution and </w:t>
      </w:r>
      <w:r w:rsidR="00590B1E">
        <w:t>aims to</w:t>
      </w:r>
      <w:r w:rsidR="00790B9D" w:rsidRPr="2F1CA799" w:rsidDel="00590B1E">
        <w:t xml:space="preserve"> </w:t>
      </w:r>
      <w:r w:rsidR="00790B9D" w:rsidRPr="2F1CA799">
        <w:t>enhanc</w:t>
      </w:r>
      <w:r w:rsidR="00590B1E">
        <w:t>e</w:t>
      </w:r>
      <w:r w:rsidR="00790B9D" w:rsidRPr="2F1CA799">
        <w:t xml:space="preserve"> ‘the profile and reputation of the University on national and global levels’</w:t>
      </w:r>
      <w:r w:rsidR="00C751B3" w:rsidRPr="2F1CA799">
        <w:t>.</w:t>
      </w:r>
      <w:r w:rsidR="00790B9D" w:rsidRPr="2F1CA799">
        <w:rPr>
          <w:rStyle w:val="FootnoteReference"/>
        </w:rPr>
        <w:footnoteReference w:id="105"/>
      </w:r>
      <w:r w:rsidR="00773F7C" w:rsidRPr="2F1CA799">
        <w:t xml:space="preserve"> </w:t>
      </w:r>
      <w:r w:rsidR="00BC3C1A" w:rsidRPr="2F1CA799">
        <w:t>A</w:t>
      </w:r>
      <w:r w:rsidR="00773F7C" w:rsidRPr="2F1CA799">
        <w:t>t the time of his appointment</w:t>
      </w:r>
      <w:r w:rsidR="00BC3C1A" w:rsidRPr="2F1CA799">
        <w:t>, Balfour</w:t>
      </w:r>
      <w:r w:rsidR="00773F7C" w:rsidRPr="2F1CA799">
        <w:t xml:space="preserve"> was one of the most influential imperial political figures of the </w:t>
      </w:r>
      <w:r w:rsidR="001531CC">
        <w:t>20</w:t>
      </w:r>
      <w:r w:rsidR="001531CC" w:rsidRPr="2F1CA799">
        <w:t xml:space="preserve">th </w:t>
      </w:r>
      <w:r w:rsidR="00773F7C" w:rsidRPr="2F1CA799">
        <w:t>century</w:t>
      </w:r>
      <w:r w:rsidR="00D85793" w:rsidRPr="2F1CA799">
        <w:t xml:space="preserve"> and </w:t>
      </w:r>
      <w:r w:rsidR="00773F7C" w:rsidRPr="2F1CA799">
        <w:t xml:space="preserve">served both the British empire and </w:t>
      </w:r>
      <w:r w:rsidR="00B40E84" w:rsidRPr="2F1CA799">
        <w:t xml:space="preserve">the </w:t>
      </w:r>
      <w:r w:rsidR="00A27530">
        <w:t>University of Edinburgh</w:t>
      </w:r>
      <w:r w:rsidR="00773F7C" w:rsidRPr="2F1CA799">
        <w:t xml:space="preserve"> in a dual role: as an imperial statesman and as a </w:t>
      </w:r>
      <w:r w:rsidR="00BC3C1A" w:rsidRPr="2F1CA799">
        <w:t>C</w:t>
      </w:r>
      <w:r w:rsidR="00773F7C" w:rsidRPr="2F1CA799">
        <w:t>hancellor. A closer examination of Balfour’s biography, at the threshold between his political and academic affairs, reveals that Balfour-the-imperial-statesman and Balfour-the-</w:t>
      </w:r>
      <w:r w:rsidR="008A1E17" w:rsidRPr="2F1CA799">
        <w:t>U</w:t>
      </w:r>
      <w:r w:rsidR="00773F7C" w:rsidRPr="2F1CA799">
        <w:t>niversity-</w:t>
      </w:r>
      <w:r w:rsidR="008A1E17" w:rsidRPr="2F1CA799">
        <w:t>C</w:t>
      </w:r>
      <w:r w:rsidR="00773F7C" w:rsidRPr="2F1CA799">
        <w:t xml:space="preserve">hancellor are </w:t>
      </w:r>
      <w:r w:rsidR="00BC3C1A" w:rsidRPr="2F1CA799">
        <w:t>difficult to separate</w:t>
      </w:r>
      <w:r w:rsidR="00773F7C" w:rsidRPr="2F1CA799">
        <w:t xml:space="preserve">. </w:t>
      </w:r>
      <w:r w:rsidR="00F4258C" w:rsidRPr="004C77D8">
        <w:rPr>
          <w:rFonts w:ascii="Calibri" w:hAnsi="Calibri" w:cs="Calibri"/>
        </w:rPr>
        <w:t xml:space="preserve">Indeed, it was this duality that </w:t>
      </w:r>
      <w:r w:rsidR="00F4258C" w:rsidRPr="004C77D8">
        <w:rPr>
          <w:rFonts w:ascii="Calibri" w:hAnsi="Calibri" w:cs="Calibri"/>
        </w:rPr>
        <w:lastRenderedPageBreak/>
        <w:t xml:space="preserve">made him an ideal </w:t>
      </w:r>
      <w:r w:rsidR="002D035F">
        <w:rPr>
          <w:rFonts w:ascii="Calibri" w:hAnsi="Calibri" w:cs="Calibri"/>
        </w:rPr>
        <w:t>candidate</w:t>
      </w:r>
      <w:r w:rsidR="004E4B43">
        <w:rPr>
          <w:rFonts w:ascii="Calibri" w:hAnsi="Calibri" w:cs="Calibri"/>
        </w:rPr>
        <w:t>,</w:t>
      </w:r>
      <w:r w:rsidR="00806527" w:rsidRPr="004C77D8">
        <w:rPr>
          <w:rFonts w:ascii="Calibri" w:hAnsi="Calibri" w:cs="Calibri"/>
        </w:rPr>
        <w:t xml:space="preserve"> being </w:t>
      </w:r>
      <w:r w:rsidR="00806527" w:rsidRPr="004C77D8">
        <w:rPr>
          <w:rFonts w:ascii="Calibri" w:hAnsi="Calibri" w:cs="Calibri"/>
          <w:color w:val="000000"/>
          <w:kern w:val="0"/>
        </w:rPr>
        <w:t>at once an eminent scholar and a well-positioned man of public affairs.</w:t>
      </w:r>
      <w:r w:rsidR="00806527">
        <w:rPr>
          <w:rStyle w:val="FootnoteReference"/>
          <w:rFonts w:ascii="Calibri" w:hAnsi="Calibri" w:cs="Calibri"/>
          <w:color w:val="000000"/>
          <w:kern w:val="0"/>
        </w:rPr>
        <w:footnoteReference w:id="106"/>
      </w:r>
      <w:r w:rsidR="00806527" w:rsidRPr="004C77D8">
        <w:rPr>
          <w:rFonts w:ascii="Calibri" w:hAnsi="Calibri" w:cs="Calibri"/>
          <w:color w:val="000000"/>
          <w:kern w:val="0"/>
        </w:rPr>
        <w:t xml:space="preserve"> </w:t>
      </w:r>
      <w:r w:rsidR="00773F7C" w:rsidRPr="004C77D8">
        <w:rPr>
          <w:rFonts w:ascii="Calibri" w:hAnsi="Calibri" w:cs="Calibri"/>
        </w:rPr>
        <w:t xml:space="preserve">The tenure </w:t>
      </w:r>
      <w:r w:rsidR="00773F7C" w:rsidRPr="2F1CA799">
        <w:t xml:space="preserve">of his very appointment as Chancellor coincided </w:t>
      </w:r>
      <w:r w:rsidR="00BC3C1A" w:rsidRPr="2F1CA799">
        <w:t>with the</w:t>
      </w:r>
      <w:r w:rsidR="00773F7C" w:rsidRPr="2F1CA799">
        <w:t xml:space="preserve"> years in which Balfour played a decisive role in Britain’s imperial foreign policy. In this twofold role</w:t>
      </w:r>
      <w:r w:rsidR="00BC3C1A" w:rsidRPr="2F1CA799">
        <w:t xml:space="preserve">, </w:t>
      </w:r>
      <w:r w:rsidR="00773F7C" w:rsidRPr="2F1CA799">
        <w:t>he inaugurated the beginning of a settler</w:t>
      </w:r>
      <w:r w:rsidR="00492A47">
        <w:t>-</w:t>
      </w:r>
      <w:r w:rsidR="00773F7C" w:rsidRPr="2F1CA799">
        <w:t xml:space="preserve">colonial formation in Palestine through the signing of a declaration on Palestine, which would come to be named after him as the Balfour Declaration. </w:t>
      </w:r>
    </w:p>
    <w:p w14:paraId="22574B16" w14:textId="679BE375" w:rsidR="002217AD" w:rsidRDefault="00327004" w:rsidP="00057638">
      <w:pPr>
        <w:spacing w:line="259" w:lineRule="auto"/>
        <w:ind w:firstLine="720"/>
      </w:pPr>
      <w:r>
        <w:t>The following section of the Review</w:t>
      </w:r>
      <w:r w:rsidR="00773F7C" w:rsidRPr="20FDD0E9">
        <w:t xml:space="preserve"> is organised in</w:t>
      </w:r>
      <w:r w:rsidR="00D85793" w:rsidRPr="20FDD0E9">
        <w:t>to</w:t>
      </w:r>
      <w:r w:rsidR="00773F7C" w:rsidRPr="20FDD0E9">
        <w:t xml:space="preserve"> </w:t>
      </w:r>
      <w:r w:rsidR="001B6E68">
        <w:t>three</w:t>
      </w:r>
      <w:r w:rsidR="001B6E68" w:rsidRPr="20FDD0E9">
        <w:t xml:space="preserve"> </w:t>
      </w:r>
      <w:r w:rsidR="00773F7C" w:rsidRPr="20FDD0E9">
        <w:t>parts</w:t>
      </w:r>
      <w:r w:rsidR="00D85793" w:rsidRPr="20FDD0E9">
        <w:t xml:space="preserve"> </w:t>
      </w:r>
      <w:r w:rsidR="007A675F" w:rsidRPr="20FDD0E9">
        <w:t xml:space="preserve">or </w:t>
      </w:r>
      <w:r w:rsidR="00D85793" w:rsidRPr="20FDD0E9">
        <w:t>research findings</w:t>
      </w:r>
      <w:r w:rsidR="009D3181" w:rsidRPr="20FDD0E9">
        <w:t>. F</w:t>
      </w:r>
      <w:r w:rsidR="00773F7C" w:rsidRPr="20FDD0E9">
        <w:t>irst, it analyses the Declaration and its repercussions on Palestine, historically and in the present-day. Second, it examines the development of Balfour’s racial thinking and his policies as a statesman</w:t>
      </w:r>
      <w:r w:rsidR="008539C3" w:rsidRPr="20FDD0E9">
        <w:t xml:space="preserve"> that systematically targeted Palestinians, South Africans and Jewish immigrants in Brita</w:t>
      </w:r>
      <w:r w:rsidR="00C625B0" w:rsidRPr="20FDD0E9">
        <w:t>i</w:t>
      </w:r>
      <w:r w:rsidR="008539C3" w:rsidRPr="20FDD0E9">
        <w:t xml:space="preserve">n </w:t>
      </w:r>
      <w:r w:rsidR="009D3181" w:rsidRPr="20FDD0E9">
        <w:t>at the very time that</w:t>
      </w:r>
      <w:r w:rsidR="00773F7C" w:rsidRPr="20FDD0E9">
        <w:t xml:space="preserve"> he was serving and representing</w:t>
      </w:r>
      <w:r w:rsidR="00790B9D" w:rsidRPr="20FDD0E9">
        <w:t xml:space="preserve"> the</w:t>
      </w:r>
      <w:r w:rsidR="00773F7C" w:rsidRPr="20FDD0E9">
        <w:t xml:space="preserve"> </w:t>
      </w:r>
      <w:r w:rsidR="00A27530" w:rsidRPr="20FDD0E9">
        <w:t>University of Edinburgh</w:t>
      </w:r>
      <w:r w:rsidR="00773F7C" w:rsidRPr="20FDD0E9">
        <w:t xml:space="preserve">. </w:t>
      </w:r>
      <w:r w:rsidR="009D3181" w:rsidRPr="20FDD0E9">
        <w:t>Third</w:t>
      </w:r>
      <w:r w:rsidR="00A153A0" w:rsidRPr="20FDD0E9">
        <w:t xml:space="preserve">, it looks at </w:t>
      </w:r>
      <w:r w:rsidR="00773F7C" w:rsidRPr="20FDD0E9">
        <w:t>Balfour’s trip to Palestine in 1925</w:t>
      </w:r>
      <w:r w:rsidR="00D355ED" w:rsidRPr="20FDD0E9">
        <w:t>,</w:t>
      </w:r>
      <w:r w:rsidR="00773F7C" w:rsidRPr="20FDD0E9">
        <w:t xml:space="preserve"> eight years after the signing of the Declaration and the military conquest of the region by General Edmund Allenby (then Honorary Doctor in Law and Rector </w:t>
      </w:r>
      <w:r w:rsidR="00773F7C" w:rsidRPr="20FDD0E9" w:rsidDel="00AD4597">
        <w:t xml:space="preserve">at </w:t>
      </w:r>
      <w:r w:rsidR="00AD4597">
        <w:t xml:space="preserve">the </w:t>
      </w:r>
      <w:r w:rsidR="00A27530" w:rsidRPr="20FDD0E9">
        <w:t>University of Edinburgh</w:t>
      </w:r>
      <w:r w:rsidR="00773F7C" w:rsidRPr="20FDD0E9">
        <w:t>)</w:t>
      </w:r>
      <w:r w:rsidR="00BD5AE0" w:rsidRPr="20FDD0E9">
        <w:t>, where he</w:t>
      </w:r>
      <w:r w:rsidR="00D355ED" w:rsidRPr="20FDD0E9">
        <w:t xml:space="preserve"> inaugurated the Hebrew University in Jerusalem as part of his broader commitment to the development of imperial education</w:t>
      </w:r>
      <w:r w:rsidR="00773F7C" w:rsidRPr="20FDD0E9">
        <w:t>.</w:t>
      </w:r>
      <w:r w:rsidR="00BD5AE0" w:rsidRPr="20FDD0E9">
        <w:t xml:space="preserve"> </w:t>
      </w:r>
      <w:r w:rsidR="00BD5AE0">
        <w:t>And finally</w:t>
      </w:r>
      <w:r w:rsidR="00BD5AE0" w:rsidRPr="20FDD0E9">
        <w:t>,</w:t>
      </w:r>
      <w:r w:rsidR="001B6E68">
        <w:t xml:space="preserve"> in the conclusion,</w:t>
      </w:r>
      <w:r w:rsidR="00BD5AE0" w:rsidRPr="20FDD0E9">
        <w:t xml:space="preserve"> it </w:t>
      </w:r>
      <w:r w:rsidR="00773F7C" w:rsidRPr="20FDD0E9">
        <w:t>analyse</w:t>
      </w:r>
      <w:r w:rsidR="00BD5AE0" w:rsidRPr="20FDD0E9">
        <w:t>s</w:t>
      </w:r>
      <w:r w:rsidR="00773F7C" w:rsidRPr="20FDD0E9">
        <w:t xml:space="preserve"> </w:t>
      </w:r>
      <w:r w:rsidR="00EF39A7" w:rsidRPr="20FDD0E9">
        <w:t xml:space="preserve">the </w:t>
      </w:r>
      <w:r w:rsidR="00773F7C" w:rsidRPr="20FDD0E9">
        <w:t>imperial afterlife</w:t>
      </w:r>
      <w:r w:rsidR="00EF39A7" w:rsidRPr="20FDD0E9">
        <w:t xml:space="preserve"> of Balfour, notably in terms of</w:t>
      </w:r>
      <w:r w:rsidR="00773F7C" w:rsidRPr="20FDD0E9">
        <w:t xml:space="preserve"> the </w:t>
      </w:r>
      <w:r w:rsidR="00A27530" w:rsidRPr="20FDD0E9">
        <w:t>University of Edinburgh</w:t>
      </w:r>
      <w:r w:rsidR="00773F7C" w:rsidRPr="20FDD0E9">
        <w:t xml:space="preserve">’s </w:t>
      </w:r>
      <w:r w:rsidR="00455EB1">
        <w:t xml:space="preserve">ongoing </w:t>
      </w:r>
      <w:r w:rsidR="00773F7C" w:rsidRPr="20FDD0E9">
        <w:t>entanglement with the contemporary dispossession of Palestinians</w:t>
      </w:r>
      <w:r w:rsidR="0028704C">
        <w:t>. This is</w:t>
      </w:r>
      <w:r w:rsidR="00773F7C" w:rsidRPr="20FDD0E9">
        <w:t xml:space="preserve"> through </w:t>
      </w:r>
      <w:r w:rsidR="0062170E" w:rsidRPr="20FDD0E9">
        <w:t xml:space="preserve">direct and indirect </w:t>
      </w:r>
      <w:r w:rsidR="00773F7C" w:rsidRPr="20FDD0E9">
        <w:t xml:space="preserve">institutional investments </w:t>
      </w:r>
      <w:r w:rsidR="007218BD" w:rsidRPr="20FDD0E9">
        <w:t xml:space="preserve">that </w:t>
      </w:r>
      <w:r w:rsidR="003705D2" w:rsidRPr="20FDD0E9">
        <w:t xml:space="preserve">are </w:t>
      </w:r>
      <w:r w:rsidR="00773F7C" w:rsidRPr="20FDD0E9">
        <w:t>support</w:t>
      </w:r>
      <w:r w:rsidR="003705D2" w:rsidRPr="20FDD0E9">
        <w:t>ing</w:t>
      </w:r>
      <w:r w:rsidR="00773F7C" w:rsidRPr="20FDD0E9">
        <w:t xml:space="preserve"> the Israeli occupation of Palestine and ongoing human rights and international law violations in Gaza</w:t>
      </w:r>
      <w:r w:rsidR="0028704C">
        <w:t>. It also looks at the</w:t>
      </w:r>
      <w:r w:rsidR="0062170E" w:rsidRPr="20FDD0E9">
        <w:t xml:space="preserve"> implications of having adopted the International Holocaust Remembrance Alliance</w:t>
      </w:r>
      <w:r w:rsidR="008E48D5" w:rsidRPr="20FDD0E9">
        <w:t>’s</w:t>
      </w:r>
      <w:r w:rsidR="0062170E" w:rsidRPr="20FDD0E9">
        <w:t xml:space="preserve"> (IHRA) definition of antisemitism</w:t>
      </w:r>
      <w:r w:rsidR="00773F7C" w:rsidRPr="20FDD0E9">
        <w:t xml:space="preserve">. </w:t>
      </w:r>
    </w:p>
    <w:p w14:paraId="315F4CD9" w14:textId="201A6772" w:rsidR="002217AD" w:rsidRPr="00CE42D8" w:rsidRDefault="0094245A" w:rsidP="00057638">
      <w:pPr>
        <w:spacing w:line="259" w:lineRule="auto"/>
        <w:ind w:firstLine="720"/>
        <w:rPr>
          <w:rFonts w:cstheme="minorHAnsi"/>
        </w:rPr>
      </w:pPr>
      <w:r w:rsidRPr="008F6D9B">
        <w:rPr>
          <w:rFonts w:cstheme="minorHAnsi"/>
          <w:color w:val="000000"/>
        </w:rPr>
        <w:t xml:space="preserve">This </w:t>
      </w:r>
      <w:r>
        <w:rPr>
          <w:rFonts w:cstheme="minorHAnsi"/>
          <w:color w:val="000000"/>
        </w:rPr>
        <w:t xml:space="preserve">summary and </w:t>
      </w:r>
      <w:r w:rsidRPr="00D72A0F">
        <w:rPr>
          <w:rFonts w:cstheme="minorHAnsi"/>
          <w:color w:val="000000"/>
        </w:rPr>
        <w:t xml:space="preserve">accompanying Appendix </w:t>
      </w:r>
      <w:r w:rsidR="006D27D9" w:rsidRPr="00D72A0F">
        <w:rPr>
          <w:rFonts w:cstheme="minorHAnsi"/>
          <w:color w:val="000000"/>
        </w:rPr>
        <w:t>3</w:t>
      </w:r>
      <w:r w:rsidRPr="00D72A0F">
        <w:rPr>
          <w:rFonts w:cstheme="minorHAnsi"/>
          <w:color w:val="000000"/>
        </w:rPr>
        <w:t xml:space="preserve"> </w:t>
      </w:r>
      <w:r w:rsidR="0028704C" w:rsidRPr="00D72A0F">
        <w:rPr>
          <w:rFonts w:ascii="Calibri" w:eastAsia="Times New Roman" w:hAnsi="Calibri" w:cs="Calibri"/>
          <w:kern w:val="0"/>
          <w:lang w:eastAsia="en-GB"/>
          <w14:ligatures w14:val="none"/>
        </w:rPr>
        <w:t>are</w:t>
      </w:r>
      <w:r w:rsidR="002217AD" w:rsidRPr="00D72A0F">
        <w:rPr>
          <w:rFonts w:ascii="Calibri" w:eastAsia="Times New Roman" w:hAnsi="Calibri" w:cs="Calibri"/>
          <w:kern w:val="0"/>
          <w:lang w:eastAsia="en-GB"/>
          <w14:ligatures w14:val="none"/>
        </w:rPr>
        <w:t xml:space="preserve"> based</w:t>
      </w:r>
      <w:r w:rsidR="002217AD" w:rsidRPr="002217AD">
        <w:rPr>
          <w:rFonts w:ascii="Calibri" w:eastAsia="Times New Roman" w:hAnsi="Calibri" w:cs="Calibri"/>
          <w:kern w:val="0"/>
          <w:lang w:eastAsia="en-GB"/>
          <w14:ligatures w14:val="none"/>
        </w:rPr>
        <w:t xml:space="preserve"> on</w:t>
      </w:r>
      <w:r w:rsidR="002217AD">
        <w:rPr>
          <w:rFonts w:ascii="Calibri" w:eastAsia="Times New Roman" w:hAnsi="Calibri" w:cs="Calibri"/>
          <w:kern w:val="0"/>
          <w:lang w:eastAsia="en-GB"/>
          <w14:ligatures w14:val="none"/>
        </w:rPr>
        <w:t xml:space="preserve"> both</w:t>
      </w:r>
      <w:r w:rsidR="002217AD" w:rsidRPr="002217AD">
        <w:rPr>
          <w:rFonts w:ascii="Calibri" w:eastAsia="Times New Roman" w:hAnsi="Calibri" w:cs="Calibri"/>
          <w:kern w:val="0"/>
          <w:lang w:eastAsia="en-GB"/>
          <w14:ligatures w14:val="none"/>
        </w:rPr>
        <w:t xml:space="preserve"> primary sources</w:t>
      </w:r>
      <w:r w:rsidR="002217AD">
        <w:rPr>
          <w:rFonts w:ascii="Calibri" w:eastAsia="Times New Roman" w:hAnsi="Calibri" w:cs="Calibri"/>
          <w:kern w:val="0"/>
          <w:lang w:eastAsia="en-GB"/>
          <w14:ligatures w14:val="none"/>
        </w:rPr>
        <w:t xml:space="preserve"> </w:t>
      </w:r>
      <w:r w:rsidR="00E81573">
        <w:rPr>
          <w:rFonts w:ascii="Calibri" w:eastAsia="Times New Roman" w:hAnsi="Calibri" w:cs="Calibri"/>
          <w:kern w:val="0"/>
          <w:lang w:eastAsia="en-GB"/>
          <w14:ligatures w14:val="none"/>
        </w:rPr>
        <w:t xml:space="preserve">and </w:t>
      </w:r>
      <w:r w:rsidR="002217AD">
        <w:rPr>
          <w:rFonts w:ascii="Calibri" w:eastAsia="Times New Roman" w:hAnsi="Calibri" w:cs="Calibri"/>
          <w:kern w:val="0"/>
          <w:lang w:eastAsia="en-GB"/>
          <w14:ligatures w14:val="none"/>
        </w:rPr>
        <w:t>secondary</w:t>
      </w:r>
      <w:r w:rsidR="002217AD" w:rsidRPr="002217AD">
        <w:rPr>
          <w:rFonts w:ascii="Calibri" w:eastAsia="Times New Roman" w:hAnsi="Calibri" w:cs="Calibri"/>
          <w:kern w:val="0"/>
          <w:lang w:eastAsia="en-GB"/>
          <w14:ligatures w14:val="none"/>
        </w:rPr>
        <w:t xml:space="preserve"> literature</w:t>
      </w:r>
      <w:r w:rsidR="002217AD">
        <w:rPr>
          <w:rFonts w:ascii="Calibri" w:eastAsia="Times New Roman" w:hAnsi="Calibri" w:cs="Calibri"/>
          <w:kern w:val="0"/>
          <w:lang w:eastAsia="en-GB"/>
          <w14:ligatures w14:val="none"/>
        </w:rPr>
        <w:t xml:space="preserve"> (</w:t>
      </w:r>
      <w:r w:rsidR="00E81573">
        <w:rPr>
          <w:rFonts w:ascii="Calibri" w:eastAsia="Times New Roman" w:hAnsi="Calibri" w:cs="Calibri"/>
          <w:kern w:val="0"/>
          <w:lang w:eastAsia="en-GB"/>
          <w14:ligatures w14:val="none"/>
        </w:rPr>
        <w:t xml:space="preserve">for example, </w:t>
      </w:r>
      <w:r w:rsidR="002217AD">
        <w:rPr>
          <w:rFonts w:ascii="Calibri" w:eastAsia="Times New Roman" w:hAnsi="Calibri" w:cs="Calibri"/>
          <w:kern w:val="0"/>
          <w:lang w:eastAsia="en-GB"/>
          <w14:ligatures w14:val="none"/>
        </w:rPr>
        <w:t xml:space="preserve">relating to the </w:t>
      </w:r>
      <w:r w:rsidR="002217AD" w:rsidRPr="002217AD">
        <w:rPr>
          <w:rFonts w:ascii="Calibri" w:eastAsia="Times New Roman" w:hAnsi="Calibri" w:cs="Calibri"/>
          <w:kern w:val="0"/>
          <w:lang w:eastAsia="en-GB"/>
          <w14:ligatures w14:val="none"/>
        </w:rPr>
        <w:t xml:space="preserve">history of the Zionist colonisation of Palestine and the British Empire, </w:t>
      </w:r>
      <w:r w:rsidR="002217AD">
        <w:rPr>
          <w:rFonts w:ascii="Calibri" w:eastAsia="Times New Roman" w:hAnsi="Calibri" w:cs="Calibri"/>
          <w:kern w:val="0"/>
          <w:lang w:eastAsia="en-GB"/>
          <w14:ligatures w14:val="none"/>
        </w:rPr>
        <w:t xml:space="preserve">the </w:t>
      </w:r>
      <w:r w:rsidR="002217AD" w:rsidRPr="002217AD">
        <w:rPr>
          <w:rFonts w:ascii="Calibri" w:eastAsia="Times New Roman" w:hAnsi="Calibri" w:cs="Calibri"/>
          <w:kern w:val="0"/>
          <w:lang w:eastAsia="en-GB"/>
          <w14:ligatures w14:val="none"/>
        </w:rPr>
        <w:t>history and theory of racial thinkin</w:t>
      </w:r>
      <w:r w:rsidR="00E81573">
        <w:rPr>
          <w:rFonts w:ascii="Calibri" w:eastAsia="Times New Roman" w:hAnsi="Calibri" w:cs="Calibri"/>
          <w:kern w:val="0"/>
          <w:lang w:eastAsia="en-GB"/>
          <w14:ligatures w14:val="none"/>
        </w:rPr>
        <w:t>g and</w:t>
      </w:r>
      <w:r w:rsidR="002217AD" w:rsidRPr="002217AD">
        <w:rPr>
          <w:rFonts w:ascii="Calibri" w:eastAsia="Times New Roman" w:hAnsi="Calibri" w:cs="Calibri"/>
          <w:kern w:val="0"/>
          <w:lang w:eastAsia="en-GB"/>
          <w14:ligatures w14:val="none"/>
        </w:rPr>
        <w:t xml:space="preserve"> </w:t>
      </w:r>
      <w:r w:rsidR="002217AD">
        <w:rPr>
          <w:rFonts w:ascii="Calibri" w:eastAsia="Times New Roman" w:hAnsi="Calibri" w:cs="Calibri"/>
          <w:kern w:val="0"/>
          <w:lang w:eastAsia="en-GB"/>
          <w14:ligatures w14:val="none"/>
        </w:rPr>
        <w:t xml:space="preserve">the </w:t>
      </w:r>
      <w:r w:rsidR="002217AD" w:rsidRPr="002217AD">
        <w:rPr>
          <w:rFonts w:ascii="Calibri" w:eastAsia="Times New Roman" w:hAnsi="Calibri" w:cs="Calibri"/>
          <w:kern w:val="0"/>
          <w:lang w:eastAsia="en-GB"/>
          <w14:ligatures w14:val="none"/>
        </w:rPr>
        <w:t>history of British imperial knowledge production</w:t>
      </w:r>
      <w:r w:rsidR="008E48D5">
        <w:rPr>
          <w:rFonts w:ascii="Calibri" w:eastAsia="Times New Roman" w:hAnsi="Calibri" w:cs="Calibri"/>
          <w:kern w:val="0"/>
          <w:lang w:eastAsia="en-GB"/>
          <w14:ligatures w14:val="none"/>
        </w:rPr>
        <w:t>)</w:t>
      </w:r>
      <w:r w:rsidR="002217AD" w:rsidRPr="002217AD">
        <w:rPr>
          <w:rFonts w:ascii="Calibri" w:eastAsia="Times New Roman" w:hAnsi="Calibri" w:cs="Calibri"/>
          <w:kern w:val="0"/>
          <w:lang w:eastAsia="en-GB"/>
          <w14:ligatures w14:val="none"/>
        </w:rPr>
        <w:t xml:space="preserve">. </w:t>
      </w:r>
      <w:r w:rsidR="00E81573">
        <w:rPr>
          <w:rFonts w:ascii="Calibri" w:eastAsia="Times New Roman" w:hAnsi="Calibri" w:cs="Calibri"/>
          <w:kern w:val="0"/>
          <w:lang w:eastAsia="en-GB"/>
          <w14:ligatures w14:val="none"/>
        </w:rPr>
        <w:t xml:space="preserve">Primary sources </w:t>
      </w:r>
      <w:r w:rsidR="002217AD" w:rsidRPr="002217AD">
        <w:rPr>
          <w:rFonts w:ascii="Calibri" w:eastAsia="Times New Roman" w:hAnsi="Calibri" w:cs="Calibri"/>
          <w:kern w:val="0"/>
          <w:lang w:eastAsia="en-GB"/>
          <w14:ligatures w14:val="none"/>
        </w:rPr>
        <w:t>include</w:t>
      </w:r>
      <w:r w:rsidR="00E81573">
        <w:rPr>
          <w:rFonts w:ascii="Calibri" w:eastAsia="Times New Roman" w:hAnsi="Calibri" w:cs="Calibri"/>
          <w:kern w:val="0"/>
          <w:lang w:eastAsia="en-GB"/>
          <w14:ligatures w14:val="none"/>
        </w:rPr>
        <w:t>,</w:t>
      </w:r>
      <w:r w:rsidR="002217AD" w:rsidRPr="002217AD">
        <w:rPr>
          <w:rFonts w:ascii="Calibri" w:eastAsia="Times New Roman" w:hAnsi="Calibri" w:cs="Calibri"/>
          <w:kern w:val="0"/>
          <w:lang w:eastAsia="en-GB"/>
          <w14:ligatures w14:val="none"/>
        </w:rPr>
        <w:t xml:space="preserve"> but are not limited to, </w:t>
      </w:r>
      <w:r w:rsidR="0028704C">
        <w:rPr>
          <w:rFonts w:ascii="Calibri" w:eastAsia="Times New Roman" w:hAnsi="Calibri" w:cs="Calibri"/>
          <w:kern w:val="0"/>
          <w:lang w:eastAsia="en-GB"/>
          <w14:ligatures w14:val="none"/>
        </w:rPr>
        <w:t xml:space="preserve">the </w:t>
      </w:r>
      <w:r w:rsidR="00A27530">
        <w:rPr>
          <w:rFonts w:ascii="Calibri" w:eastAsia="Times New Roman" w:hAnsi="Calibri" w:cs="Calibri"/>
          <w:kern w:val="0"/>
          <w:lang w:eastAsia="en-GB"/>
          <w14:ligatures w14:val="none"/>
        </w:rPr>
        <w:t>University of Edinburgh</w:t>
      </w:r>
      <w:r w:rsidR="002217AD" w:rsidRPr="002217AD">
        <w:rPr>
          <w:rFonts w:ascii="Calibri" w:eastAsia="Times New Roman" w:hAnsi="Calibri" w:cs="Calibri"/>
          <w:kern w:val="0"/>
          <w:lang w:eastAsia="en-GB"/>
          <w14:ligatures w14:val="none"/>
        </w:rPr>
        <w:t>’s</w:t>
      </w:r>
      <w:r w:rsidR="00E81573">
        <w:rPr>
          <w:rFonts w:ascii="Calibri" w:eastAsia="Times New Roman" w:hAnsi="Calibri" w:cs="Calibri"/>
          <w:kern w:val="0"/>
          <w:lang w:eastAsia="en-GB"/>
          <w14:ligatures w14:val="none"/>
        </w:rPr>
        <w:t xml:space="preserve"> </w:t>
      </w:r>
      <w:r w:rsidR="002217AD" w:rsidRPr="002217AD">
        <w:rPr>
          <w:rFonts w:ascii="Calibri" w:eastAsia="Times New Roman" w:hAnsi="Calibri" w:cs="Calibri"/>
          <w:kern w:val="0"/>
          <w:lang w:eastAsia="en-GB"/>
          <w14:ligatures w14:val="none"/>
        </w:rPr>
        <w:t>institutional records (Court, Senatus Academicus, Accounts), student societies journals,</w:t>
      </w:r>
      <w:r w:rsidR="008E48D5">
        <w:rPr>
          <w:rFonts w:ascii="Calibri" w:eastAsia="Times New Roman" w:hAnsi="Calibri" w:cs="Calibri"/>
          <w:kern w:val="0"/>
          <w:lang w:eastAsia="en-GB"/>
          <w14:ligatures w14:val="none"/>
        </w:rPr>
        <w:t xml:space="preserve"> and archival</w:t>
      </w:r>
      <w:r w:rsidR="002217AD" w:rsidRPr="002217AD">
        <w:rPr>
          <w:rFonts w:ascii="Calibri" w:eastAsia="Times New Roman" w:hAnsi="Calibri" w:cs="Calibri"/>
          <w:kern w:val="0"/>
          <w:lang w:eastAsia="en-GB"/>
          <w14:ligatures w14:val="none"/>
        </w:rPr>
        <w:t xml:space="preserve"> records on Arthur James Balfour, Edmund Allenby and the Patrick Geddes collection. In person and remote research in archives beyond the </w:t>
      </w:r>
      <w:r w:rsidR="00A27530">
        <w:rPr>
          <w:rFonts w:ascii="Calibri" w:eastAsia="Times New Roman" w:hAnsi="Calibri" w:cs="Calibri"/>
          <w:kern w:val="0"/>
          <w:lang w:eastAsia="en-GB"/>
          <w14:ligatures w14:val="none"/>
        </w:rPr>
        <w:t>University of Edinburgh</w:t>
      </w:r>
      <w:r w:rsidR="002217AD" w:rsidRPr="002217AD">
        <w:rPr>
          <w:rFonts w:ascii="Calibri" w:eastAsia="Times New Roman" w:hAnsi="Calibri" w:cs="Calibri"/>
          <w:kern w:val="0"/>
          <w:lang w:eastAsia="en-GB"/>
          <w14:ligatures w14:val="none"/>
        </w:rPr>
        <w:t xml:space="preserve"> records included National Records of Scotland, National Library of Scotland, Library of the Congress</w:t>
      </w:r>
      <w:r w:rsidR="00E81573">
        <w:rPr>
          <w:rFonts w:ascii="Calibri" w:eastAsia="Times New Roman" w:hAnsi="Calibri" w:cs="Calibri"/>
          <w:kern w:val="0"/>
          <w:lang w:eastAsia="en-GB"/>
          <w14:ligatures w14:val="none"/>
        </w:rPr>
        <w:t xml:space="preserve"> and</w:t>
      </w:r>
      <w:r w:rsidR="002217AD" w:rsidRPr="002217AD">
        <w:rPr>
          <w:rFonts w:ascii="Calibri" w:eastAsia="Times New Roman" w:hAnsi="Calibri" w:cs="Calibri"/>
          <w:kern w:val="0"/>
          <w:lang w:eastAsia="en-GB"/>
          <w14:ligatures w14:val="none"/>
        </w:rPr>
        <w:t xml:space="preserve"> British Path</w:t>
      </w:r>
      <w:r w:rsidR="00CE42D8">
        <w:rPr>
          <w:rFonts w:ascii="Calibri" w:eastAsia="Times New Roman" w:hAnsi="Calibri" w:cs="Calibri"/>
          <w:kern w:val="0"/>
          <w:lang w:eastAsia="en-GB"/>
          <w14:ligatures w14:val="none"/>
        </w:rPr>
        <w:t>é</w:t>
      </w:r>
      <w:r w:rsidR="002217AD" w:rsidRPr="002217AD">
        <w:rPr>
          <w:rFonts w:ascii="Calibri" w:eastAsia="Times New Roman" w:hAnsi="Calibri" w:cs="Calibri"/>
          <w:kern w:val="0"/>
          <w:lang w:eastAsia="en-GB"/>
          <w14:ligatures w14:val="none"/>
        </w:rPr>
        <w:t xml:space="preserve">. The research on contemporary </w:t>
      </w:r>
      <w:r w:rsidR="00A27530">
        <w:rPr>
          <w:rFonts w:ascii="Calibri" w:eastAsia="Times New Roman" w:hAnsi="Calibri" w:cs="Calibri"/>
          <w:kern w:val="0"/>
          <w:lang w:eastAsia="en-GB"/>
          <w14:ligatures w14:val="none"/>
        </w:rPr>
        <w:t>University</w:t>
      </w:r>
      <w:r w:rsidR="002217AD" w:rsidRPr="002217AD" w:rsidDel="0028704C">
        <w:rPr>
          <w:rFonts w:ascii="Calibri" w:eastAsia="Times New Roman" w:hAnsi="Calibri" w:cs="Calibri"/>
          <w:kern w:val="0"/>
          <w:lang w:eastAsia="en-GB"/>
          <w14:ligatures w14:val="none"/>
        </w:rPr>
        <w:t xml:space="preserve"> </w:t>
      </w:r>
      <w:r w:rsidR="002217AD" w:rsidRPr="002217AD">
        <w:rPr>
          <w:rFonts w:ascii="Calibri" w:eastAsia="Times New Roman" w:hAnsi="Calibri" w:cs="Calibri"/>
          <w:kern w:val="0"/>
          <w:lang w:eastAsia="en-GB"/>
          <w14:ligatures w14:val="none"/>
        </w:rPr>
        <w:t xml:space="preserve">investments </w:t>
      </w:r>
      <w:r w:rsidR="00C93BDB">
        <w:rPr>
          <w:rFonts w:ascii="Calibri" w:eastAsia="Times New Roman" w:hAnsi="Calibri" w:cs="Calibri"/>
          <w:kern w:val="0"/>
          <w:lang w:eastAsia="en-GB"/>
          <w14:ligatures w14:val="none"/>
        </w:rPr>
        <w:t>supporting</w:t>
      </w:r>
      <w:r w:rsidR="00C93BDB" w:rsidRPr="002217AD">
        <w:rPr>
          <w:rFonts w:ascii="Calibri" w:eastAsia="Times New Roman" w:hAnsi="Calibri" w:cs="Calibri"/>
          <w:kern w:val="0"/>
          <w:lang w:eastAsia="en-GB"/>
          <w14:ligatures w14:val="none"/>
        </w:rPr>
        <w:t xml:space="preserve"> </w:t>
      </w:r>
      <w:r w:rsidR="002217AD" w:rsidRPr="002217AD">
        <w:rPr>
          <w:rFonts w:ascii="Calibri" w:eastAsia="Times New Roman" w:hAnsi="Calibri" w:cs="Calibri"/>
          <w:kern w:val="0"/>
          <w:lang w:eastAsia="en-GB"/>
          <w14:ligatures w14:val="none"/>
        </w:rPr>
        <w:t>settler</w:t>
      </w:r>
      <w:r w:rsidR="006D1C88">
        <w:rPr>
          <w:rFonts w:ascii="Calibri" w:eastAsia="Times New Roman" w:hAnsi="Calibri" w:cs="Calibri"/>
          <w:kern w:val="0"/>
          <w:lang w:eastAsia="en-GB"/>
          <w14:ligatures w14:val="none"/>
        </w:rPr>
        <w:t>-</w:t>
      </w:r>
      <w:r w:rsidR="002217AD" w:rsidRPr="002217AD">
        <w:rPr>
          <w:rFonts w:ascii="Calibri" w:eastAsia="Times New Roman" w:hAnsi="Calibri" w:cs="Calibri"/>
          <w:kern w:val="0"/>
          <w:lang w:eastAsia="en-GB"/>
          <w14:ligatures w14:val="none"/>
        </w:rPr>
        <w:t xml:space="preserve">colonial dispossession and </w:t>
      </w:r>
      <w:r w:rsidR="00CE42D8">
        <w:rPr>
          <w:rFonts w:ascii="Calibri" w:eastAsia="Times New Roman" w:hAnsi="Calibri" w:cs="Calibri"/>
          <w:kern w:val="0"/>
          <w:lang w:eastAsia="en-GB"/>
          <w14:ligatures w14:val="none"/>
        </w:rPr>
        <w:t>‘</w:t>
      </w:r>
      <w:r w:rsidR="002217AD" w:rsidRPr="002217AD">
        <w:rPr>
          <w:rFonts w:ascii="Calibri" w:eastAsia="Times New Roman" w:hAnsi="Calibri" w:cs="Calibri"/>
          <w:kern w:val="0"/>
          <w:lang w:eastAsia="en-GB"/>
          <w14:ligatures w14:val="none"/>
        </w:rPr>
        <w:t>plausible genocide</w:t>
      </w:r>
      <w:r w:rsidR="00CE42D8">
        <w:rPr>
          <w:rFonts w:ascii="Calibri" w:eastAsia="Times New Roman" w:hAnsi="Calibri" w:cs="Calibri"/>
          <w:kern w:val="0"/>
          <w:lang w:eastAsia="en-GB"/>
          <w14:ligatures w14:val="none"/>
        </w:rPr>
        <w:t>’</w:t>
      </w:r>
      <w:r w:rsidR="002217AD" w:rsidRPr="002217AD">
        <w:rPr>
          <w:rFonts w:ascii="Calibri" w:eastAsia="Times New Roman" w:hAnsi="Calibri" w:cs="Calibri"/>
          <w:kern w:val="0"/>
          <w:lang w:eastAsia="en-GB"/>
          <w14:ligatures w14:val="none"/>
        </w:rPr>
        <w:t xml:space="preserve"> in Palestine </w:t>
      </w:r>
      <w:r w:rsidR="00C93BDB">
        <w:rPr>
          <w:rFonts w:ascii="Calibri" w:eastAsia="Times New Roman" w:hAnsi="Calibri" w:cs="Calibri"/>
          <w:kern w:val="0"/>
          <w:lang w:eastAsia="en-GB"/>
          <w14:ligatures w14:val="none"/>
        </w:rPr>
        <w:t>is</w:t>
      </w:r>
      <w:r w:rsidR="00C93BDB" w:rsidRPr="002217AD">
        <w:rPr>
          <w:rFonts w:ascii="Calibri" w:eastAsia="Times New Roman" w:hAnsi="Calibri" w:cs="Calibri"/>
          <w:kern w:val="0"/>
          <w:lang w:eastAsia="en-GB"/>
          <w14:ligatures w14:val="none"/>
        </w:rPr>
        <w:t xml:space="preserve"> </w:t>
      </w:r>
      <w:r w:rsidR="002217AD" w:rsidRPr="002217AD">
        <w:rPr>
          <w:rFonts w:ascii="Calibri" w:eastAsia="Times New Roman" w:hAnsi="Calibri" w:cs="Calibri"/>
          <w:kern w:val="0"/>
          <w:lang w:eastAsia="en-GB"/>
          <w14:ligatures w14:val="none"/>
        </w:rPr>
        <w:t>based on</w:t>
      </w:r>
      <w:r w:rsidR="00893527">
        <w:rPr>
          <w:rFonts w:ascii="Calibri" w:eastAsia="Times New Roman" w:hAnsi="Calibri" w:cs="Calibri"/>
          <w:kern w:val="0"/>
          <w:lang w:eastAsia="en-GB"/>
          <w14:ligatures w14:val="none"/>
        </w:rPr>
        <w:t>:</w:t>
      </w:r>
      <w:r w:rsidR="002217AD" w:rsidRPr="002217AD">
        <w:rPr>
          <w:rFonts w:ascii="Calibri" w:eastAsia="Times New Roman" w:hAnsi="Calibri" w:cs="Calibri"/>
          <w:kern w:val="0"/>
          <w:lang w:eastAsia="en-GB"/>
          <w14:ligatures w14:val="none"/>
        </w:rPr>
        <w:t xml:space="preserve"> International Court of Justice and International Criminal Court records of investigations on the events in Gaza after October 2023</w:t>
      </w:r>
      <w:r w:rsidR="00A205C0">
        <w:rPr>
          <w:rFonts w:ascii="Calibri" w:eastAsia="Times New Roman" w:hAnsi="Calibri" w:cs="Calibri"/>
          <w:kern w:val="0"/>
          <w:lang w:eastAsia="en-GB"/>
          <w14:ligatures w14:val="none"/>
        </w:rPr>
        <w:t>,</w:t>
      </w:r>
      <w:r w:rsidR="00A205C0" w:rsidRPr="002217AD">
        <w:rPr>
          <w:rFonts w:ascii="Calibri" w:eastAsia="Times New Roman" w:hAnsi="Calibri" w:cs="Calibri"/>
          <w:kern w:val="0"/>
          <w:lang w:eastAsia="en-GB"/>
          <w14:ligatures w14:val="none"/>
        </w:rPr>
        <w:t xml:space="preserve"> </w:t>
      </w:r>
      <w:r w:rsidR="002217AD" w:rsidRPr="002217AD">
        <w:rPr>
          <w:rFonts w:ascii="Calibri" w:eastAsia="Times New Roman" w:hAnsi="Calibri" w:cs="Calibri"/>
          <w:kern w:val="0"/>
          <w:lang w:eastAsia="en-GB"/>
          <w14:ligatures w14:val="none"/>
        </w:rPr>
        <w:t xml:space="preserve">media, </w:t>
      </w:r>
      <w:r w:rsidR="00A205C0">
        <w:rPr>
          <w:rFonts w:ascii="Calibri" w:eastAsia="Times New Roman" w:hAnsi="Calibri" w:cs="Calibri"/>
          <w:kern w:val="0"/>
          <w:lang w:eastAsia="en-GB"/>
          <w14:ligatures w14:val="none"/>
        </w:rPr>
        <w:t xml:space="preserve">the </w:t>
      </w:r>
      <w:r w:rsidR="002217AD" w:rsidRPr="002217AD">
        <w:rPr>
          <w:rFonts w:ascii="Calibri" w:eastAsia="Times New Roman" w:hAnsi="Calibri" w:cs="Calibri"/>
          <w:kern w:val="0"/>
          <w:lang w:eastAsia="en-GB"/>
          <w14:ligatures w14:val="none"/>
        </w:rPr>
        <w:t>United Nations, advocacy and human rights organisations, as well as staff/students reports</w:t>
      </w:r>
      <w:r w:rsidR="0011407E">
        <w:rPr>
          <w:rFonts w:ascii="Calibri" w:eastAsia="Times New Roman" w:hAnsi="Calibri" w:cs="Calibri"/>
          <w:kern w:val="0"/>
          <w:lang w:eastAsia="en-GB"/>
          <w14:ligatures w14:val="none"/>
        </w:rPr>
        <w:t xml:space="preserve"> </w:t>
      </w:r>
      <w:r w:rsidR="002217AD" w:rsidRPr="002217AD">
        <w:rPr>
          <w:rFonts w:ascii="Calibri" w:eastAsia="Times New Roman" w:hAnsi="Calibri" w:cs="Calibri"/>
          <w:kern w:val="0"/>
          <w:lang w:eastAsia="en-GB"/>
          <w14:ligatures w14:val="none"/>
        </w:rPr>
        <w:t>on companies</w:t>
      </w:r>
      <w:r w:rsidR="0011407E">
        <w:rPr>
          <w:rFonts w:ascii="Calibri" w:eastAsia="Times New Roman" w:hAnsi="Calibri" w:cs="Calibri"/>
          <w:kern w:val="0"/>
          <w:lang w:eastAsia="en-GB"/>
          <w14:ligatures w14:val="none"/>
        </w:rPr>
        <w:t xml:space="preserve"> that are</w:t>
      </w:r>
      <w:r w:rsidR="002217AD" w:rsidRPr="002217AD">
        <w:rPr>
          <w:rFonts w:ascii="Calibri" w:eastAsia="Times New Roman" w:hAnsi="Calibri" w:cs="Calibri"/>
          <w:kern w:val="0"/>
          <w:lang w:eastAsia="en-GB"/>
          <w14:ligatures w14:val="none"/>
        </w:rPr>
        <w:t xml:space="preserve"> complicit with human rights, international law and Genocide Convention violations in the occupied Palestinian territories; </w:t>
      </w:r>
      <w:r w:rsidR="0011407E">
        <w:rPr>
          <w:rFonts w:ascii="Calibri" w:eastAsia="Times New Roman" w:hAnsi="Calibri" w:cs="Calibri"/>
          <w:kern w:val="0"/>
          <w:lang w:eastAsia="en-GB"/>
          <w14:ligatures w14:val="none"/>
        </w:rPr>
        <w:t xml:space="preserve">the </w:t>
      </w:r>
      <w:r w:rsidR="00A27530">
        <w:rPr>
          <w:rFonts w:ascii="Calibri" w:eastAsia="Times New Roman" w:hAnsi="Calibri" w:cs="Calibri"/>
          <w:kern w:val="0"/>
          <w:lang w:eastAsia="en-GB"/>
          <w14:ligatures w14:val="none"/>
        </w:rPr>
        <w:t>University of Edinburgh</w:t>
      </w:r>
      <w:r w:rsidR="0011407E">
        <w:rPr>
          <w:rFonts w:ascii="Calibri" w:eastAsia="Times New Roman" w:hAnsi="Calibri" w:cs="Calibri"/>
          <w:kern w:val="0"/>
          <w:lang w:eastAsia="en-GB"/>
          <w14:ligatures w14:val="none"/>
        </w:rPr>
        <w:t>’s</w:t>
      </w:r>
      <w:r w:rsidR="002217AD" w:rsidRPr="002217AD">
        <w:rPr>
          <w:rFonts w:ascii="Calibri" w:eastAsia="Times New Roman" w:hAnsi="Calibri" w:cs="Calibri"/>
          <w:kern w:val="0"/>
          <w:lang w:eastAsia="en-GB"/>
          <w14:ligatures w14:val="none"/>
        </w:rPr>
        <w:t xml:space="preserve"> official institutional communications on the process of</w:t>
      </w:r>
      <w:r w:rsidR="00FA359B">
        <w:rPr>
          <w:rFonts w:ascii="Calibri" w:eastAsia="Times New Roman" w:hAnsi="Calibri" w:cs="Calibri"/>
          <w:kern w:val="0"/>
          <w:lang w:eastAsia="en-GB"/>
          <w14:ligatures w14:val="none"/>
        </w:rPr>
        <w:t xml:space="preserve"> the</w:t>
      </w:r>
      <w:r w:rsidR="002217AD" w:rsidRPr="002217AD">
        <w:rPr>
          <w:rFonts w:ascii="Calibri" w:eastAsia="Times New Roman" w:hAnsi="Calibri" w:cs="Calibri"/>
          <w:kern w:val="0"/>
          <w:lang w:eastAsia="en-GB"/>
          <w14:ligatures w14:val="none"/>
        </w:rPr>
        <w:t xml:space="preserve"> reform of responsible investments, as well as the </w:t>
      </w:r>
      <w:r w:rsidR="002217AD" w:rsidRPr="002217AD">
        <w:rPr>
          <w:rFonts w:ascii="Calibri" w:eastAsia="Times New Roman" w:hAnsi="Calibri" w:cs="Calibri"/>
          <w:kern w:val="0"/>
          <w:lang w:eastAsia="en-GB"/>
          <w14:ligatures w14:val="none"/>
        </w:rPr>
        <w:lastRenderedPageBreak/>
        <w:t xml:space="preserve">archives of the community mobilisation preserved by different groups and </w:t>
      </w:r>
      <w:r w:rsidR="009C22D2">
        <w:rPr>
          <w:rFonts w:ascii="Calibri" w:eastAsia="Times New Roman" w:hAnsi="Calibri" w:cs="Calibri"/>
          <w:kern w:val="0"/>
          <w:lang w:eastAsia="en-GB"/>
          <w14:ligatures w14:val="none"/>
        </w:rPr>
        <w:t xml:space="preserve">divestment campaign </w:t>
      </w:r>
      <w:r w:rsidR="002217AD" w:rsidRPr="002217AD">
        <w:rPr>
          <w:rFonts w:ascii="Calibri" w:eastAsia="Times New Roman" w:hAnsi="Calibri" w:cs="Calibri"/>
          <w:kern w:val="0"/>
          <w:lang w:eastAsia="en-GB"/>
          <w14:ligatures w14:val="none"/>
        </w:rPr>
        <w:t>participants.</w:t>
      </w:r>
    </w:p>
    <w:p w14:paraId="1C746E79" w14:textId="77777777" w:rsidR="009171D8" w:rsidRPr="002217AD" w:rsidRDefault="009171D8" w:rsidP="002217AD">
      <w:pPr>
        <w:spacing w:line="259" w:lineRule="auto"/>
        <w:ind w:firstLine="720"/>
        <w:jc w:val="both"/>
        <w:rPr>
          <w:rFonts w:cstheme="minorHAnsi"/>
        </w:rPr>
      </w:pPr>
    </w:p>
    <w:p w14:paraId="69413F77" w14:textId="12A76D7D" w:rsidR="009171D8" w:rsidRPr="009171D8" w:rsidRDefault="009171D8" w:rsidP="00130766">
      <w:pPr>
        <w:pStyle w:val="Heading3"/>
      </w:pPr>
      <w:bookmarkStart w:id="46" w:name="_Toc190939414"/>
      <w:bookmarkStart w:id="47" w:name="_Toc202627097"/>
      <w:r w:rsidRPr="009171D8">
        <w:t>Key Research Findings</w:t>
      </w:r>
      <w:bookmarkEnd w:id="46"/>
      <w:bookmarkEnd w:id="47"/>
    </w:p>
    <w:p w14:paraId="64DF4C27" w14:textId="7DF8D82B" w:rsidR="00773F7C" w:rsidRPr="009171D8" w:rsidRDefault="00432C3D" w:rsidP="00130766">
      <w:pPr>
        <w:pStyle w:val="Heading4"/>
      </w:pPr>
      <w:r w:rsidRPr="009171D8">
        <w:t xml:space="preserve">Research </w:t>
      </w:r>
      <w:r w:rsidR="009171D8" w:rsidRPr="009171D8">
        <w:t>F</w:t>
      </w:r>
      <w:r w:rsidRPr="009171D8">
        <w:t xml:space="preserve">inding 1: </w:t>
      </w:r>
      <w:r w:rsidR="009171D8" w:rsidRPr="009171D8">
        <w:t>The</w:t>
      </w:r>
      <w:r w:rsidR="00773F7C" w:rsidRPr="009171D8">
        <w:t xml:space="preserve"> Balfour Declaration</w:t>
      </w:r>
      <w:r w:rsidR="009171D8" w:rsidRPr="009171D8">
        <w:t xml:space="preserve"> — An Explanation</w:t>
      </w:r>
      <w:r w:rsidR="00773F7C" w:rsidRPr="009171D8">
        <w:t xml:space="preserve"> </w:t>
      </w:r>
    </w:p>
    <w:p w14:paraId="7D728933" w14:textId="0EB6D888" w:rsidR="00773F7C" w:rsidRPr="0017357E" w:rsidRDefault="00773F7C" w:rsidP="00057638">
      <w:pPr>
        <w:spacing w:line="259" w:lineRule="auto"/>
        <w:rPr>
          <w:rFonts w:eastAsia="Calibri"/>
        </w:rPr>
      </w:pPr>
      <w:r w:rsidRPr="5718D05C">
        <w:rPr>
          <w:rFonts w:eastAsia="Calibri"/>
        </w:rPr>
        <w:t xml:space="preserve">The Balfour Declaration was a 67-word </w:t>
      </w:r>
      <w:r w:rsidRPr="5718D05C">
        <w:t>letter of intent addressed to Lord Rothschild, the figurehead of the British Jewish community. In this promise, with no legal basis, Balfour endorsed the idea of a territori</w:t>
      </w:r>
      <w:r w:rsidR="00517CC1" w:rsidRPr="5718D05C">
        <w:t>al-</w:t>
      </w:r>
      <w:r w:rsidRPr="5718D05C">
        <w:t>based</w:t>
      </w:r>
      <w:r w:rsidR="00517CC1" w:rsidRPr="5718D05C">
        <w:t>,</w:t>
      </w:r>
      <w:r w:rsidRPr="5718D05C">
        <w:t xml:space="preserve"> national Jewish home inside Palestine while simultaneously denying Palestine’s </w:t>
      </w:r>
      <w:r w:rsidR="00517CC1" w:rsidRPr="5718D05C">
        <w:t>I</w:t>
      </w:r>
      <w:r w:rsidRPr="5718D05C">
        <w:t xml:space="preserve">ndigenous community from recognition as </w:t>
      </w:r>
      <w:r w:rsidR="76158574" w:rsidRPr="5718D05C">
        <w:t xml:space="preserve">a people </w:t>
      </w:r>
      <w:r w:rsidRPr="5718D05C">
        <w:t xml:space="preserve">with </w:t>
      </w:r>
      <w:r w:rsidRPr="5718D05C">
        <w:rPr>
          <w:i/>
        </w:rPr>
        <w:t xml:space="preserve">national </w:t>
      </w:r>
      <w:r w:rsidRPr="5718D05C">
        <w:t xml:space="preserve">rights to self-determination. While there were several drafts of this Declaration, </w:t>
      </w:r>
      <w:r w:rsidRPr="5718D05C">
        <w:rPr>
          <w:rFonts w:eastAsia="Calibri"/>
        </w:rPr>
        <w:t xml:space="preserve">the final version was issued on 2 November 1917 and declared the following: </w:t>
      </w:r>
    </w:p>
    <w:p w14:paraId="2E066DED" w14:textId="77777777" w:rsidR="00773F7C" w:rsidRPr="0017357E" w:rsidRDefault="00773F7C" w:rsidP="00057638">
      <w:pPr>
        <w:spacing w:line="259" w:lineRule="auto"/>
        <w:ind w:firstLine="720"/>
        <w:rPr>
          <w:rFonts w:eastAsia="Calibri" w:cstheme="minorHAnsi"/>
        </w:rPr>
      </w:pPr>
    </w:p>
    <w:p w14:paraId="47B3F570" w14:textId="077E9838" w:rsidR="00773F7C" w:rsidRPr="0017357E" w:rsidRDefault="00773F7C" w:rsidP="00057638">
      <w:pPr>
        <w:spacing w:line="259" w:lineRule="auto"/>
        <w:ind w:left="284" w:right="284"/>
        <w:rPr>
          <w:rFonts w:eastAsia="Calibri" w:cstheme="minorHAnsi"/>
          <w:sz w:val="22"/>
          <w:szCs w:val="22"/>
        </w:rPr>
      </w:pPr>
      <w:r w:rsidRPr="0017357E">
        <w:rPr>
          <w:rFonts w:cstheme="minorHAnsi"/>
          <w:color w:val="000000"/>
          <w:sz w:val="22"/>
          <w:szCs w:val="22"/>
          <w:shd w:val="clear" w:color="auto" w:fill="FFFFFF"/>
        </w:rPr>
        <w:t>His Majesty</w:t>
      </w:r>
      <w:r w:rsidR="00F24600">
        <w:rPr>
          <w:rFonts w:cstheme="minorHAnsi"/>
          <w:color w:val="000000"/>
          <w:sz w:val="22"/>
          <w:szCs w:val="22"/>
          <w:shd w:val="clear" w:color="auto" w:fill="FFFFFF"/>
        </w:rPr>
        <w:t>’</w:t>
      </w:r>
      <w:r w:rsidRPr="0017357E">
        <w:rPr>
          <w:rFonts w:cstheme="minorHAnsi"/>
          <w:color w:val="000000"/>
          <w:sz w:val="22"/>
          <w:szCs w:val="22"/>
          <w:shd w:val="clear" w:color="auto" w:fill="FFFFFF"/>
        </w:rPr>
        <w:t>s Government view with favour the establishment in Palestine of a national home for the Jewish people, and will use their best endeavours to facilitate the achievement of this object, it being clearly understood that nothing shall be done which may prejudice the civil and religious rights of existing non-Jewish communities in Palestine, or the rights and political status enjoyed by Jews in any other country.</w:t>
      </w:r>
    </w:p>
    <w:p w14:paraId="5DDBA972" w14:textId="77777777" w:rsidR="00773F7C" w:rsidRPr="0017357E" w:rsidRDefault="00773F7C" w:rsidP="00057638">
      <w:pPr>
        <w:spacing w:line="259" w:lineRule="auto"/>
        <w:ind w:left="283" w:right="283" w:firstLine="720"/>
        <w:rPr>
          <w:rFonts w:eastAsia="Calibri" w:cstheme="minorHAnsi"/>
        </w:rPr>
      </w:pPr>
    </w:p>
    <w:p w14:paraId="57682079" w14:textId="13CB562A" w:rsidR="00773F7C" w:rsidRPr="0017357E" w:rsidRDefault="00A6317C" w:rsidP="00057638">
      <w:pPr>
        <w:spacing w:line="259" w:lineRule="auto"/>
      </w:pPr>
      <w:r w:rsidRPr="2F1CA799">
        <w:rPr>
          <w:rFonts w:eastAsia="Calibri"/>
          <w:color w:val="000000" w:themeColor="text1"/>
        </w:rPr>
        <w:t>As</w:t>
      </w:r>
      <w:r w:rsidR="00773F7C" w:rsidRPr="2F1CA799">
        <w:rPr>
          <w:rFonts w:eastAsia="Calibri"/>
          <w:color w:val="000000" w:themeColor="text1"/>
        </w:rPr>
        <w:t xml:space="preserve"> noted by historian Sherene Seikaly,</w:t>
      </w:r>
      <w:r w:rsidR="00773F7C" w:rsidRPr="2F1CA799">
        <w:t xml:space="preserve"> the Declaration defined Palestinians ‘by who they were not’, as non-Jewish communities entitled only to minority civil and religious rights</w:t>
      </w:r>
      <w:r w:rsidR="00277A0A" w:rsidRPr="2F1CA799">
        <w:t xml:space="preserve"> </w:t>
      </w:r>
      <w:r w:rsidR="00773F7C" w:rsidRPr="2F1CA799">
        <w:t>—</w:t>
      </w:r>
      <w:r w:rsidR="00277A0A" w:rsidRPr="2F1CA799">
        <w:t xml:space="preserve"> </w:t>
      </w:r>
      <w:r w:rsidR="00773F7C" w:rsidRPr="2F1CA799">
        <w:t>but not political or national rights</w:t>
      </w:r>
      <w:r w:rsidR="00277A0A" w:rsidRPr="2F1CA799">
        <w:t xml:space="preserve"> </w:t>
      </w:r>
      <w:r w:rsidR="00773F7C" w:rsidRPr="2F1CA799">
        <w:t>—</w:t>
      </w:r>
      <w:r w:rsidR="00277A0A" w:rsidRPr="2F1CA799">
        <w:t xml:space="preserve"> </w:t>
      </w:r>
      <w:r w:rsidR="00773F7C" w:rsidRPr="2F1CA799">
        <w:t>while rendering Palestine a ‘national home’ for an incoming Jewish settler society.</w:t>
      </w:r>
      <w:r w:rsidR="00277A0A" w:rsidRPr="2F1CA799">
        <w:rPr>
          <w:rStyle w:val="FootnoteReference"/>
        </w:rPr>
        <w:footnoteReference w:id="107"/>
      </w:r>
      <w:r w:rsidR="00773F7C" w:rsidRPr="3C6D1E23">
        <w:rPr>
          <w:rStyle w:val="FootnoteReference"/>
        </w:rPr>
        <w:t xml:space="preserve"> </w:t>
      </w:r>
      <w:r w:rsidR="2AA38BAD" w:rsidRPr="3C6D1E23">
        <w:rPr>
          <w:rFonts w:eastAsia="Calibri"/>
          <w:color w:val="000000" w:themeColor="text1"/>
        </w:rPr>
        <w:t xml:space="preserve">In leaving the status of Palestinian political rights unprotected, this Declaration would continue to </w:t>
      </w:r>
      <w:r w:rsidR="2AA38BAD" w:rsidRPr="3C6D1E23">
        <w:rPr>
          <w:rFonts w:eastAsia="Calibri"/>
        </w:rPr>
        <w:t xml:space="preserve">deny </w:t>
      </w:r>
      <w:r w:rsidR="2AA38BAD" w:rsidRPr="3C6D1E23">
        <w:rPr>
          <w:rFonts w:eastAsia="Calibri"/>
          <w:color w:val="000000" w:themeColor="text1"/>
        </w:rPr>
        <w:t>the rights of Palestinian personhood and install a new racial order by means of negation.</w:t>
      </w:r>
      <w:r w:rsidR="6543E2C7" w:rsidRPr="2F1CA799">
        <w:rPr>
          <w:rFonts w:eastAsia="Calibri"/>
          <w:color w:val="000000" w:themeColor="text1"/>
        </w:rPr>
        <w:t xml:space="preserve"> </w:t>
      </w:r>
      <w:r w:rsidR="6543E2C7" w:rsidRPr="5565C2CF">
        <w:rPr>
          <w:rFonts w:eastAsia="Calibri"/>
          <w:color w:val="000000" w:themeColor="text1"/>
        </w:rPr>
        <w:t>Though</w:t>
      </w:r>
      <w:r w:rsidR="2720E19F" w:rsidRPr="3C6D1E23">
        <w:rPr>
          <w:rFonts w:eastAsia="Calibri"/>
          <w:color w:val="000000" w:themeColor="text1"/>
        </w:rPr>
        <w:t xml:space="preserve"> the basis of this </w:t>
      </w:r>
      <w:r w:rsidR="00ED5CFF">
        <w:rPr>
          <w:rFonts w:eastAsia="Calibri"/>
          <w:color w:val="000000" w:themeColor="text1"/>
        </w:rPr>
        <w:t>D</w:t>
      </w:r>
      <w:r w:rsidR="2720E19F" w:rsidRPr="3C6D1E23">
        <w:rPr>
          <w:rFonts w:eastAsia="Calibri"/>
          <w:color w:val="000000" w:themeColor="text1"/>
        </w:rPr>
        <w:t>eclaration was</w:t>
      </w:r>
      <w:r w:rsidR="00773F7C" w:rsidRPr="2F1CA799">
        <w:rPr>
          <w:rFonts w:eastAsia="Calibri"/>
          <w:color w:val="000000" w:themeColor="text1"/>
        </w:rPr>
        <w:t xml:space="preserve"> categorically challenged by Palestinian society and leadership, </w:t>
      </w:r>
      <w:r w:rsidR="00ED5CFF">
        <w:rPr>
          <w:rFonts w:eastAsia="Calibri"/>
          <w:color w:val="000000" w:themeColor="text1"/>
        </w:rPr>
        <w:t>it</w:t>
      </w:r>
      <w:r w:rsidR="00773F7C" w:rsidRPr="2F1CA799">
        <w:rPr>
          <w:rFonts w:eastAsia="Calibri"/>
          <w:color w:val="000000" w:themeColor="text1"/>
        </w:rPr>
        <w:t xml:space="preserve"> became juridically enshrined verbatim as a result of</w:t>
      </w:r>
      <w:r w:rsidR="00686D12">
        <w:rPr>
          <w:rFonts w:eastAsia="Calibri"/>
          <w:color w:val="000000" w:themeColor="text1"/>
        </w:rPr>
        <w:t xml:space="preserve"> </w:t>
      </w:r>
      <w:r w:rsidR="00686D12" w:rsidRPr="009A6443">
        <w:rPr>
          <w:rFonts w:eastAsia="Calibri"/>
          <w:color w:val="000000" w:themeColor="text1"/>
        </w:rPr>
        <w:t>Balfour’s political role as representative of Britain at the League of Nations Council</w:t>
      </w:r>
      <w:r w:rsidR="00686D12">
        <w:rPr>
          <w:rFonts w:eastAsia="Calibri"/>
          <w:color w:val="000000" w:themeColor="text1"/>
        </w:rPr>
        <w:t>.</w:t>
      </w:r>
      <w:r w:rsidR="00686D12" w:rsidRPr="009A6443">
        <w:rPr>
          <w:rFonts w:eastAsia="Calibri"/>
          <w:color w:val="000000" w:themeColor="text1"/>
        </w:rPr>
        <w:t xml:space="preserve"> </w:t>
      </w:r>
      <w:r w:rsidR="00773F7C" w:rsidRPr="2F1CA799">
        <w:rPr>
          <w:rStyle w:val="FootnoteReference"/>
          <w:rFonts w:eastAsia="Calibri"/>
          <w:color w:val="000000" w:themeColor="text1"/>
        </w:rPr>
        <w:footnoteReference w:id="108"/>
      </w:r>
    </w:p>
    <w:p w14:paraId="640AA541" w14:textId="3DCF22D5" w:rsidR="00773F7C" w:rsidRPr="0017357E" w:rsidRDefault="00773F7C" w:rsidP="00057638">
      <w:pPr>
        <w:spacing w:line="259" w:lineRule="auto"/>
        <w:ind w:firstLine="720"/>
      </w:pPr>
      <w:r w:rsidRPr="2F1CA799">
        <w:t>As a British imperial statesman, and in coordination with the Zionist movement, Balfour issued this political statement ‘of dubious legal standing’, since Britain had no authority over the land of Palestine.</w:t>
      </w:r>
      <w:r w:rsidRPr="2F1CA799">
        <w:rPr>
          <w:rStyle w:val="FootnoteReference"/>
        </w:rPr>
        <w:footnoteReference w:id="109"/>
      </w:r>
      <w:r w:rsidRPr="2F1CA799">
        <w:t xml:space="preserve"> However, the juridical framework he architected put in motion a process of partition</w:t>
      </w:r>
      <w:r w:rsidR="00865B05">
        <w:t>ing</w:t>
      </w:r>
      <w:r w:rsidRPr="2F1CA799" w:rsidDel="00865B05">
        <w:t xml:space="preserve"> </w:t>
      </w:r>
      <w:r w:rsidRPr="2F1CA799">
        <w:t>the land based upon naturalised racialised categories</w:t>
      </w:r>
      <w:r w:rsidR="00FA7070" w:rsidRPr="2F1CA799">
        <w:t xml:space="preserve"> that </w:t>
      </w:r>
      <w:r w:rsidRPr="2F1CA799">
        <w:t>treat</w:t>
      </w:r>
      <w:r w:rsidR="001B5955" w:rsidRPr="2F1CA799">
        <w:t>ed</w:t>
      </w:r>
      <w:r w:rsidRPr="2F1CA799">
        <w:t xml:space="preserve"> Palestinians as political infants unfit for national self-determination.</w:t>
      </w:r>
      <w:r w:rsidR="001B5955" w:rsidRPr="2F1CA799">
        <w:t xml:space="preserve"> </w:t>
      </w:r>
      <w:r w:rsidRPr="2F1CA799">
        <w:t>Despite Palestinian resistance against Balfour’s imperial imposition, the Declaration set in motion the processes leading up to the adoption of the UN General Assembly’s Resolution 181, the doctrine which proposed the partition of Palestine and</w:t>
      </w:r>
      <w:r w:rsidR="001B5955" w:rsidRPr="2F1CA799">
        <w:t xml:space="preserve"> the</w:t>
      </w:r>
      <w:r w:rsidRPr="2F1CA799">
        <w:t xml:space="preserve"> splintering of the land in a way that disproportionately favoured an incoming new settler community at the expense of an </w:t>
      </w:r>
      <w:r w:rsidRPr="2F1CA799">
        <w:lastRenderedPageBreak/>
        <w:t>Indigenous people firmly rooted in the land and</w:t>
      </w:r>
      <w:r w:rsidR="009C54BD" w:rsidRPr="2F1CA799">
        <w:t xml:space="preserve"> </w:t>
      </w:r>
      <w:r w:rsidR="00BB77D8">
        <w:t xml:space="preserve">engaged </w:t>
      </w:r>
      <w:r w:rsidR="009C54BD" w:rsidRPr="2F1CA799">
        <w:t>in</w:t>
      </w:r>
      <w:r w:rsidRPr="2F1CA799">
        <w:t xml:space="preserve"> an ongoing struggle</w:t>
      </w:r>
      <w:r w:rsidR="00BB77D8">
        <w:t xml:space="preserve"> for </w:t>
      </w:r>
      <w:r w:rsidR="00BB77D8" w:rsidRPr="2F1CA799">
        <w:t>sovereignty</w:t>
      </w:r>
      <w:r w:rsidRPr="2F1CA799">
        <w:t xml:space="preserve">. Jewish newcomers (settlers and refugees from Europe) who made up roughly one-third of the total population were offered closer </w:t>
      </w:r>
      <w:r w:rsidRPr="0003698A">
        <w:t xml:space="preserve">to </w:t>
      </w:r>
      <w:r w:rsidR="001531CC" w:rsidRPr="0003698A">
        <w:t>56</w:t>
      </w:r>
      <w:r w:rsidR="001531CC">
        <w:t>%</w:t>
      </w:r>
      <w:r w:rsidR="00D77329">
        <w:t xml:space="preserve"> </w:t>
      </w:r>
      <w:r w:rsidRPr="2F1CA799">
        <w:t>of the most fertile land in Palestine</w:t>
      </w:r>
      <w:r w:rsidR="00C23441" w:rsidRPr="2F1CA799">
        <w:t xml:space="preserve">, </w:t>
      </w:r>
      <w:r w:rsidRPr="2F1CA799">
        <w:t xml:space="preserve">including the large cities on the coastal plain. Conversely, Palestinians who </w:t>
      </w:r>
      <w:r w:rsidR="00C23441" w:rsidRPr="2F1CA799">
        <w:t xml:space="preserve">were in the </w:t>
      </w:r>
      <w:r w:rsidRPr="2F1CA799">
        <w:t xml:space="preserve">majority were expected to settle for approximately </w:t>
      </w:r>
      <w:r w:rsidR="0062736A">
        <w:t>40%</w:t>
      </w:r>
      <w:r w:rsidRPr="2F1CA799">
        <w:t xml:space="preserve"> of the inland area. By the start of the 1947</w:t>
      </w:r>
      <w:r w:rsidR="00C23441">
        <w:rPr>
          <w:rFonts w:ascii="Calibri" w:hAnsi="Calibri" w:cs="Calibri"/>
        </w:rPr>
        <w:t>–</w:t>
      </w:r>
      <w:r w:rsidR="00C23441" w:rsidRPr="2F1CA799">
        <w:t>19</w:t>
      </w:r>
      <w:r w:rsidRPr="2F1CA799">
        <w:t xml:space="preserve">48 </w:t>
      </w:r>
      <w:r w:rsidRPr="3C6D1E23">
        <w:rPr>
          <w:i/>
          <w:iCs/>
        </w:rPr>
        <w:t>Nakba</w:t>
      </w:r>
      <w:r w:rsidRPr="2F1CA799">
        <w:t>, 531 villages were destroyed by Zionist militias and approximately 750,000 Palestinians were forced to leave.</w:t>
      </w:r>
      <w:r w:rsidRPr="2F1CA799">
        <w:rPr>
          <w:rStyle w:val="FootnoteReference"/>
        </w:rPr>
        <w:footnoteReference w:id="110"/>
      </w:r>
      <w:r w:rsidRPr="2F1CA799">
        <w:t xml:space="preserve"> They were displaced to different areas of Palestine</w:t>
      </w:r>
      <w:r w:rsidR="00C23441" w:rsidRPr="2F1CA799">
        <w:t xml:space="preserve"> </w:t>
      </w:r>
      <w:r w:rsidRPr="2F1CA799">
        <w:t>—</w:t>
      </w:r>
      <w:r w:rsidR="00C23441" w:rsidRPr="2F1CA799">
        <w:t xml:space="preserve"> </w:t>
      </w:r>
      <w:r w:rsidRPr="2F1CA799">
        <w:t xml:space="preserve">in particular the Gaza Strip where the ‘catastrophe’ survivors and their descendants </w:t>
      </w:r>
      <w:r w:rsidR="55A9DA91">
        <w:t>have been</w:t>
      </w:r>
      <w:r w:rsidRPr="2F1CA799" w:rsidDel="00653412">
        <w:t xml:space="preserve"> subjected </w:t>
      </w:r>
      <w:r w:rsidRPr="2F1CA799">
        <w:t xml:space="preserve">to </w:t>
      </w:r>
      <w:r w:rsidR="00C23441" w:rsidRPr="2F1CA799">
        <w:t>a</w:t>
      </w:r>
      <w:r w:rsidRPr="2F1CA799">
        <w:t xml:space="preserve"> war </w:t>
      </w:r>
      <w:r w:rsidR="00C23441" w:rsidRPr="2F1CA799">
        <w:t xml:space="preserve">of annihilation </w:t>
      </w:r>
      <w:r w:rsidRPr="2F1CA799">
        <w:t>by Israel</w:t>
      </w:r>
      <w:r w:rsidR="00C23441" w:rsidRPr="2F1CA799">
        <w:t xml:space="preserve"> </w:t>
      </w:r>
      <w:r w:rsidR="28E48C1D" w:rsidRPr="2F1CA799">
        <w:t xml:space="preserve">between October 2023 and January 2025 </w:t>
      </w:r>
      <w:r w:rsidRPr="2F1CA799">
        <w:t>—</w:t>
      </w:r>
      <w:r w:rsidR="00C23441" w:rsidRPr="2F1CA799">
        <w:t xml:space="preserve"> </w:t>
      </w:r>
      <w:r w:rsidRPr="2F1CA799">
        <w:t xml:space="preserve">and different countries throughout the Middle East, in a long condition of permanent exile that </w:t>
      </w:r>
      <w:r w:rsidR="00B52BC9" w:rsidRPr="2F1CA799">
        <w:t>continues into</w:t>
      </w:r>
      <w:r w:rsidRPr="2F1CA799">
        <w:t xml:space="preserve"> the present. The 67-word Declaration triggered what Palestinian historian Rashid Khalidi </w:t>
      </w:r>
      <w:r w:rsidR="009C54BD" w:rsidRPr="2F1CA799">
        <w:t xml:space="preserve">has </w:t>
      </w:r>
      <w:r w:rsidRPr="2F1CA799">
        <w:t>defined as the ‘one-hundred-year war’ on Palestine.</w:t>
      </w:r>
      <w:r w:rsidRPr="2F1CA799">
        <w:rPr>
          <w:rStyle w:val="FootnoteReference"/>
        </w:rPr>
        <w:footnoteReference w:id="111"/>
      </w:r>
      <w:r w:rsidRPr="2F1CA799">
        <w:t xml:space="preserve"> </w:t>
      </w:r>
    </w:p>
    <w:p w14:paraId="07729711" w14:textId="77777777" w:rsidR="00773F7C" w:rsidRPr="0017357E" w:rsidRDefault="00773F7C" w:rsidP="00382D51">
      <w:pPr>
        <w:spacing w:line="259" w:lineRule="auto"/>
        <w:jc w:val="both"/>
        <w:rPr>
          <w:rFonts w:cstheme="minorHAnsi"/>
        </w:rPr>
      </w:pPr>
    </w:p>
    <w:p w14:paraId="521A2298" w14:textId="0463500A" w:rsidR="00773F7C" w:rsidRPr="0017357E" w:rsidRDefault="00B52BC9" w:rsidP="00057638">
      <w:pPr>
        <w:pStyle w:val="Heading4"/>
        <w:jc w:val="left"/>
      </w:pPr>
      <w:r>
        <w:t xml:space="preserve">Research Finding 2: </w:t>
      </w:r>
      <w:r w:rsidR="00773F7C" w:rsidRPr="0017357E">
        <w:t xml:space="preserve">The Imperial Chancellor’s Racial Thinking and Racist Policy </w:t>
      </w:r>
    </w:p>
    <w:p w14:paraId="28139682" w14:textId="0CE4B277" w:rsidR="00773F7C" w:rsidRPr="0017357E" w:rsidRDefault="00773F7C" w:rsidP="00057638">
      <w:pPr>
        <w:spacing w:line="259" w:lineRule="auto"/>
      </w:pPr>
      <w:r w:rsidRPr="2F1CA799">
        <w:t>Arthur James Balfour was</w:t>
      </w:r>
      <w:r w:rsidR="005E4F7C" w:rsidRPr="2F1CA799">
        <w:t xml:space="preserve"> the second Scot to become a Prime Minister after John Stuart and was also</w:t>
      </w:r>
      <w:r w:rsidR="006E2872">
        <w:t xml:space="preserve"> among</w:t>
      </w:r>
      <w:r w:rsidRPr="2F1CA799">
        <w:t xml:space="preserve"> the wealthiest m</w:t>
      </w:r>
      <w:r w:rsidR="006E2872">
        <w:t>e</w:t>
      </w:r>
      <w:r w:rsidRPr="2F1CA799">
        <w:t>n in Great Britain when he entered politics in 1874.</w:t>
      </w:r>
      <w:r w:rsidRPr="2F1CA799">
        <w:rPr>
          <w:rStyle w:val="FootnoteReference"/>
        </w:rPr>
        <w:footnoteReference w:id="112"/>
      </w:r>
      <w:r w:rsidRPr="2F1CA799">
        <w:t xml:space="preserve"> Besides their personal fortunes, Scottish aristocrats also benefitted from university loans. Before becoming Chancellor at </w:t>
      </w:r>
      <w:r w:rsidR="00A27530">
        <w:t>University of Edinburgh</w:t>
      </w:r>
      <w:r w:rsidRPr="2F1CA799">
        <w:t xml:space="preserve">, Balfour received a </w:t>
      </w:r>
      <w:r w:rsidR="002E1DBB" w:rsidRPr="2F1CA799">
        <w:t>£</w:t>
      </w:r>
      <w:r w:rsidRPr="2F1CA799">
        <w:t>12,000 loan from</w:t>
      </w:r>
      <w:r w:rsidR="002E1DBB" w:rsidRPr="2F1CA799">
        <w:t xml:space="preserve"> the</w:t>
      </w:r>
      <w:r w:rsidRPr="2F1CA799">
        <w:t xml:space="preserve"> </w:t>
      </w:r>
      <w:r w:rsidR="00A27530">
        <w:t>University of Edinburgh</w:t>
      </w:r>
      <w:r w:rsidR="002E1DBB" w:rsidRPr="2F1CA799">
        <w:t xml:space="preserve"> </w:t>
      </w:r>
      <w:r w:rsidRPr="2F1CA799">
        <w:t>—</w:t>
      </w:r>
      <w:r w:rsidR="002E1DBB" w:rsidRPr="2F1CA799">
        <w:t xml:space="preserve"> </w:t>
      </w:r>
      <w:r w:rsidRPr="2F1CA799">
        <w:t>the equivalent of £1.5m today</w:t>
      </w:r>
      <w:r w:rsidR="002E1DBB" w:rsidRPr="2F1CA799">
        <w:t xml:space="preserve"> </w:t>
      </w:r>
      <w:r w:rsidRPr="2F1CA799">
        <w:t>—</w:t>
      </w:r>
      <w:r w:rsidR="002E1DBB" w:rsidRPr="2F1CA799">
        <w:t xml:space="preserve"> </w:t>
      </w:r>
      <w:r w:rsidRPr="2F1CA799">
        <w:t>which he repaid immediately after his election in October 1891.</w:t>
      </w:r>
      <w:r w:rsidRPr="2F1CA799">
        <w:rPr>
          <w:rStyle w:val="FootnoteReference"/>
        </w:rPr>
        <w:footnoteReference w:id="113"/>
      </w:r>
      <w:r w:rsidRPr="2F1CA799">
        <w:t xml:space="preserve"> Wealth was certainly one of the important factors in Balfour’s election, but in terms of reputation</w:t>
      </w:r>
      <w:r w:rsidR="002E1DBB" w:rsidRPr="2F1CA799">
        <w:t>, the</w:t>
      </w:r>
      <w:r w:rsidRPr="2F1CA799">
        <w:t xml:space="preserve"> </w:t>
      </w:r>
      <w:r w:rsidR="00A27530">
        <w:t>University of Edinburgh</w:t>
      </w:r>
      <w:r w:rsidRPr="2F1CA799">
        <w:t xml:space="preserve"> was looking also for somebody who ‘united [the] knowledge of the world and world affairs</w:t>
      </w:r>
      <w:r w:rsidR="008E3E13" w:rsidRPr="2F1CA799">
        <w:t xml:space="preserve"> [</w:t>
      </w:r>
      <w:r w:rsidRPr="2F1CA799">
        <w:t>… a] great public career, high scholarship and philosophic thought’.</w:t>
      </w:r>
      <w:r w:rsidRPr="2F1CA799">
        <w:rPr>
          <w:rStyle w:val="FootnoteReference"/>
        </w:rPr>
        <w:footnoteReference w:id="114"/>
      </w:r>
      <w:r w:rsidRPr="2F1CA799">
        <w:t xml:space="preserve"> Balfour had </w:t>
      </w:r>
      <w:r w:rsidR="00AD27A7" w:rsidRPr="2F1CA799">
        <w:t xml:space="preserve">both a </w:t>
      </w:r>
      <w:r w:rsidRPr="2F1CA799">
        <w:t>continental and American honorary Doctor of Law degree and</w:t>
      </w:r>
      <w:r w:rsidR="00AD27A7" w:rsidRPr="2F1CA799">
        <w:t>,</w:t>
      </w:r>
      <w:r w:rsidRPr="2F1CA799">
        <w:t xml:space="preserve"> according to Emeritus Professor Campbell Fraser who officiated his election, ‘Balfour exhibited, like Burke and Sir James Mackintosh and John Stuart Mill, that remarkable combination of intellectual power and high academic sympathies, that practical statesmanship, which was too rare in the annals of our English history</w:t>
      </w:r>
      <w:r w:rsidR="00AD27A7" w:rsidRPr="2F1CA799">
        <w:t>.</w:t>
      </w:r>
      <w:r w:rsidRPr="2F1CA799">
        <w:t>’</w:t>
      </w:r>
      <w:r w:rsidRPr="2F1CA799">
        <w:rPr>
          <w:rStyle w:val="FootnoteReference"/>
        </w:rPr>
        <w:footnoteReference w:id="115"/>
      </w:r>
      <w:r w:rsidRPr="2F1CA799">
        <w:t xml:space="preserve"> </w:t>
      </w:r>
    </w:p>
    <w:p w14:paraId="71E3F255" w14:textId="61F07FBB" w:rsidR="00773F7C" w:rsidRPr="0017357E" w:rsidRDefault="00773F7C" w:rsidP="00057638">
      <w:pPr>
        <w:spacing w:line="259" w:lineRule="auto"/>
        <w:ind w:firstLine="720"/>
        <w:rPr>
          <w:rFonts w:cstheme="minorHAnsi"/>
        </w:rPr>
      </w:pPr>
      <w:r w:rsidRPr="2F1CA799">
        <w:t xml:space="preserve">The first traces of Balfour’s imperial statesmanship can be found before he was elected Chancellor at </w:t>
      </w:r>
      <w:r w:rsidR="00A27530">
        <w:t>University of Edinburgh</w:t>
      </w:r>
      <w:r w:rsidRPr="2F1CA799">
        <w:t>. In 1886, when he was Secretary for Scotland, Balfour initiated a colonisation scheme for the crofters of the Scottish Highlands, encouraging them to settle in Canada.</w:t>
      </w:r>
      <w:r w:rsidRPr="2F1CA799">
        <w:rPr>
          <w:rStyle w:val="FootnoteReference"/>
        </w:rPr>
        <w:footnoteReference w:id="116"/>
      </w:r>
      <w:r w:rsidRPr="2F1CA799">
        <w:t xml:space="preserve"> </w:t>
      </w:r>
      <w:r w:rsidRPr="2F1CA799">
        <w:rPr>
          <w:rFonts w:eastAsia="Times New Roman"/>
        </w:rPr>
        <w:t xml:space="preserve">Immediately after this position, Balfour was </w:t>
      </w:r>
      <w:r w:rsidRPr="2F1CA799">
        <w:rPr>
          <w:rFonts w:eastAsia="Times New Roman"/>
        </w:rPr>
        <w:lastRenderedPageBreak/>
        <w:t>nominated Chief Secretary for Ireland and administered Brit</w:t>
      </w:r>
      <w:r w:rsidR="00031016" w:rsidRPr="2F1CA799">
        <w:rPr>
          <w:rFonts w:eastAsia="Times New Roman"/>
        </w:rPr>
        <w:t>ain’s oldest</w:t>
      </w:r>
      <w:r w:rsidRPr="2F1CA799">
        <w:rPr>
          <w:rFonts w:eastAsia="Times New Roman"/>
        </w:rPr>
        <w:t xml:space="preserve"> settler colony until 1891. </w:t>
      </w:r>
      <w:r w:rsidR="00031016" w:rsidRPr="2F1CA799">
        <w:rPr>
          <w:rFonts w:eastAsia="Times New Roman"/>
        </w:rPr>
        <w:t>Like</w:t>
      </w:r>
      <w:r w:rsidRPr="2F1CA799">
        <w:rPr>
          <w:rFonts w:eastAsia="Times New Roman"/>
        </w:rPr>
        <w:t xml:space="preserve"> his disregard of the Palestinians’ right to self-determination as an </w:t>
      </w:r>
      <w:r w:rsidR="00031016" w:rsidRPr="2F1CA799">
        <w:rPr>
          <w:rFonts w:eastAsia="Times New Roman"/>
        </w:rPr>
        <w:t>I</w:t>
      </w:r>
      <w:r w:rsidRPr="2F1CA799">
        <w:rPr>
          <w:rFonts w:eastAsia="Times New Roman"/>
        </w:rPr>
        <w:t>ndigenous society, Balfour also opposed self-determination for the Irish people. He introduced repressive emergency laws and quelled the political agitations caused by economic depression and anti-British sentiments, earning</w:t>
      </w:r>
      <w:r w:rsidR="00031016" w:rsidRPr="2F1CA799">
        <w:rPr>
          <w:rFonts w:eastAsia="Times New Roman"/>
        </w:rPr>
        <w:t xml:space="preserve"> him</w:t>
      </w:r>
      <w:r w:rsidRPr="2F1CA799">
        <w:rPr>
          <w:rFonts w:eastAsia="Times New Roman"/>
        </w:rPr>
        <w:t xml:space="preserve"> the epithet ‘bloody Balfour’.</w:t>
      </w:r>
      <w:r w:rsidRPr="2F1CA799">
        <w:rPr>
          <w:rStyle w:val="FootnoteReference"/>
          <w:rFonts w:eastAsia="Times New Roman"/>
        </w:rPr>
        <w:footnoteReference w:id="117"/>
      </w:r>
      <w:r w:rsidRPr="2F1CA799">
        <w:rPr>
          <w:rFonts w:eastAsia="Times New Roman"/>
        </w:rPr>
        <w:t xml:space="preserve"> </w:t>
      </w:r>
    </w:p>
    <w:p w14:paraId="4964C2CC" w14:textId="7408AABE" w:rsidR="00773F7C" w:rsidRPr="0017357E" w:rsidRDefault="00773F7C" w:rsidP="00057638">
      <w:pPr>
        <w:spacing w:line="259" w:lineRule="auto"/>
        <w:ind w:firstLine="720"/>
      </w:pPr>
      <w:r w:rsidRPr="06B23347">
        <w:t>Balfour’s Chancellorship (1891–1930) coincide</w:t>
      </w:r>
      <w:r w:rsidR="00961EAA" w:rsidRPr="06B23347">
        <w:t>d</w:t>
      </w:r>
      <w:r w:rsidRPr="06B23347">
        <w:t xml:space="preserve"> with</w:t>
      </w:r>
      <w:r w:rsidR="00961EAA" w:rsidRPr="06B23347">
        <w:t xml:space="preserve"> what</w:t>
      </w:r>
      <w:r w:rsidR="0062736A">
        <w:t xml:space="preserve"> historian Jason</w:t>
      </w:r>
      <w:r w:rsidR="00961EAA" w:rsidRPr="06B23347">
        <w:t xml:space="preserve"> Tomes has called</w:t>
      </w:r>
      <w:r w:rsidRPr="06B23347">
        <w:t xml:space="preserve"> ‘the zenith of the British Empire</w:t>
      </w:r>
      <w:r w:rsidR="00961EAA" w:rsidRPr="06B23347">
        <w:t xml:space="preserve">’, meaning </w:t>
      </w:r>
      <w:r w:rsidRPr="06B23347">
        <w:t>the period at which the empire was at its largest.</w:t>
      </w:r>
      <w:r w:rsidRPr="06B23347">
        <w:rPr>
          <w:vertAlign w:val="superscript"/>
        </w:rPr>
        <w:footnoteReference w:id="118"/>
      </w:r>
      <w:r w:rsidRPr="06B23347">
        <w:t xml:space="preserve"> This role </w:t>
      </w:r>
      <w:r w:rsidR="00CC7659" w:rsidRPr="06B23347">
        <w:t xml:space="preserve">also </w:t>
      </w:r>
      <w:r w:rsidRPr="06B23347">
        <w:t xml:space="preserve">coincided with a series of domestic and imperial decisions influenced by Balfour that would come to have a seismic impact on the racial and colonial configurations of the </w:t>
      </w:r>
      <w:r w:rsidR="0062736A">
        <w:t>20</w:t>
      </w:r>
      <w:r w:rsidR="0062736A" w:rsidRPr="06B23347">
        <w:t xml:space="preserve">th </w:t>
      </w:r>
      <w:r w:rsidRPr="06B23347">
        <w:t xml:space="preserve">and </w:t>
      </w:r>
      <w:r w:rsidR="0062736A">
        <w:t>21st</w:t>
      </w:r>
      <w:r w:rsidRPr="06B23347">
        <w:t xml:space="preserve"> centuries at both national and imperial scales. </w:t>
      </w:r>
      <w:r w:rsidRPr="06B23347">
        <w:rPr>
          <w:rFonts w:eastAsia="Times New Roman"/>
        </w:rPr>
        <w:t xml:space="preserve">In 1902, he became </w:t>
      </w:r>
      <w:r w:rsidR="008D488A" w:rsidRPr="06B23347">
        <w:rPr>
          <w:rFonts w:eastAsia="Times New Roman"/>
        </w:rPr>
        <w:t xml:space="preserve">the UK </w:t>
      </w:r>
      <w:r w:rsidRPr="06B23347">
        <w:rPr>
          <w:rFonts w:eastAsia="Times New Roman"/>
        </w:rPr>
        <w:t xml:space="preserve">Prime </w:t>
      </w:r>
      <w:r w:rsidR="00303E4E" w:rsidRPr="06B23347">
        <w:rPr>
          <w:rFonts w:eastAsia="Times New Roman"/>
        </w:rPr>
        <w:t>Minister,</w:t>
      </w:r>
      <w:r w:rsidRPr="06B23347">
        <w:rPr>
          <w:rFonts w:eastAsia="Times New Roman"/>
        </w:rPr>
        <w:t xml:space="preserve"> and</w:t>
      </w:r>
      <w:r w:rsidR="00CC7659" w:rsidRPr="06B23347">
        <w:rPr>
          <w:rFonts w:eastAsia="Times New Roman"/>
        </w:rPr>
        <w:t>,</w:t>
      </w:r>
      <w:r w:rsidRPr="06B23347">
        <w:rPr>
          <w:rFonts w:eastAsia="Times New Roman"/>
        </w:rPr>
        <w:t xml:space="preserve"> in this position, continued to play a decisive role in imperial affairs. He was already directing the Foreign Office during the Second Anglo-Boer-War (1899</w:t>
      </w:r>
      <w:r w:rsidR="00D2799E">
        <w:rPr>
          <w:rFonts w:ascii="Calibri" w:eastAsia="Times New Roman" w:hAnsi="Calibri" w:cs="Calibri"/>
        </w:rPr>
        <w:t>–</w:t>
      </w:r>
      <w:r w:rsidRPr="06B23347">
        <w:rPr>
          <w:rFonts w:eastAsia="Times New Roman"/>
        </w:rPr>
        <w:t>1902)</w:t>
      </w:r>
      <w:r w:rsidR="00D2799E" w:rsidRPr="06B23347">
        <w:rPr>
          <w:rFonts w:eastAsia="Times New Roman"/>
        </w:rPr>
        <w:t>,</w:t>
      </w:r>
      <w:r w:rsidRPr="06B23347">
        <w:rPr>
          <w:rFonts w:eastAsia="Times New Roman"/>
        </w:rPr>
        <w:t xml:space="preserve"> but it was only later that he articulated his vision for the British dominion of South Africa. The Imperial Chancellor assumed race to be a social and biological fact, uph</w:t>
      </w:r>
      <w:r w:rsidR="00D2799E" w:rsidRPr="06B23347">
        <w:rPr>
          <w:rFonts w:eastAsia="Times New Roman"/>
        </w:rPr>
        <w:t>olding</w:t>
      </w:r>
      <w:r w:rsidRPr="06B23347">
        <w:rPr>
          <w:rFonts w:eastAsia="Times New Roman"/>
        </w:rPr>
        <w:t xml:space="preserve"> the racial logic that </w:t>
      </w:r>
      <w:r w:rsidR="00D2799E" w:rsidRPr="06B23347">
        <w:rPr>
          <w:rFonts w:eastAsia="Times New Roman"/>
        </w:rPr>
        <w:t>‘</w:t>
      </w:r>
      <w:r w:rsidRPr="06B23347">
        <w:rPr>
          <w:rFonts w:eastAsia="Times New Roman"/>
        </w:rPr>
        <w:t>one European race</w:t>
      </w:r>
      <w:r w:rsidR="00D2799E" w:rsidRPr="06B23347">
        <w:rPr>
          <w:rFonts w:eastAsia="Times New Roman"/>
        </w:rPr>
        <w:t>’</w:t>
      </w:r>
      <w:r w:rsidRPr="06B23347">
        <w:rPr>
          <w:rFonts w:eastAsia="Times New Roman"/>
        </w:rPr>
        <w:t xml:space="preserve"> had to govern and dominate. He also explicitly claimed that</w:t>
      </w:r>
      <w:r w:rsidR="00D01F0A" w:rsidRPr="06B23347">
        <w:rPr>
          <w:rFonts w:eastAsia="Times New Roman"/>
        </w:rPr>
        <w:t>,</w:t>
      </w:r>
    </w:p>
    <w:p w14:paraId="3991E9D8" w14:textId="77777777" w:rsidR="00773F7C" w:rsidRPr="0017357E" w:rsidRDefault="00773F7C" w:rsidP="00057638">
      <w:pPr>
        <w:spacing w:line="259" w:lineRule="auto"/>
        <w:ind w:firstLine="720"/>
        <w:rPr>
          <w:rFonts w:eastAsia="Times New Roman" w:cstheme="minorHAnsi"/>
        </w:rPr>
      </w:pPr>
    </w:p>
    <w:p w14:paraId="2DC4E63A" w14:textId="2E676BCF" w:rsidR="00773F7C" w:rsidRPr="0017357E" w:rsidRDefault="00773F7C" w:rsidP="00057638">
      <w:pPr>
        <w:spacing w:line="259" w:lineRule="auto"/>
        <w:ind w:left="284" w:right="284"/>
        <w:rPr>
          <w:rFonts w:eastAsia="Times New Roman" w:cstheme="minorHAnsi"/>
          <w:sz w:val="22"/>
          <w:szCs w:val="22"/>
        </w:rPr>
      </w:pPr>
      <w:r w:rsidRPr="06B23347">
        <w:rPr>
          <w:rFonts w:eastAsia="Times New Roman"/>
          <w:sz w:val="22"/>
          <w:szCs w:val="22"/>
        </w:rPr>
        <w:t>All men are from some point of view, equal; but to suppose that the races of Africa are in any sense the equals of men of European descent, so far as government, as society, as the higher interests of civilisation is concerned is really, I think, an absurdity.</w:t>
      </w:r>
      <w:r w:rsidRPr="06B23347">
        <w:rPr>
          <w:rFonts w:eastAsia="Times New Roman"/>
          <w:sz w:val="22"/>
          <w:szCs w:val="22"/>
          <w:vertAlign w:val="superscript"/>
        </w:rPr>
        <w:footnoteReference w:id="119"/>
      </w:r>
    </w:p>
    <w:p w14:paraId="75C101FA" w14:textId="77777777" w:rsidR="00773F7C" w:rsidRPr="0017357E" w:rsidRDefault="00773F7C" w:rsidP="00057638">
      <w:pPr>
        <w:spacing w:line="259" w:lineRule="auto"/>
        <w:rPr>
          <w:rFonts w:eastAsia="Times New Roman" w:cstheme="minorHAnsi"/>
        </w:rPr>
      </w:pPr>
    </w:p>
    <w:p w14:paraId="0875DBE5" w14:textId="0B8B4350" w:rsidR="00773F7C" w:rsidRPr="0017357E" w:rsidRDefault="00773F7C" w:rsidP="00057638">
      <w:pPr>
        <w:spacing w:line="259" w:lineRule="auto"/>
        <w:rPr>
          <w:rFonts w:eastAsia="Times New Roman" w:cstheme="minorHAnsi"/>
        </w:rPr>
      </w:pPr>
      <w:r w:rsidRPr="0017357E">
        <w:rPr>
          <w:rFonts w:eastAsia="Times New Roman" w:cstheme="minorHAnsi"/>
        </w:rPr>
        <w:t>While the South African apartheid regime was in the making, Balfour viewed racial segregation as a crucial means to preserve the racial purity of white supremacist democracies. As he explained in one of his reflections on imperial political reforms</w:t>
      </w:r>
      <w:r w:rsidR="00A0373D">
        <w:rPr>
          <w:rFonts w:eastAsia="Times New Roman" w:cstheme="minorHAnsi"/>
        </w:rPr>
        <w:t>:</w:t>
      </w:r>
    </w:p>
    <w:p w14:paraId="2C818E46" w14:textId="77777777" w:rsidR="00773F7C" w:rsidRPr="0017357E" w:rsidRDefault="00773F7C" w:rsidP="00057638">
      <w:pPr>
        <w:spacing w:line="259" w:lineRule="auto"/>
        <w:rPr>
          <w:rFonts w:eastAsia="Times New Roman" w:cstheme="minorHAnsi"/>
        </w:rPr>
      </w:pPr>
    </w:p>
    <w:p w14:paraId="013BE21C" w14:textId="77777777" w:rsidR="00773F7C" w:rsidRPr="0017357E" w:rsidRDefault="00773F7C" w:rsidP="00057638">
      <w:pPr>
        <w:spacing w:line="259" w:lineRule="auto"/>
        <w:ind w:left="283" w:right="283"/>
        <w:rPr>
          <w:rFonts w:eastAsia="Times New Roman" w:cstheme="minorHAnsi"/>
          <w:sz w:val="22"/>
          <w:szCs w:val="22"/>
        </w:rPr>
      </w:pPr>
      <w:r w:rsidRPr="2F1CA799">
        <w:rPr>
          <w:rFonts w:eastAsia="Times New Roman"/>
          <w:sz w:val="22"/>
          <w:szCs w:val="22"/>
        </w:rPr>
        <w:t>Where racial differences are clear cut and profound […] where a [white] race obviously superior is mixed with a race obviously inferior, the superior race may be constituted as a democracy, but into that democracy the inferior race will never be admitted. It may be kept out by law, as in South Africa, or it may be kept out by practice, as in the Southern States of America; but kept out it will be.</w:t>
      </w:r>
      <w:r w:rsidRPr="2F1CA799">
        <w:rPr>
          <w:rFonts w:eastAsia="Times New Roman"/>
          <w:sz w:val="22"/>
          <w:szCs w:val="22"/>
          <w:vertAlign w:val="superscript"/>
        </w:rPr>
        <w:footnoteReference w:id="120"/>
      </w:r>
    </w:p>
    <w:p w14:paraId="715DF501" w14:textId="77777777" w:rsidR="00773F7C" w:rsidRPr="0017357E" w:rsidRDefault="00773F7C" w:rsidP="00382D51">
      <w:pPr>
        <w:spacing w:line="259" w:lineRule="auto"/>
        <w:ind w:left="283" w:right="283" w:firstLine="720"/>
        <w:jc w:val="both"/>
        <w:rPr>
          <w:rFonts w:eastAsia="Times New Roman" w:cstheme="minorHAnsi"/>
        </w:rPr>
      </w:pPr>
    </w:p>
    <w:p w14:paraId="3C8D2758" w14:textId="78A207D6" w:rsidR="00773F7C" w:rsidRPr="0017357E" w:rsidRDefault="00773F7C" w:rsidP="00057638">
      <w:pPr>
        <w:spacing w:line="259" w:lineRule="auto"/>
        <w:rPr>
          <w:rFonts w:eastAsia="Calibri" w:cstheme="minorHAnsi"/>
          <w:color w:val="000000" w:themeColor="text1"/>
        </w:rPr>
      </w:pPr>
      <w:r w:rsidRPr="0017357E">
        <w:rPr>
          <w:rFonts w:eastAsia="Calibri" w:cstheme="minorHAnsi"/>
        </w:rPr>
        <w:t xml:space="preserve">In Balfour’s writings on the fate of Palestine’s </w:t>
      </w:r>
      <w:r w:rsidR="007E6881">
        <w:rPr>
          <w:rFonts w:eastAsia="Calibri" w:cstheme="minorHAnsi"/>
        </w:rPr>
        <w:t>I</w:t>
      </w:r>
      <w:r w:rsidRPr="0017357E">
        <w:rPr>
          <w:rFonts w:eastAsia="Calibri" w:cstheme="minorHAnsi"/>
        </w:rPr>
        <w:t>ndigenous people, he further expose</w:t>
      </w:r>
      <w:r w:rsidR="007E6881">
        <w:rPr>
          <w:rFonts w:eastAsia="Calibri" w:cstheme="minorHAnsi"/>
        </w:rPr>
        <w:t>d</w:t>
      </w:r>
      <w:r w:rsidRPr="0017357E">
        <w:rPr>
          <w:rFonts w:eastAsia="Calibri" w:cstheme="minorHAnsi"/>
        </w:rPr>
        <w:t xml:space="preserve"> his racist viewpoints in a 1919 memo to Lord Curzon for circulation to cabinet </w:t>
      </w:r>
      <w:r w:rsidRPr="0017357E">
        <w:rPr>
          <w:rFonts w:eastAsia="Calibri" w:cstheme="minorHAnsi"/>
          <w:color w:val="000000" w:themeColor="text1"/>
        </w:rPr>
        <w:t>ministers two years following the signing of the Declaration. In his words</w:t>
      </w:r>
      <w:r w:rsidR="00A0373D">
        <w:rPr>
          <w:rFonts w:eastAsia="Calibri" w:cstheme="minorHAnsi"/>
          <w:color w:val="000000" w:themeColor="text1"/>
        </w:rPr>
        <w:t>:</w:t>
      </w:r>
    </w:p>
    <w:p w14:paraId="0E2B2347" w14:textId="77777777" w:rsidR="00773F7C" w:rsidRPr="0017357E" w:rsidRDefault="00773F7C" w:rsidP="00057638">
      <w:pPr>
        <w:spacing w:line="259" w:lineRule="auto"/>
        <w:rPr>
          <w:rFonts w:eastAsia="Calibri" w:cstheme="minorHAnsi"/>
          <w:color w:val="000000" w:themeColor="text1"/>
        </w:rPr>
      </w:pPr>
    </w:p>
    <w:p w14:paraId="27F51923" w14:textId="77777777" w:rsidR="00773F7C" w:rsidRPr="0017357E" w:rsidRDefault="00773F7C" w:rsidP="00057638">
      <w:pPr>
        <w:spacing w:line="259" w:lineRule="auto"/>
        <w:ind w:left="283" w:right="283"/>
        <w:rPr>
          <w:rFonts w:eastAsia="Calibri" w:cstheme="minorHAnsi"/>
          <w:color w:val="000000" w:themeColor="text1"/>
          <w:sz w:val="22"/>
          <w:szCs w:val="22"/>
        </w:rPr>
      </w:pPr>
      <w:r w:rsidRPr="2F1CA799">
        <w:rPr>
          <w:rFonts w:eastAsia="Calibri"/>
          <w:color w:val="000000" w:themeColor="text1"/>
          <w:sz w:val="22"/>
          <w:szCs w:val="22"/>
        </w:rPr>
        <w:t xml:space="preserve">In Palestine […] we do not propose even to go through the form of consulting the wishes of the present inhabitants of the country […]. The Four Great Powers are committed to Zionism. And Zionism, be it right or wrong, good or bad, is rooted in age-long traditions, in present </w:t>
      </w:r>
      <w:r w:rsidRPr="2F1CA799">
        <w:rPr>
          <w:rFonts w:eastAsia="Calibri"/>
          <w:color w:val="000000" w:themeColor="text1"/>
          <w:sz w:val="22"/>
          <w:szCs w:val="22"/>
        </w:rPr>
        <w:lastRenderedPageBreak/>
        <w:t>needs, in future hopes, of far profounder import than the desires of the 700,000 Arabs who now inhabit that ancient land.</w:t>
      </w:r>
      <w:r w:rsidRPr="2F1CA799">
        <w:rPr>
          <w:rStyle w:val="FootnoteReference"/>
          <w:rFonts w:eastAsia="Calibri"/>
          <w:color w:val="000000" w:themeColor="text1"/>
          <w:sz w:val="22"/>
          <w:szCs w:val="22"/>
        </w:rPr>
        <w:footnoteReference w:id="121"/>
      </w:r>
    </w:p>
    <w:p w14:paraId="00D20BFD" w14:textId="77777777" w:rsidR="00773F7C" w:rsidRPr="0017357E" w:rsidRDefault="00773F7C" w:rsidP="00057638">
      <w:pPr>
        <w:spacing w:line="259" w:lineRule="auto"/>
        <w:ind w:right="283"/>
        <w:rPr>
          <w:rFonts w:eastAsia="Calibri" w:cstheme="minorHAnsi"/>
          <w:color w:val="000000" w:themeColor="text1"/>
        </w:rPr>
      </w:pPr>
    </w:p>
    <w:p w14:paraId="47B39CDF" w14:textId="6F6C1FB2" w:rsidR="00E262E7" w:rsidRDefault="00773F7C" w:rsidP="00057638">
      <w:pPr>
        <w:spacing w:line="259" w:lineRule="auto"/>
        <w:rPr>
          <w:rFonts w:eastAsia="Calibri" w:cstheme="minorHAnsi"/>
          <w:color w:val="333333"/>
        </w:rPr>
      </w:pPr>
      <w:r w:rsidRPr="0017357E">
        <w:rPr>
          <w:rFonts w:eastAsia="Times New Roman" w:cstheme="minorHAnsi"/>
        </w:rPr>
        <w:t xml:space="preserve">The casualness upon which the fate of a people and the dispossession of an entire nation </w:t>
      </w:r>
      <w:r w:rsidR="00A53394">
        <w:rPr>
          <w:rFonts w:eastAsia="Times New Roman" w:cstheme="minorHAnsi"/>
        </w:rPr>
        <w:t>was</w:t>
      </w:r>
      <w:r w:rsidRPr="0017357E">
        <w:rPr>
          <w:rFonts w:eastAsia="Times New Roman" w:cstheme="minorHAnsi"/>
        </w:rPr>
        <w:t xml:space="preserve"> declared reveals </w:t>
      </w:r>
      <w:r w:rsidR="000C76B9">
        <w:rPr>
          <w:rFonts w:eastAsia="Times New Roman" w:cstheme="minorHAnsi"/>
        </w:rPr>
        <w:t xml:space="preserve">just </w:t>
      </w:r>
      <w:r w:rsidRPr="0017357E">
        <w:rPr>
          <w:rFonts w:eastAsia="Times New Roman" w:cstheme="minorHAnsi"/>
        </w:rPr>
        <w:t xml:space="preserve">how little the people and history of Palestine mattered to British </w:t>
      </w:r>
      <w:r w:rsidR="00A53394">
        <w:rPr>
          <w:rFonts w:eastAsia="Times New Roman" w:cstheme="minorHAnsi"/>
        </w:rPr>
        <w:t>imperial</w:t>
      </w:r>
      <w:r w:rsidRPr="0017357E">
        <w:rPr>
          <w:rFonts w:eastAsia="Times New Roman" w:cstheme="minorHAnsi"/>
        </w:rPr>
        <w:t xml:space="preserve"> and Zionist leaders alike. </w:t>
      </w:r>
      <w:r w:rsidRPr="0017357E">
        <w:rPr>
          <w:rFonts w:eastAsia="Calibri" w:cstheme="minorHAnsi"/>
          <w:color w:val="000000" w:themeColor="text1"/>
        </w:rPr>
        <w:t>The results of Balfour’s racist logic and policy, as presented in statements such as the one above and more substantively in the Balfour Declaration, would come to sow death and destruction in Palestine first from the British during the Mandate era</w:t>
      </w:r>
      <w:r w:rsidR="006C119D">
        <w:rPr>
          <w:rFonts w:eastAsia="Calibri" w:cstheme="minorHAnsi"/>
          <w:color w:val="000000" w:themeColor="text1"/>
        </w:rPr>
        <w:t>,</w:t>
      </w:r>
      <w:r w:rsidRPr="0017357E">
        <w:rPr>
          <w:rFonts w:eastAsia="Calibri" w:cstheme="minorHAnsi"/>
          <w:color w:val="000000" w:themeColor="text1"/>
        </w:rPr>
        <w:t xml:space="preserve"> and second from Zionist militia groups</w:t>
      </w:r>
      <w:r w:rsidRPr="0017357E">
        <w:rPr>
          <w:rFonts w:eastAsia="Calibri" w:cstheme="minorHAnsi"/>
        </w:rPr>
        <w:t xml:space="preserve"> </w:t>
      </w:r>
      <w:r w:rsidRPr="0017357E">
        <w:rPr>
          <w:rFonts w:eastAsia="Calibri" w:cstheme="minorHAnsi"/>
          <w:color w:val="000000" w:themeColor="text1"/>
        </w:rPr>
        <w:t>through</w:t>
      </w:r>
      <w:r w:rsidR="00A53394">
        <w:rPr>
          <w:rFonts w:eastAsia="Calibri" w:cstheme="minorHAnsi"/>
          <w:color w:val="000000" w:themeColor="text1"/>
        </w:rPr>
        <w:t xml:space="preserve"> the</w:t>
      </w:r>
      <w:r w:rsidRPr="0017357E">
        <w:rPr>
          <w:rFonts w:eastAsia="Calibri" w:cstheme="minorHAnsi"/>
          <w:color w:val="000000" w:themeColor="text1"/>
        </w:rPr>
        <w:t xml:space="preserve"> means of ethnic cleansing and depopulation</w:t>
      </w:r>
      <w:r w:rsidRPr="0017357E">
        <w:rPr>
          <w:rFonts w:eastAsia="Calibri" w:cstheme="minorHAnsi"/>
          <w:color w:val="333333"/>
        </w:rPr>
        <w:t xml:space="preserve">. </w:t>
      </w:r>
    </w:p>
    <w:p w14:paraId="7C5CC008" w14:textId="7B138A49" w:rsidR="00773F7C" w:rsidRPr="0017357E" w:rsidRDefault="00E262E7" w:rsidP="00057638">
      <w:pPr>
        <w:spacing w:line="259" w:lineRule="auto"/>
        <w:ind w:firstLine="720"/>
        <w:rPr>
          <w:rFonts w:eastAsia="Times New Roman"/>
        </w:rPr>
      </w:pPr>
      <w:r w:rsidRPr="4810B1DF">
        <w:rPr>
          <w:rFonts w:eastAsia="Calibri"/>
          <w:color w:val="333333"/>
        </w:rPr>
        <w:t>I</w:t>
      </w:r>
      <w:r w:rsidR="2FC74DE1" w:rsidRPr="06B23347">
        <w:rPr>
          <w:rFonts w:eastAsia="Calibri"/>
          <w:color w:val="333333"/>
        </w:rPr>
        <w:t>t</w:t>
      </w:r>
      <w:r w:rsidRPr="4810B1DF">
        <w:rPr>
          <w:rFonts w:eastAsia="Calibri"/>
          <w:color w:val="333333"/>
        </w:rPr>
        <w:t xml:space="preserve"> should be noted, however, that </w:t>
      </w:r>
      <w:r w:rsidR="00773F7C" w:rsidRPr="4810B1DF">
        <w:rPr>
          <w:rFonts w:eastAsia="Times New Roman"/>
        </w:rPr>
        <w:t xml:space="preserve">Balfour’s disdain for Palestinians and </w:t>
      </w:r>
      <w:r w:rsidRPr="4810B1DF">
        <w:rPr>
          <w:rFonts w:eastAsia="Times New Roman"/>
        </w:rPr>
        <w:t xml:space="preserve">his </w:t>
      </w:r>
      <w:r w:rsidR="00773F7C" w:rsidRPr="4810B1DF">
        <w:rPr>
          <w:rFonts w:eastAsia="Times New Roman"/>
        </w:rPr>
        <w:t xml:space="preserve">allegiance to Zionism </w:t>
      </w:r>
      <w:r w:rsidRPr="4810B1DF">
        <w:rPr>
          <w:rFonts w:eastAsia="Times New Roman"/>
        </w:rPr>
        <w:t>d</w:t>
      </w:r>
      <w:r w:rsidR="000C76B9" w:rsidRPr="4810B1DF">
        <w:rPr>
          <w:rFonts w:eastAsia="Times New Roman"/>
        </w:rPr>
        <w:t>id</w:t>
      </w:r>
      <w:r w:rsidRPr="4810B1DF">
        <w:rPr>
          <w:rFonts w:eastAsia="Times New Roman"/>
        </w:rPr>
        <w:t xml:space="preserve"> not</w:t>
      </w:r>
      <w:r w:rsidR="00773F7C" w:rsidRPr="4810B1DF">
        <w:rPr>
          <w:rFonts w:eastAsia="Times New Roman"/>
        </w:rPr>
        <w:t xml:space="preserve"> mean</w:t>
      </w:r>
      <w:r w:rsidRPr="4810B1DF">
        <w:rPr>
          <w:rFonts w:eastAsia="Times New Roman"/>
        </w:rPr>
        <w:t xml:space="preserve"> that</w:t>
      </w:r>
      <w:r w:rsidR="00773F7C" w:rsidRPr="4810B1DF">
        <w:rPr>
          <w:rFonts w:eastAsia="Times New Roman"/>
        </w:rPr>
        <w:t xml:space="preserve"> he held favourable views towards Jewish people. On the contrary, his domestic policies would ensure restricted Jewish immigration into Britain under the 1905 Alien Act</w:t>
      </w:r>
      <w:r w:rsidR="00F42B72" w:rsidDel="006B3E6F">
        <w:rPr>
          <w:rFonts w:eastAsia="Times New Roman"/>
        </w:rPr>
        <w:t xml:space="preserve">, </w:t>
      </w:r>
      <w:r w:rsidR="00F42B72">
        <w:rPr>
          <w:rFonts w:eastAsia="Times New Roman"/>
        </w:rPr>
        <w:t xml:space="preserve">which passed </w:t>
      </w:r>
      <w:r w:rsidR="00773F7C" w:rsidRPr="4810B1DF">
        <w:rPr>
          <w:rFonts w:eastAsia="Times New Roman"/>
        </w:rPr>
        <w:t xml:space="preserve">12 years before </w:t>
      </w:r>
      <w:r w:rsidR="34F541B0" w:rsidRPr="4810B1DF">
        <w:rPr>
          <w:rFonts w:eastAsia="Times New Roman"/>
        </w:rPr>
        <w:t xml:space="preserve">promulgating </w:t>
      </w:r>
      <w:r w:rsidR="00773F7C" w:rsidRPr="4810B1DF">
        <w:rPr>
          <w:rFonts w:eastAsia="Times New Roman"/>
        </w:rPr>
        <w:t>the Declaration on Palestine</w:t>
      </w:r>
      <w:r w:rsidR="00F42B72">
        <w:rPr>
          <w:rFonts w:eastAsia="Times New Roman"/>
        </w:rPr>
        <w:t xml:space="preserve"> when</w:t>
      </w:r>
      <w:r w:rsidR="00F42B72" w:rsidRPr="4810B1DF">
        <w:rPr>
          <w:rFonts w:eastAsia="Times New Roman"/>
        </w:rPr>
        <w:t xml:space="preserve"> </w:t>
      </w:r>
      <w:r w:rsidR="00773F7C" w:rsidRPr="4810B1DF">
        <w:rPr>
          <w:rFonts w:eastAsia="Times New Roman"/>
        </w:rPr>
        <w:t>Balfour was Prime Minister. Th</w:t>
      </w:r>
      <w:r w:rsidR="000C76B9" w:rsidRPr="4810B1DF">
        <w:rPr>
          <w:rFonts w:eastAsia="Times New Roman"/>
        </w:rPr>
        <w:t>is</w:t>
      </w:r>
      <w:r w:rsidR="00773F7C" w:rsidRPr="4810B1DF">
        <w:rPr>
          <w:rFonts w:eastAsia="Times New Roman"/>
        </w:rPr>
        <w:t xml:space="preserve"> legislation constituted the first </w:t>
      </w:r>
      <w:r w:rsidR="00726F19">
        <w:rPr>
          <w:rFonts w:eastAsia="Times New Roman"/>
        </w:rPr>
        <w:t>modern</w:t>
      </w:r>
      <w:r w:rsidR="006B3E6F">
        <w:rPr>
          <w:rFonts w:eastAsia="Calibri"/>
          <w:color w:val="333333"/>
        </w:rPr>
        <w:t xml:space="preserve"> </w:t>
      </w:r>
      <w:r w:rsidR="00773F7C" w:rsidDel="006B3E6F">
        <w:rPr>
          <w:rFonts w:eastAsia="Calibri"/>
          <w:color w:val="333333"/>
        </w:rPr>
        <w:t>U</w:t>
      </w:r>
      <w:r w:rsidR="00773F7C" w:rsidRPr="4810B1DF">
        <w:rPr>
          <w:rFonts w:eastAsia="Times New Roman"/>
        </w:rPr>
        <w:t>K anti-immigration law</w:t>
      </w:r>
      <w:r w:rsidR="00726F19">
        <w:rPr>
          <w:rFonts w:eastAsia="Times New Roman"/>
        </w:rPr>
        <w:t>.</w:t>
      </w:r>
      <w:r w:rsidR="00773F7C" w:rsidRPr="4810B1DF" w:rsidDel="00726F19">
        <w:rPr>
          <w:rFonts w:eastAsia="Times New Roman"/>
        </w:rPr>
        <w:t xml:space="preserve"> </w:t>
      </w:r>
      <w:r w:rsidR="00726F19">
        <w:rPr>
          <w:rFonts w:eastAsia="Times New Roman"/>
        </w:rPr>
        <w:t>I</w:t>
      </w:r>
      <w:r w:rsidR="00726F19" w:rsidRPr="4810B1DF">
        <w:rPr>
          <w:rFonts w:eastAsia="Times New Roman"/>
        </w:rPr>
        <w:t xml:space="preserve">ts </w:t>
      </w:r>
      <w:r w:rsidR="00773F7C" w:rsidRPr="4810B1DF">
        <w:rPr>
          <w:rFonts w:eastAsia="Times New Roman"/>
        </w:rPr>
        <w:t xml:space="preserve">principal aim </w:t>
      </w:r>
      <w:r w:rsidR="00726F19">
        <w:rPr>
          <w:rFonts w:eastAsia="Times New Roman"/>
        </w:rPr>
        <w:t xml:space="preserve">was </w:t>
      </w:r>
      <w:r w:rsidR="00773F7C" w:rsidRPr="4810B1DF">
        <w:rPr>
          <w:rFonts w:eastAsia="Times New Roman"/>
        </w:rPr>
        <w:t xml:space="preserve">to prevent Jewish immigration from </w:t>
      </w:r>
      <w:r w:rsidR="4984817E" w:rsidRPr="4810B1DF">
        <w:rPr>
          <w:rFonts w:eastAsia="Times New Roman"/>
        </w:rPr>
        <w:t>Eastern</w:t>
      </w:r>
      <w:r w:rsidR="5635DFD0" w:rsidRPr="4810B1DF" w:rsidDel="008E1F28">
        <w:rPr>
          <w:rFonts w:eastAsia="Times New Roman"/>
        </w:rPr>
        <w:t xml:space="preserve"> </w:t>
      </w:r>
      <w:r w:rsidR="00773F7C" w:rsidRPr="4810B1DF">
        <w:rPr>
          <w:rFonts w:eastAsia="Times New Roman"/>
        </w:rPr>
        <w:t>Europe after anti-Jewish hatred and religious persecution had exploded in the Russian Empire, forcing one million Jews to flee towards Western Europe and the America</w:t>
      </w:r>
      <w:r w:rsidR="00471A17" w:rsidRPr="4810B1DF">
        <w:rPr>
          <w:rFonts w:eastAsia="Times New Roman"/>
        </w:rPr>
        <w:t>s</w:t>
      </w:r>
      <w:r w:rsidR="00773F7C" w:rsidRPr="4810B1DF">
        <w:rPr>
          <w:rFonts w:eastAsia="Times New Roman"/>
        </w:rPr>
        <w:t xml:space="preserve"> between 1880 and 1905.</w:t>
      </w:r>
      <w:r w:rsidR="00773F7C" w:rsidRPr="4810B1DF">
        <w:rPr>
          <w:rStyle w:val="FootnoteReference"/>
          <w:rFonts w:eastAsia="Times New Roman"/>
        </w:rPr>
        <w:footnoteReference w:id="122"/>
      </w:r>
      <w:r w:rsidR="00773F7C" w:rsidRPr="4810B1DF">
        <w:rPr>
          <w:rFonts w:eastAsia="Times New Roman"/>
        </w:rPr>
        <w:t xml:space="preserve"> </w:t>
      </w:r>
      <w:r w:rsidR="000705A1" w:rsidRPr="4810B1DF">
        <w:rPr>
          <w:rFonts w:eastAsia="Times New Roman"/>
        </w:rPr>
        <w:t>Within th</w:t>
      </w:r>
      <w:r w:rsidR="0051291C">
        <w:rPr>
          <w:rFonts w:eastAsia="Times New Roman"/>
        </w:rPr>
        <w:t>i</w:t>
      </w:r>
      <w:r w:rsidR="005B0862">
        <w:rPr>
          <w:rFonts w:eastAsia="Times New Roman"/>
        </w:rPr>
        <w:t>s period</w:t>
      </w:r>
      <w:r w:rsidR="00773F7C" w:rsidRPr="4810B1DF">
        <w:rPr>
          <w:rFonts w:eastAsia="Times New Roman"/>
        </w:rPr>
        <w:t xml:space="preserve"> of mass Jewish migration, ‘aliens’ meant Jewish people</w:t>
      </w:r>
      <w:r w:rsidR="000C76B9" w:rsidRPr="4810B1DF">
        <w:rPr>
          <w:rFonts w:eastAsia="Times New Roman"/>
        </w:rPr>
        <w:t xml:space="preserve">. In </w:t>
      </w:r>
      <w:r w:rsidR="00773F7C" w:rsidRPr="4810B1DF">
        <w:rPr>
          <w:rFonts w:eastAsia="Times New Roman"/>
        </w:rPr>
        <w:t>Balfour’s racial</w:t>
      </w:r>
      <w:r w:rsidR="000C76B9" w:rsidRPr="4810B1DF">
        <w:rPr>
          <w:rFonts w:eastAsia="Times New Roman"/>
        </w:rPr>
        <w:t>ly charged opinion</w:t>
      </w:r>
      <w:r w:rsidR="00E73704">
        <w:rPr>
          <w:rFonts w:eastAsia="Times New Roman"/>
        </w:rPr>
        <w:t>:</w:t>
      </w:r>
    </w:p>
    <w:p w14:paraId="0D3FF882" w14:textId="77777777" w:rsidR="00773F7C" w:rsidRPr="0017357E" w:rsidRDefault="00773F7C" w:rsidP="00057638">
      <w:pPr>
        <w:spacing w:line="259" w:lineRule="auto"/>
        <w:rPr>
          <w:rFonts w:eastAsia="Times New Roman" w:cstheme="minorHAnsi"/>
        </w:rPr>
      </w:pPr>
    </w:p>
    <w:p w14:paraId="6A2D419B" w14:textId="54111B08" w:rsidR="00773F7C" w:rsidRPr="0017357E" w:rsidRDefault="00773F7C" w:rsidP="00057638">
      <w:pPr>
        <w:spacing w:line="259" w:lineRule="auto"/>
        <w:ind w:left="283" w:right="283"/>
        <w:rPr>
          <w:rFonts w:eastAsia="Times New Roman" w:cstheme="minorHAnsi"/>
          <w:sz w:val="22"/>
          <w:szCs w:val="22"/>
        </w:rPr>
      </w:pPr>
      <w:r w:rsidRPr="06B23347">
        <w:rPr>
          <w:rFonts w:eastAsia="Times New Roman"/>
          <w:sz w:val="22"/>
          <w:szCs w:val="22"/>
        </w:rPr>
        <w:t>It would not be to the advantage of the civilization of this country that there should be an immense body of [Jewish] persons who, however patriotic, able and industrious […] remained a people apart.</w:t>
      </w:r>
      <w:r w:rsidRPr="06B23347">
        <w:rPr>
          <w:rStyle w:val="FootnoteReference"/>
          <w:rFonts w:eastAsia="Times New Roman"/>
          <w:sz w:val="22"/>
          <w:szCs w:val="22"/>
        </w:rPr>
        <w:footnoteReference w:id="123"/>
      </w:r>
      <w:r w:rsidRPr="06B23347">
        <w:rPr>
          <w:rFonts w:eastAsia="Times New Roman"/>
          <w:sz w:val="22"/>
          <w:szCs w:val="22"/>
        </w:rPr>
        <w:t xml:space="preserve">   </w:t>
      </w:r>
      <w:r w:rsidRPr="06B23347">
        <w:rPr>
          <w:rFonts w:eastAsia="Times New Roman"/>
          <w:sz w:val="22"/>
          <w:szCs w:val="22"/>
          <w:vertAlign w:val="superscript"/>
        </w:rPr>
        <w:t xml:space="preserve"> </w:t>
      </w:r>
    </w:p>
    <w:p w14:paraId="653AC1DB" w14:textId="77777777" w:rsidR="00773F7C" w:rsidRPr="0017357E" w:rsidRDefault="00773F7C" w:rsidP="00057638">
      <w:pPr>
        <w:spacing w:line="259" w:lineRule="auto"/>
        <w:ind w:left="283" w:right="283"/>
        <w:rPr>
          <w:rFonts w:eastAsia="Times New Roman" w:cstheme="minorHAnsi"/>
        </w:rPr>
      </w:pPr>
    </w:p>
    <w:p w14:paraId="3A169DD6" w14:textId="42F7E205" w:rsidR="00773F7C" w:rsidRPr="0017357E" w:rsidRDefault="00773F7C" w:rsidP="00057638">
      <w:pPr>
        <w:spacing w:line="259" w:lineRule="auto"/>
        <w:ind w:firstLine="720"/>
        <w:rPr>
          <w:rFonts w:eastAsia="Times New Roman"/>
        </w:rPr>
      </w:pPr>
      <w:r w:rsidRPr="4810B1DF">
        <w:rPr>
          <w:rFonts w:eastAsia="Times New Roman"/>
        </w:rPr>
        <w:t xml:space="preserve">In 1907, two years after the end of Balfour’s mandate as Prime Minister </w:t>
      </w:r>
      <w:r w:rsidR="00DD509C" w:rsidRPr="4810B1DF">
        <w:rPr>
          <w:rFonts w:eastAsia="Times New Roman"/>
        </w:rPr>
        <w:t>(</w:t>
      </w:r>
      <w:r w:rsidRPr="4810B1DF">
        <w:rPr>
          <w:rFonts w:eastAsia="Times New Roman"/>
        </w:rPr>
        <w:t>though still in post as Chancellor</w:t>
      </w:r>
      <w:r w:rsidR="00DD509C" w:rsidRPr="4810B1DF">
        <w:rPr>
          <w:rFonts w:eastAsia="Times New Roman"/>
        </w:rPr>
        <w:t>)</w:t>
      </w:r>
      <w:r w:rsidRPr="4810B1DF">
        <w:rPr>
          <w:rFonts w:eastAsia="Times New Roman"/>
        </w:rPr>
        <w:t xml:space="preserve">, the Eugenics Education Society was established in the </w:t>
      </w:r>
      <w:r w:rsidR="007A1B05">
        <w:rPr>
          <w:rFonts w:eastAsia="Times New Roman"/>
        </w:rPr>
        <w:t>UK</w:t>
      </w:r>
      <w:r w:rsidRPr="4810B1DF">
        <w:rPr>
          <w:rFonts w:eastAsia="Times New Roman"/>
        </w:rPr>
        <w:t>.</w:t>
      </w:r>
      <w:r w:rsidRPr="4810B1DF">
        <w:rPr>
          <w:rFonts w:eastAsia="Times New Roman"/>
          <w:vertAlign w:val="superscript"/>
        </w:rPr>
        <w:footnoteReference w:id="124"/>
      </w:r>
      <w:r w:rsidRPr="4810B1DF">
        <w:rPr>
          <w:rFonts w:eastAsia="Times New Roman"/>
        </w:rPr>
        <w:t xml:space="preserve"> Its creation was also a response to the social unrest resulting from capitalist development. The focus of the Society, which expressed a Conservative agenda of social reform and control of the proletariat (while including also </w:t>
      </w:r>
      <w:r w:rsidR="006511FF" w:rsidRPr="4810B1DF">
        <w:rPr>
          <w:rFonts w:eastAsia="Times New Roman"/>
        </w:rPr>
        <w:t>S</w:t>
      </w:r>
      <w:r w:rsidRPr="4810B1DF">
        <w:rPr>
          <w:rFonts w:eastAsia="Times New Roman"/>
        </w:rPr>
        <w:t xml:space="preserve">ocialist members), was predominantly on the prevention of the ‘degeneration of race’ at </w:t>
      </w:r>
      <w:r w:rsidR="006511FF" w:rsidRPr="4810B1DF">
        <w:rPr>
          <w:rFonts w:eastAsia="Times New Roman"/>
        </w:rPr>
        <w:t>a</w:t>
      </w:r>
      <w:r w:rsidRPr="4810B1DF">
        <w:rPr>
          <w:rFonts w:eastAsia="Times New Roman"/>
        </w:rPr>
        <w:t xml:space="preserve"> national level.</w:t>
      </w:r>
      <w:r w:rsidRPr="4810B1DF">
        <w:rPr>
          <w:rFonts w:eastAsia="Times New Roman"/>
          <w:vertAlign w:val="superscript"/>
        </w:rPr>
        <w:footnoteReference w:id="125"/>
      </w:r>
      <w:r w:rsidRPr="4810B1DF">
        <w:rPr>
          <w:rFonts w:eastAsia="Times New Roman"/>
        </w:rPr>
        <w:t xml:space="preserve"> In spite of his reluctance to embrace its most radical biologi</w:t>
      </w:r>
      <w:r w:rsidR="006511FF" w:rsidRPr="4810B1DF">
        <w:rPr>
          <w:rFonts w:eastAsia="Times New Roman"/>
        </w:rPr>
        <w:t>cal</w:t>
      </w:r>
      <w:r w:rsidRPr="4810B1DF">
        <w:rPr>
          <w:rFonts w:eastAsia="Times New Roman"/>
        </w:rPr>
        <w:t xml:space="preserve"> </w:t>
      </w:r>
      <w:r w:rsidR="006511FF" w:rsidRPr="4810B1DF">
        <w:rPr>
          <w:rFonts w:eastAsia="Times New Roman"/>
        </w:rPr>
        <w:t>ideas</w:t>
      </w:r>
      <w:r w:rsidRPr="4810B1DF">
        <w:rPr>
          <w:rFonts w:eastAsia="Times New Roman"/>
        </w:rPr>
        <w:t>, Balfour endorsed scientific racism. He considered eugenics a ‘splendid</w:t>
      </w:r>
      <w:r w:rsidR="001422EB">
        <w:rPr>
          <w:rFonts w:eastAsia="Times New Roman"/>
        </w:rPr>
        <w:t xml:space="preserve"> </w:t>
      </w:r>
      <w:r w:rsidRPr="4810B1DF">
        <w:rPr>
          <w:rFonts w:eastAsia="Times New Roman"/>
        </w:rPr>
        <w:t>applied science’ and directly supported the Eugenics Education Society.</w:t>
      </w:r>
      <w:r w:rsidR="00373AD4" w:rsidRPr="4810B1DF">
        <w:rPr>
          <w:rFonts w:eastAsia="Times New Roman"/>
          <w:vertAlign w:val="superscript"/>
        </w:rPr>
        <w:footnoteReference w:id="126"/>
      </w:r>
      <w:r w:rsidRPr="4810B1DF">
        <w:rPr>
          <w:rFonts w:eastAsia="Times New Roman"/>
        </w:rPr>
        <w:t xml:space="preserve"> In 1912, </w:t>
      </w:r>
      <w:r w:rsidR="00982773" w:rsidRPr="4810B1DF">
        <w:rPr>
          <w:rFonts w:eastAsia="Times New Roman"/>
        </w:rPr>
        <w:t xml:space="preserve">Balfour as </w:t>
      </w:r>
      <w:r w:rsidRPr="4810B1DF">
        <w:rPr>
          <w:rFonts w:eastAsia="Times New Roman"/>
        </w:rPr>
        <w:t xml:space="preserve">Chancellor was the principal guest at the Eugenics International Congress in London, and in 1913, he became </w:t>
      </w:r>
      <w:r w:rsidR="00C50AB0" w:rsidRPr="4810B1DF">
        <w:rPr>
          <w:rFonts w:eastAsia="Times New Roman"/>
        </w:rPr>
        <w:t>H</w:t>
      </w:r>
      <w:r w:rsidRPr="4810B1DF">
        <w:rPr>
          <w:rFonts w:eastAsia="Times New Roman"/>
        </w:rPr>
        <w:t xml:space="preserve">onorary </w:t>
      </w:r>
      <w:r w:rsidR="00C50AB0" w:rsidRPr="4810B1DF">
        <w:rPr>
          <w:rFonts w:eastAsia="Times New Roman"/>
        </w:rPr>
        <w:t>V</w:t>
      </w:r>
      <w:r w:rsidRPr="4810B1DF">
        <w:rPr>
          <w:rFonts w:eastAsia="Times New Roman"/>
        </w:rPr>
        <w:t xml:space="preserve">ice </w:t>
      </w:r>
      <w:r w:rsidR="00C50AB0" w:rsidRPr="4810B1DF">
        <w:rPr>
          <w:rFonts w:eastAsia="Times New Roman"/>
        </w:rPr>
        <w:t>P</w:t>
      </w:r>
      <w:r w:rsidRPr="4810B1DF">
        <w:rPr>
          <w:rFonts w:eastAsia="Times New Roman"/>
        </w:rPr>
        <w:t xml:space="preserve">resident of the </w:t>
      </w:r>
      <w:r w:rsidRPr="4810B1DF">
        <w:rPr>
          <w:rFonts w:eastAsia="Times New Roman"/>
        </w:rPr>
        <w:lastRenderedPageBreak/>
        <w:t>British Eugenics Education Society, reiterating the special place that racial reason played in his understanding of the world.</w:t>
      </w:r>
    </w:p>
    <w:p w14:paraId="098D3D77" w14:textId="79272417" w:rsidR="00773F7C" w:rsidRPr="0017357E" w:rsidRDefault="00773F7C" w:rsidP="00057638">
      <w:pPr>
        <w:spacing w:line="259" w:lineRule="auto"/>
        <w:ind w:firstLine="720"/>
        <w:rPr>
          <w:rFonts w:eastAsia="Times New Roman" w:cstheme="minorHAnsi"/>
        </w:rPr>
      </w:pPr>
      <w:r w:rsidRPr="2F1CA799">
        <w:rPr>
          <w:rFonts w:eastAsia="Times New Roman"/>
        </w:rPr>
        <w:t xml:space="preserve">These details of his intellectual and public life are </w:t>
      </w:r>
      <w:r w:rsidR="00982773" w:rsidRPr="2F1CA799">
        <w:rPr>
          <w:rFonts w:eastAsia="Times New Roman"/>
        </w:rPr>
        <w:t>neither an</w:t>
      </w:r>
      <w:r w:rsidRPr="2F1CA799">
        <w:rPr>
          <w:rFonts w:eastAsia="Times New Roman"/>
        </w:rPr>
        <w:t xml:space="preserve"> aberration from his political views as an imperial statesman</w:t>
      </w:r>
      <w:r w:rsidR="00C37F1C" w:rsidRPr="2F1CA799">
        <w:rPr>
          <w:rFonts w:eastAsia="Times New Roman"/>
        </w:rPr>
        <w:t>,</w:t>
      </w:r>
      <w:r w:rsidRPr="2F1CA799">
        <w:rPr>
          <w:rFonts w:eastAsia="Times New Roman"/>
        </w:rPr>
        <w:t xml:space="preserve"> nor a deviation from his involvement in global affairs</w:t>
      </w:r>
      <w:r w:rsidR="00C37F1C" w:rsidRPr="2F1CA799">
        <w:rPr>
          <w:rFonts w:eastAsia="Times New Roman"/>
        </w:rPr>
        <w:t>,</w:t>
      </w:r>
      <w:r w:rsidRPr="2F1CA799">
        <w:rPr>
          <w:rFonts w:eastAsia="Times New Roman"/>
        </w:rPr>
        <w:t xml:space="preserve"> such as on the Question of Palestine. On the contrary,</w:t>
      </w:r>
      <w:r w:rsidRPr="2F1CA799" w:rsidDel="007A1B05">
        <w:rPr>
          <w:rFonts w:eastAsia="Times New Roman"/>
        </w:rPr>
        <w:t xml:space="preserve"> </w:t>
      </w:r>
      <w:r w:rsidRPr="2F1CA799">
        <w:rPr>
          <w:rFonts w:eastAsia="Times New Roman"/>
        </w:rPr>
        <w:t>the continuity of his race-thinking</w:t>
      </w:r>
      <w:r w:rsidR="007A1B05">
        <w:rPr>
          <w:rFonts w:eastAsia="Times New Roman"/>
        </w:rPr>
        <w:t xml:space="preserve"> can be traced</w:t>
      </w:r>
      <w:r w:rsidRPr="2F1CA799">
        <w:rPr>
          <w:rFonts w:eastAsia="Times New Roman"/>
        </w:rPr>
        <w:t xml:space="preserve"> in the establishment of a settler colony in the Middle East. </w:t>
      </w:r>
      <w:r w:rsidR="00E972A2" w:rsidRPr="2F1CA799">
        <w:rPr>
          <w:rFonts w:eastAsia="Times New Roman"/>
        </w:rPr>
        <w:t>W</w:t>
      </w:r>
      <w:r w:rsidRPr="2F1CA799">
        <w:rPr>
          <w:rFonts w:eastAsia="Times New Roman"/>
        </w:rPr>
        <w:t xml:space="preserve">hat the 1917 Balfour Declaration on Palestine demonstrates most explicitly are the ways </w:t>
      </w:r>
      <w:r w:rsidR="00E972A2" w:rsidRPr="2F1CA799">
        <w:rPr>
          <w:rFonts w:eastAsia="Times New Roman"/>
        </w:rPr>
        <w:t>in which</w:t>
      </w:r>
      <w:r w:rsidRPr="2F1CA799">
        <w:rPr>
          <w:rFonts w:eastAsia="Times New Roman"/>
        </w:rPr>
        <w:t xml:space="preserve"> his forms of race-thinking </w:t>
      </w:r>
      <w:r w:rsidR="00E972A2" w:rsidRPr="2F1CA799">
        <w:rPr>
          <w:rFonts w:eastAsia="Times New Roman"/>
        </w:rPr>
        <w:t xml:space="preserve">had </w:t>
      </w:r>
      <w:r w:rsidRPr="2F1CA799">
        <w:rPr>
          <w:rFonts w:eastAsia="Times New Roman"/>
        </w:rPr>
        <w:t>matured into</w:t>
      </w:r>
      <w:r w:rsidR="00E972A2" w:rsidRPr="2F1CA799">
        <w:rPr>
          <w:rFonts w:eastAsia="Times New Roman"/>
        </w:rPr>
        <w:t xml:space="preserve"> an</w:t>
      </w:r>
      <w:r w:rsidRPr="2F1CA799">
        <w:rPr>
          <w:rFonts w:eastAsia="Times New Roman"/>
        </w:rPr>
        <w:t xml:space="preserve"> explicitly racist policy.</w:t>
      </w:r>
      <w:r w:rsidR="00E972A2" w:rsidRPr="2F1CA799">
        <w:rPr>
          <w:rFonts w:eastAsia="Times New Roman"/>
        </w:rPr>
        <w:t xml:space="preserve"> As Balfour himself commented</w:t>
      </w:r>
      <w:r w:rsidRPr="2F1CA799">
        <w:rPr>
          <w:rFonts w:eastAsia="Times New Roman"/>
        </w:rPr>
        <w:t>, ‘the deep underlying principle of self-determination really points to a Zionist policy’ which excluded Palestinians from becoming part of the family of nations.</w:t>
      </w:r>
      <w:r w:rsidRPr="2F1CA799">
        <w:rPr>
          <w:rFonts w:eastAsia="Times New Roman"/>
          <w:vertAlign w:val="superscript"/>
        </w:rPr>
        <w:footnoteReference w:id="127"/>
      </w:r>
      <w:r w:rsidRPr="2F1CA799">
        <w:rPr>
          <w:rFonts w:eastAsia="Times New Roman"/>
        </w:rPr>
        <w:t xml:space="preserve"> Indeed, as Balfour later admitted, his ultimate goal with </w:t>
      </w:r>
      <w:r w:rsidR="00E972A2" w:rsidRPr="2F1CA799">
        <w:rPr>
          <w:rFonts w:eastAsia="Times New Roman"/>
        </w:rPr>
        <w:t>the D</w:t>
      </w:r>
      <w:r w:rsidRPr="2F1CA799">
        <w:rPr>
          <w:rFonts w:eastAsia="Times New Roman"/>
        </w:rPr>
        <w:t>eclaration was to create the conditions for ‘a [Jewish settler] numerical majority in the future’</w:t>
      </w:r>
      <w:r w:rsidR="00E972A2" w:rsidRPr="2F1CA799">
        <w:rPr>
          <w:rFonts w:eastAsia="Times New Roman"/>
        </w:rPr>
        <w:t xml:space="preserve"> that was</w:t>
      </w:r>
      <w:r w:rsidRPr="2F1CA799">
        <w:rPr>
          <w:rFonts w:eastAsia="Times New Roman"/>
        </w:rPr>
        <w:t xml:space="preserve"> entitled to exclusive national sovereignty in virtue of their alleged superior civilisation and capacity to govern themselves.</w:t>
      </w:r>
      <w:r w:rsidR="00E972A2" w:rsidRPr="2F1CA799">
        <w:rPr>
          <w:rFonts w:eastAsia="Times New Roman"/>
          <w:vertAlign w:val="superscript"/>
        </w:rPr>
        <w:footnoteReference w:id="128"/>
      </w:r>
    </w:p>
    <w:p w14:paraId="4DB22552" w14:textId="32E0A40F" w:rsidR="00773F7C" w:rsidRPr="0017357E" w:rsidRDefault="00773F7C" w:rsidP="00057638">
      <w:pPr>
        <w:spacing w:line="259" w:lineRule="auto"/>
        <w:ind w:firstLine="720"/>
        <w:rPr>
          <w:rFonts w:eastAsia="Times New Roman" w:cstheme="minorHAnsi"/>
        </w:rPr>
      </w:pPr>
      <w:r w:rsidRPr="2F1CA799">
        <w:rPr>
          <w:rFonts w:eastAsia="Times New Roman"/>
        </w:rPr>
        <w:t xml:space="preserve">According to Balfour, in the best of cases, Palestinians could aspire to civil and religious rights, but not </w:t>
      </w:r>
      <w:r w:rsidR="00162473" w:rsidRPr="2F1CA799">
        <w:rPr>
          <w:rFonts w:eastAsia="Times New Roman"/>
        </w:rPr>
        <w:t xml:space="preserve">to </w:t>
      </w:r>
      <w:r w:rsidRPr="2F1CA799">
        <w:rPr>
          <w:rFonts w:eastAsia="Times New Roman"/>
        </w:rPr>
        <w:t>national ones. There are two interconnected elements of the Balfour Declaration that mark its contribution to what scholars such as Edward Said have called a settler</w:t>
      </w:r>
      <w:r w:rsidR="00492A47">
        <w:rPr>
          <w:rFonts w:eastAsia="Times New Roman"/>
        </w:rPr>
        <w:t>-</w:t>
      </w:r>
      <w:r w:rsidRPr="2F1CA799">
        <w:rPr>
          <w:rFonts w:eastAsia="Times New Roman"/>
        </w:rPr>
        <w:t xml:space="preserve">colonial order in Palestine. First, as Said succinctly described in </w:t>
      </w:r>
      <w:r w:rsidRPr="3C6D1E23">
        <w:rPr>
          <w:rFonts w:eastAsia="Times New Roman"/>
          <w:i/>
          <w:iCs/>
        </w:rPr>
        <w:t>The Question of Palestine</w:t>
      </w:r>
      <w:r w:rsidRPr="2F1CA799">
        <w:rPr>
          <w:rFonts w:eastAsia="Times New Roman"/>
        </w:rPr>
        <w:t>,</w:t>
      </w:r>
      <w:r w:rsidRPr="3C6D1E23">
        <w:rPr>
          <w:rFonts w:eastAsia="Times New Roman"/>
          <w:i/>
          <w:iCs/>
        </w:rPr>
        <w:t xml:space="preserve"> </w:t>
      </w:r>
      <w:r w:rsidRPr="2F1CA799">
        <w:rPr>
          <w:rFonts w:eastAsia="Times New Roman"/>
        </w:rPr>
        <w:t>Balfour took ‘for granted the higher right of a colonial power to dispose of a territory as it saw fit’.</w:t>
      </w:r>
      <w:r w:rsidRPr="2F1CA799">
        <w:rPr>
          <w:rFonts w:eastAsia="Times New Roman"/>
          <w:vertAlign w:val="superscript"/>
        </w:rPr>
        <w:footnoteReference w:id="129"/>
      </w:r>
      <w:r w:rsidRPr="2F1CA799">
        <w:rPr>
          <w:rFonts w:eastAsia="Times New Roman"/>
        </w:rPr>
        <w:t xml:space="preserve"> Second, he gave credence to the rights of an incoming settler society that gradually but forcefully secured their settlement through colonial dispossession, theft and expulsion. The Balfour Declaration was</w:t>
      </w:r>
      <w:r w:rsidR="00C13F94" w:rsidRPr="2F1CA799">
        <w:rPr>
          <w:rFonts w:eastAsia="Times New Roman"/>
        </w:rPr>
        <w:t xml:space="preserve"> therefore</w:t>
      </w:r>
      <w:r w:rsidRPr="2F1CA799">
        <w:rPr>
          <w:rFonts w:eastAsia="Times New Roman"/>
        </w:rPr>
        <w:t xml:space="preserve"> the </w:t>
      </w:r>
      <w:r w:rsidRPr="3C6D1E23">
        <w:rPr>
          <w:rFonts w:eastAsia="Times New Roman"/>
          <w:i/>
          <w:iCs/>
        </w:rPr>
        <w:t>sine qua non</w:t>
      </w:r>
      <w:r w:rsidRPr="2F1CA799">
        <w:rPr>
          <w:rFonts w:eastAsia="Times New Roman"/>
        </w:rPr>
        <w:t xml:space="preserve"> for the constitution of a settler</w:t>
      </w:r>
      <w:r w:rsidR="00492A47">
        <w:rPr>
          <w:rFonts w:eastAsia="Times New Roman"/>
        </w:rPr>
        <w:t>-</w:t>
      </w:r>
      <w:r w:rsidRPr="2F1CA799">
        <w:rPr>
          <w:rFonts w:eastAsia="Times New Roman"/>
        </w:rPr>
        <w:t xml:space="preserve">colonial order in Palestine </w:t>
      </w:r>
      <w:r w:rsidR="00C13F94" w:rsidRPr="2F1CA799">
        <w:rPr>
          <w:rFonts w:eastAsia="Times New Roman"/>
        </w:rPr>
        <w:t>that endures into the</w:t>
      </w:r>
      <w:r w:rsidRPr="2F1CA799">
        <w:rPr>
          <w:rFonts w:eastAsia="Times New Roman"/>
        </w:rPr>
        <w:t xml:space="preserve"> present. </w:t>
      </w:r>
    </w:p>
    <w:p w14:paraId="464E977A" w14:textId="77777777" w:rsidR="00773F7C" w:rsidRPr="0017357E" w:rsidRDefault="00773F7C" w:rsidP="00382D51">
      <w:pPr>
        <w:spacing w:line="259" w:lineRule="auto"/>
        <w:ind w:firstLine="720"/>
        <w:jc w:val="both"/>
        <w:rPr>
          <w:rFonts w:eastAsia="Times New Roman" w:cstheme="minorHAnsi"/>
          <w:vertAlign w:val="superscript"/>
        </w:rPr>
      </w:pPr>
    </w:p>
    <w:p w14:paraId="5015F13F" w14:textId="0238E2BE" w:rsidR="00773F7C" w:rsidRPr="0017357E" w:rsidRDefault="005267F9" w:rsidP="00130766">
      <w:pPr>
        <w:pStyle w:val="Heading4"/>
      </w:pPr>
      <w:r>
        <w:t xml:space="preserve">Research Finding 3: </w:t>
      </w:r>
      <w:r w:rsidR="00773F7C" w:rsidRPr="0017357E">
        <w:t xml:space="preserve">Balfour in Palestine and </w:t>
      </w:r>
      <w:r>
        <w:t>I</w:t>
      </w:r>
      <w:r w:rsidR="00773F7C" w:rsidRPr="0017357E">
        <w:t xml:space="preserve">mperial </w:t>
      </w:r>
      <w:r>
        <w:t>E</w:t>
      </w:r>
      <w:r w:rsidR="00773F7C" w:rsidRPr="0017357E">
        <w:t>ducation</w:t>
      </w:r>
    </w:p>
    <w:p w14:paraId="22AA0A8C" w14:textId="7982DD78" w:rsidR="00773F7C" w:rsidRPr="0017357E" w:rsidRDefault="00773F7C" w:rsidP="00057638">
      <w:pPr>
        <w:spacing w:line="259" w:lineRule="auto"/>
        <w:rPr>
          <w:rFonts w:cstheme="minorHAnsi"/>
        </w:rPr>
      </w:pPr>
      <w:r w:rsidRPr="2F1CA799">
        <w:t xml:space="preserve">On </w:t>
      </w:r>
      <w:r w:rsidR="00106E63" w:rsidRPr="2F1CA799">
        <w:t xml:space="preserve">8 </w:t>
      </w:r>
      <w:r w:rsidRPr="2F1CA799">
        <w:t xml:space="preserve">July 1903, the first Allied Colonial University Conference took place in London. The development of a colonial space </w:t>
      </w:r>
      <w:r w:rsidR="000F5CEA" w:rsidRPr="2F1CA799">
        <w:t>for</w:t>
      </w:r>
      <w:r w:rsidRPr="2F1CA799">
        <w:t xml:space="preserve"> knowledge production </w:t>
      </w:r>
      <w:r w:rsidR="000F5CEA" w:rsidRPr="2F1CA799">
        <w:t>through the development of</w:t>
      </w:r>
      <w:r w:rsidRPr="2F1CA799">
        <w:t xml:space="preserve"> university networks was </w:t>
      </w:r>
      <w:r w:rsidR="000F5CEA" w:rsidRPr="2F1CA799">
        <w:t>intended to support</w:t>
      </w:r>
      <w:r w:rsidRPr="2F1CA799">
        <w:t xml:space="preserve"> British imperial rule.</w:t>
      </w:r>
      <w:r w:rsidRPr="2F1CA799">
        <w:rPr>
          <w:rStyle w:val="FootnoteReference"/>
        </w:rPr>
        <w:footnoteReference w:id="130"/>
      </w:r>
      <w:r w:rsidRPr="2F1CA799">
        <w:t xml:space="preserve"> </w:t>
      </w:r>
      <w:r w:rsidR="000F5CEA" w:rsidRPr="2F1CA799">
        <w:t>As both</w:t>
      </w:r>
      <w:r w:rsidRPr="2F1CA799">
        <w:t xml:space="preserve"> Prime Minister</w:t>
      </w:r>
      <w:r w:rsidR="000F5CEA" w:rsidRPr="2F1CA799">
        <w:t xml:space="preserve"> </w:t>
      </w:r>
      <w:r w:rsidRPr="2F1CA799">
        <w:t>and Chancellor</w:t>
      </w:r>
      <w:r w:rsidR="00BB64C0">
        <w:t xml:space="preserve"> of the University of Edinburgh</w:t>
      </w:r>
      <w:r w:rsidRPr="2F1CA799">
        <w:t xml:space="preserve">, </w:t>
      </w:r>
      <w:r w:rsidR="000F5CEA" w:rsidRPr="2F1CA799">
        <w:t xml:space="preserve">Balfour </w:t>
      </w:r>
      <w:r w:rsidRPr="2F1CA799">
        <w:t>was one of the main architects of this imperial turn to academ</w:t>
      </w:r>
      <w:r w:rsidR="00C672A3">
        <w:t>ia</w:t>
      </w:r>
      <w:r w:rsidRPr="2F1CA799">
        <w:t xml:space="preserve">. </w:t>
      </w:r>
    </w:p>
    <w:p w14:paraId="4EDDB880" w14:textId="37AD01F0" w:rsidR="00773F7C" w:rsidRPr="0017357E" w:rsidRDefault="00773F7C" w:rsidP="00057638">
      <w:pPr>
        <w:spacing w:line="259" w:lineRule="auto"/>
        <w:ind w:firstLine="720"/>
      </w:pPr>
      <w:r w:rsidRPr="4810B1DF">
        <w:t xml:space="preserve">At the Hotel Cecil, Balfour presided </w:t>
      </w:r>
      <w:r w:rsidR="00F325E0" w:rsidRPr="4810B1DF">
        <w:t xml:space="preserve">over </w:t>
      </w:r>
      <w:r w:rsidRPr="4810B1DF">
        <w:t xml:space="preserve">the conference dinner attended by colonial </w:t>
      </w:r>
      <w:r w:rsidR="00B050BA" w:rsidRPr="4810B1DF">
        <w:t>universit</w:t>
      </w:r>
      <w:r w:rsidR="00B050BA">
        <w:t>y</w:t>
      </w:r>
      <w:r w:rsidR="00B050BA" w:rsidRPr="4810B1DF">
        <w:t xml:space="preserve"> </w:t>
      </w:r>
      <w:r w:rsidRPr="4810B1DF">
        <w:t>delegates, heads of colleges and ‘men prominent in educational and scientific work’.</w:t>
      </w:r>
      <w:r w:rsidR="00247960">
        <w:rPr>
          <w:rStyle w:val="FootnoteReference"/>
        </w:rPr>
        <w:footnoteReference w:id="131"/>
      </w:r>
      <w:r w:rsidRPr="4810B1DF">
        <w:t xml:space="preserve"> After the customary toasts, Balfour held a speech in which he celebrated the foundation of </w:t>
      </w:r>
      <w:r w:rsidR="002B1D45" w:rsidRPr="4810B1DF">
        <w:t>a</w:t>
      </w:r>
      <w:r w:rsidRPr="4810B1DF">
        <w:t xml:space="preserve"> new British colonial-academic alliance and explained why this was a remarkable political achievement: </w:t>
      </w:r>
    </w:p>
    <w:p w14:paraId="2AFBE1D7" w14:textId="77777777" w:rsidR="00773F7C" w:rsidRPr="0017357E" w:rsidRDefault="00773F7C" w:rsidP="00057638">
      <w:pPr>
        <w:spacing w:line="259" w:lineRule="auto"/>
        <w:rPr>
          <w:rFonts w:cstheme="minorHAnsi"/>
        </w:rPr>
      </w:pPr>
    </w:p>
    <w:p w14:paraId="1C13B8B1" w14:textId="73BC18C9" w:rsidR="00773F7C" w:rsidRPr="0017357E" w:rsidRDefault="00773F7C" w:rsidP="00057638">
      <w:pPr>
        <w:spacing w:line="259" w:lineRule="auto"/>
        <w:ind w:left="283" w:right="283"/>
        <w:rPr>
          <w:sz w:val="22"/>
          <w:szCs w:val="22"/>
        </w:rPr>
      </w:pPr>
      <w:r w:rsidRPr="4810B1DF">
        <w:rPr>
          <w:sz w:val="22"/>
          <w:szCs w:val="22"/>
        </w:rPr>
        <w:lastRenderedPageBreak/>
        <w:t>We are here representing what will turn out to be, I believe, a great alliance of the greatest educational instruments in the Empire</w:t>
      </w:r>
      <w:r w:rsidR="002B1D45" w:rsidRPr="4810B1DF">
        <w:rPr>
          <w:sz w:val="22"/>
          <w:szCs w:val="22"/>
        </w:rPr>
        <w:t xml:space="preserve"> </w:t>
      </w:r>
      <w:r w:rsidRPr="4810B1DF">
        <w:rPr>
          <w:sz w:val="22"/>
          <w:szCs w:val="22"/>
        </w:rPr>
        <w:t>—</w:t>
      </w:r>
      <w:r w:rsidR="002B1D45" w:rsidRPr="4810B1DF">
        <w:rPr>
          <w:sz w:val="22"/>
          <w:szCs w:val="22"/>
        </w:rPr>
        <w:t xml:space="preserve"> </w:t>
      </w:r>
      <w:r w:rsidRPr="4810B1DF">
        <w:rPr>
          <w:sz w:val="22"/>
          <w:szCs w:val="22"/>
        </w:rPr>
        <w:t xml:space="preserve">an alliance of all the universities that, in an increasing measure, are feeling their responsibilities, not merely for training the youth which is destined to carry on the traditions of the British Empire, but also to further those great interests of knowledge, scientific research, and culture without which no Empire, however materially magnificent, can really say that it is doing </w:t>
      </w:r>
      <w:r w:rsidR="64DCA093" w:rsidRPr="4810B1DF">
        <w:rPr>
          <w:sz w:val="22"/>
          <w:szCs w:val="22"/>
        </w:rPr>
        <w:t xml:space="preserve">its </w:t>
      </w:r>
      <w:r w:rsidRPr="4810B1DF">
        <w:rPr>
          <w:sz w:val="22"/>
          <w:szCs w:val="22"/>
        </w:rPr>
        <w:t>share in the progress of the world.</w:t>
      </w:r>
      <w:r w:rsidRPr="4810B1DF">
        <w:rPr>
          <w:rStyle w:val="FootnoteReference"/>
          <w:sz w:val="22"/>
          <w:szCs w:val="22"/>
        </w:rPr>
        <w:footnoteReference w:id="132"/>
      </w:r>
    </w:p>
    <w:p w14:paraId="3BA131FF" w14:textId="77777777" w:rsidR="00773F7C" w:rsidRPr="0017357E" w:rsidRDefault="00773F7C" w:rsidP="00057638">
      <w:pPr>
        <w:spacing w:line="259" w:lineRule="auto"/>
        <w:ind w:left="283" w:right="283"/>
        <w:rPr>
          <w:rFonts w:cstheme="minorHAnsi"/>
        </w:rPr>
      </w:pPr>
    </w:p>
    <w:p w14:paraId="6134FF6C" w14:textId="07F75B2B" w:rsidR="00773F7C" w:rsidRPr="0017357E" w:rsidRDefault="00773F7C" w:rsidP="00057638">
      <w:pPr>
        <w:spacing w:line="259" w:lineRule="auto"/>
        <w:rPr>
          <w:rFonts w:cstheme="minorHAnsi"/>
        </w:rPr>
      </w:pPr>
      <w:r w:rsidRPr="2F1CA799">
        <w:t xml:space="preserve">In Balfour’s mind, the new colonial academic alliance was a crucial tool for cementing the </w:t>
      </w:r>
      <w:r w:rsidR="00E8329A" w:rsidRPr="2F1CA799">
        <w:t xml:space="preserve">same </w:t>
      </w:r>
      <w:r w:rsidRPr="2F1CA799">
        <w:t xml:space="preserve">British </w:t>
      </w:r>
      <w:r w:rsidR="00F325E0" w:rsidRPr="2F1CA799">
        <w:t xml:space="preserve">global </w:t>
      </w:r>
      <w:r w:rsidRPr="2F1CA799">
        <w:t>domination</w:t>
      </w:r>
      <w:r w:rsidR="00E8329A" w:rsidRPr="2F1CA799">
        <w:t xml:space="preserve"> to which</w:t>
      </w:r>
      <w:r w:rsidRPr="2F1CA799">
        <w:t xml:space="preserve"> he was contributing as a statesman. But it was also a key instrument for affirming a sense of racial white Anglo-Saxon unity</w:t>
      </w:r>
      <w:r w:rsidR="009331B8" w:rsidRPr="2F1CA799">
        <w:t>,</w:t>
      </w:r>
      <w:r w:rsidR="00F325E0" w:rsidRPr="2F1CA799">
        <w:t xml:space="preserve"> since</w:t>
      </w:r>
      <w:r w:rsidRPr="2F1CA799">
        <w:t xml:space="preserve"> ‘we boast a community of blood, of language, of laws, of literature’</w:t>
      </w:r>
      <w:r w:rsidR="006E6C57" w:rsidRPr="2F1CA799">
        <w:t>.</w:t>
      </w:r>
      <w:r w:rsidR="00E8329A" w:rsidRPr="2F1CA799">
        <w:rPr>
          <w:rStyle w:val="FootnoteReference"/>
        </w:rPr>
        <w:footnoteReference w:id="133"/>
      </w:r>
      <w:r w:rsidRPr="2F1CA799">
        <w:t xml:space="preserve">  </w:t>
      </w:r>
    </w:p>
    <w:p w14:paraId="12EA8251" w14:textId="49DC4542" w:rsidR="00773F7C" w:rsidRPr="0017357E" w:rsidRDefault="00773F7C" w:rsidP="00057638">
      <w:pPr>
        <w:spacing w:line="259" w:lineRule="auto"/>
        <w:ind w:firstLine="720"/>
      </w:pPr>
      <w:r w:rsidRPr="4810B1DF">
        <w:t xml:space="preserve">A couple of years later, after terminating his mandate as Prime Minister in 1905, Balfour withdrew </w:t>
      </w:r>
      <w:r w:rsidR="006E6C57" w:rsidRPr="4810B1DF">
        <w:t xml:space="preserve">for </w:t>
      </w:r>
      <w:r w:rsidRPr="4810B1DF">
        <w:t>almost a decade from the centre-stage of imperial foreign policy</w:t>
      </w:r>
      <w:r w:rsidR="006E6C57" w:rsidRPr="4810B1DF">
        <w:t xml:space="preserve">, </w:t>
      </w:r>
      <w:r w:rsidRPr="4810B1DF">
        <w:t>before making his return in 1916 as Foreign Secretary, one year before the</w:t>
      </w:r>
      <w:r w:rsidR="00F767DF" w:rsidRPr="4810B1DF">
        <w:t xml:space="preserve"> Balfour</w:t>
      </w:r>
      <w:r w:rsidRPr="4810B1DF">
        <w:t xml:space="preserve"> Declaration. But in those ten years preceding World War I, the </w:t>
      </w:r>
      <w:r w:rsidR="00A27530">
        <w:t>University of Edinburgh</w:t>
      </w:r>
      <w:r w:rsidR="00C81BB8">
        <w:t>’s</w:t>
      </w:r>
      <w:r w:rsidR="00BF0303" w:rsidRPr="4810B1DF">
        <w:t xml:space="preserve"> C</w:t>
      </w:r>
      <w:r w:rsidRPr="4810B1DF">
        <w:t xml:space="preserve">hancellor continued to provide his contribution to the construction of the British imperial academic space. In 1912, perhaps due to his growing interest in ‘the Orient’, Balfour was asked to chair a session of the Second Congress of the Universities of the Empire on </w:t>
      </w:r>
      <w:r w:rsidRPr="3C6D1E23">
        <w:rPr>
          <w:i/>
          <w:iCs/>
        </w:rPr>
        <w:t xml:space="preserve">The Problem of Universities in the East in Regard to their Influence on Character and Moral Ideals. </w:t>
      </w:r>
      <w:r w:rsidRPr="4810B1DF">
        <w:t xml:space="preserve">In his opening speech, he underscored </w:t>
      </w:r>
      <w:r w:rsidR="001949D1" w:rsidRPr="4810B1DF">
        <w:t>what he saw as the inherent incompatibility between Eastern traditions and Western science</w:t>
      </w:r>
      <w:r w:rsidR="00C81BB8">
        <w:t xml:space="preserve">. He </w:t>
      </w:r>
      <w:r w:rsidR="00B8115B" w:rsidRPr="4810B1DF">
        <w:t>comment</w:t>
      </w:r>
      <w:r w:rsidR="00C81BB8">
        <w:t>ed</w:t>
      </w:r>
      <w:r w:rsidR="00B8115B" w:rsidRPr="4810B1DF">
        <w:t xml:space="preserve"> that, if </w:t>
      </w:r>
      <w:r w:rsidRPr="4810B1DF">
        <w:t>there has been ‘mutual adjustment’ between scientific knowledge and socio-cultural traditions</w:t>
      </w:r>
      <w:r w:rsidR="00B8115B" w:rsidRPr="4810B1DF">
        <w:t xml:space="preserve"> Western universities</w:t>
      </w:r>
      <w:r w:rsidRPr="4810B1DF">
        <w:t>, science and social customs are in a relationship of ‘collision’</w:t>
      </w:r>
      <w:r w:rsidR="00B8115B" w:rsidRPr="4810B1DF">
        <w:t xml:space="preserve"> in Eastern universities</w:t>
      </w:r>
      <w:r w:rsidRPr="4810B1DF">
        <w:t>.</w:t>
      </w:r>
      <w:r w:rsidRPr="4810B1DF">
        <w:rPr>
          <w:rStyle w:val="FootnoteReference"/>
        </w:rPr>
        <w:footnoteReference w:id="134"/>
      </w:r>
      <w:r w:rsidRPr="4810B1DF">
        <w:t xml:space="preserve"> </w:t>
      </w:r>
    </w:p>
    <w:p w14:paraId="128DF002" w14:textId="033031ED" w:rsidR="00773F7C" w:rsidRPr="0017357E" w:rsidRDefault="00773F7C" w:rsidP="00057638">
      <w:pPr>
        <w:spacing w:line="259" w:lineRule="auto"/>
        <w:ind w:firstLine="720"/>
      </w:pPr>
      <w:r w:rsidRPr="06B23347">
        <w:t xml:space="preserve">This idea of incompatibility was grounded in a concept of </w:t>
      </w:r>
      <w:r w:rsidR="001949D1" w:rsidRPr="06B23347">
        <w:t>‘</w:t>
      </w:r>
      <w:r w:rsidRPr="06B23347">
        <w:t>natural</w:t>
      </w:r>
      <w:r w:rsidR="001949D1" w:rsidRPr="06B23347">
        <w:t>’</w:t>
      </w:r>
      <w:r w:rsidRPr="06B23347">
        <w:t xml:space="preserve"> racial inequalities that Balfour had articulated a few years earlier in</w:t>
      </w:r>
      <w:r w:rsidR="001949D1" w:rsidRPr="06B23347">
        <w:t xml:space="preserve"> </w:t>
      </w:r>
      <w:r w:rsidR="00E7718C" w:rsidRPr="06B23347">
        <w:t>a</w:t>
      </w:r>
      <w:r w:rsidR="001949D1" w:rsidRPr="06B23347">
        <w:t xml:space="preserve"> </w:t>
      </w:r>
      <w:r w:rsidR="00866B55" w:rsidRPr="06B23347">
        <w:t xml:space="preserve">philosophical essay </w:t>
      </w:r>
      <w:r w:rsidR="00E7718C" w:rsidRPr="06B23347">
        <w:t>called</w:t>
      </w:r>
      <w:r w:rsidR="00866B55" w:rsidRPr="06B23347">
        <w:t xml:space="preserve"> ‘</w:t>
      </w:r>
      <w:r w:rsidRPr="06B23347">
        <w:t>Decadence</w:t>
      </w:r>
      <w:r w:rsidR="00866B55" w:rsidRPr="06B23347">
        <w:t>’</w:t>
      </w:r>
      <w:r w:rsidRPr="06B23347">
        <w:t xml:space="preserve">. In this </w:t>
      </w:r>
      <w:r w:rsidR="00866B55" w:rsidRPr="06B23347">
        <w:t>essay</w:t>
      </w:r>
      <w:r w:rsidRPr="06B23347">
        <w:t>, Balfour explained how the history of the ‘unchanging East’ is dominated by a monotony of ‘Oriental despotism’</w:t>
      </w:r>
      <w:r w:rsidR="00D22E64">
        <w:t>, which</w:t>
      </w:r>
      <w:r w:rsidRPr="06B23347" w:rsidDel="00D22E64">
        <w:t xml:space="preserve"> </w:t>
      </w:r>
      <w:r w:rsidR="00D22E64">
        <w:t>pointed towards</w:t>
      </w:r>
      <w:r w:rsidR="00542CFB" w:rsidRPr="06B23347">
        <w:t xml:space="preserve"> its</w:t>
      </w:r>
      <w:r w:rsidR="007671D6" w:rsidRPr="06B23347">
        <w:t xml:space="preserve"> inability to </w:t>
      </w:r>
      <w:r w:rsidRPr="06B23347">
        <w:t>self-govern</w:t>
      </w:r>
      <w:r w:rsidR="00D22E64">
        <w:t>. He</w:t>
      </w:r>
      <w:r w:rsidRPr="06B23347">
        <w:t xml:space="preserve"> </w:t>
      </w:r>
      <w:r w:rsidR="00E7718C" w:rsidRPr="06B23347">
        <w:t>wr</w:t>
      </w:r>
      <w:r w:rsidR="00D22E64">
        <w:t>ote</w:t>
      </w:r>
      <w:r w:rsidR="00E7718C" w:rsidRPr="06B23347">
        <w:t xml:space="preserve"> that</w:t>
      </w:r>
      <w:r w:rsidR="008213FD">
        <w:t>:</w:t>
      </w:r>
      <w:r w:rsidR="2283E0AE" w:rsidRPr="06B23347">
        <w:t xml:space="preserve"> </w:t>
      </w:r>
    </w:p>
    <w:p w14:paraId="6A3D3718" w14:textId="77777777" w:rsidR="00773F7C" w:rsidRPr="0017357E" w:rsidRDefault="00773F7C" w:rsidP="00382D51">
      <w:pPr>
        <w:spacing w:line="259" w:lineRule="auto"/>
        <w:jc w:val="both"/>
        <w:rPr>
          <w:rFonts w:cstheme="minorHAnsi"/>
        </w:rPr>
      </w:pPr>
    </w:p>
    <w:p w14:paraId="497780AA" w14:textId="22BF022A" w:rsidR="00773F7C" w:rsidRPr="0017357E" w:rsidRDefault="2ADD1134" w:rsidP="00057638">
      <w:pPr>
        <w:spacing w:line="259" w:lineRule="auto"/>
        <w:ind w:left="283" w:right="283"/>
        <w:rPr>
          <w:sz w:val="22"/>
          <w:szCs w:val="22"/>
        </w:rPr>
      </w:pPr>
      <w:r w:rsidRPr="06B23347">
        <w:rPr>
          <w:sz w:val="22"/>
          <w:szCs w:val="22"/>
        </w:rPr>
        <w:t xml:space="preserve">I at least find it quite impossible to believe that any </w:t>
      </w:r>
      <w:r w:rsidR="00773F7C" w:rsidRPr="06B23347">
        <w:rPr>
          <w:sz w:val="22"/>
          <w:szCs w:val="22"/>
        </w:rPr>
        <w:t>attempt to provide widely different races with an identical […] educational [environment] can ever make them alike. They have been different and unequal since history began; different and unequal they are destined to remain.</w:t>
      </w:r>
      <w:r w:rsidR="00773F7C" w:rsidRPr="06B23347">
        <w:rPr>
          <w:rStyle w:val="FootnoteReference"/>
          <w:sz w:val="22"/>
          <w:szCs w:val="22"/>
        </w:rPr>
        <w:footnoteReference w:id="135"/>
      </w:r>
    </w:p>
    <w:p w14:paraId="088FD7A6" w14:textId="77777777" w:rsidR="00773F7C" w:rsidRPr="0017357E" w:rsidRDefault="00773F7C" w:rsidP="00057638">
      <w:pPr>
        <w:spacing w:line="259" w:lineRule="auto"/>
        <w:rPr>
          <w:rFonts w:cstheme="minorHAnsi"/>
        </w:rPr>
      </w:pPr>
    </w:p>
    <w:p w14:paraId="5480671A" w14:textId="0ABF1372" w:rsidR="00773F7C" w:rsidRPr="0017357E" w:rsidRDefault="00773F7C" w:rsidP="00057638">
      <w:pPr>
        <w:spacing w:line="259" w:lineRule="auto"/>
        <w:ind w:firstLine="720"/>
        <w:rPr>
          <w:rFonts w:cstheme="minorHAnsi"/>
        </w:rPr>
      </w:pPr>
      <w:r w:rsidRPr="2F1CA799">
        <w:t>While Balfour was developing his theories on racial difference, the Zionist movement was planning the establishment of the Hebrew University in Jerusalem</w:t>
      </w:r>
      <w:r w:rsidR="004B322C">
        <w:t>,</w:t>
      </w:r>
      <w:r w:rsidRPr="2F1CA799">
        <w:t xml:space="preserve"> as a move of high ‘practical and symbolic significance’ towards the consolidation of Zionist colonial settlement in Palestine. </w:t>
      </w:r>
      <w:r w:rsidR="001B18BC" w:rsidRPr="2F1CA799">
        <w:t>To quote its chairman, Chaim Weizmann, who also played a prominent role in convincing Balfour to issue the Declaration, t</w:t>
      </w:r>
      <w:r w:rsidRPr="2F1CA799">
        <w:t xml:space="preserve">he </w:t>
      </w:r>
      <w:r w:rsidR="00F05DC5" w:rsidRPr="2F1CA799">
        <w:t>U</w:t>
      </w:r>
      <w:r w:rsidRPr="2F1CA799">
        <w:t xml:space="preserve">niversity was conceived as the ‘fulfilment </w:t>
      </w:r>
      <w:r w:rsidRPr="2F1CA799">
        <w:lastRenderedPageBreak/>
        <w:t>of [the] particular dream of the early days of the movement’.</w:t>
      </w:r>
      <w:r w:rsidR="00F05DC5" w:rsidRPr="2F1CA799">
        <w:rPr>
          <w:rStyle w:val="FootnoteReference"/>
        </w:rPr>
        <w:footnoteReference w:id="136"/>
      </w:r>
      <w:r w:rsidRPr="2F1CA799">
        <w:t xml:space="preserve"> In 1923, Weizmann invited Patrick Geddes</w:t>
      </w:r>
      <w:r w:rsidR="00F05DC5" w:rsidRPr="2F1CA799">
        <w:t xml:space="preserve"> — a former lecturer in Zoology at </w:t>
      </w:r>
      <w:r w:rsidR="00552C72">
        <w:t xml:space="preserve">the </w:t>
      </w:r>
      <w:r w:rsidR="00A27530">
        <w:t>University of Edinburgh</w:t>
      </w:r>
      <w:r w:rsidR="00F05DC5" w:rsidRPr="2F1CA799">
        <w:t xml:space="preserve"> (1880</w:t>
      </w:r>
      <w:r w:rsidR="00F05DC5">
        <w:rPr>
          <w:rFonts w:ascii="Calibri" w:hAnsi="Calibri" w:cs="Calibri"/>
        </w:rPr>
        <w:t>–</w:t>
      </w:r>
      <w:r w:rsidR="00F05DC5" w:rsidRPr="2F1CA799">
        <w:t xml:space="preserve">1888) and </w:t>
      </w:r>
      <w:r w:rsidR="001B18BC" w:rsidRPr="2F1CA799">
        <w:t>a</w:t>
      </w:r>
      <w:r w:rsidR="00F05DC5" w:rsidRPr="2F1CA799">
        <w:t xml:space="preserve"> renowned Scottish sociologist and urbanist —</w:t>
      </w:r>
      <w:r w:rsidRPr="2F1CA799">
        <w:t xml:space="preserve"> to assist the British Mandate in replannin</w:t>
      </w:r>
      <w:r w:rsidR="001B18BC" w:rsidRPr="2F1CA799">
        <w:t>g</w:t>
      </w:r>
      <w:r w:rsidRPr="2F1CA799">
        <w:t xml:space="preserve"> the city, </w:t>
      </w:r>
      <w:r w:rsidR="0028314C" w:rsidRPr="2F1CA799">
        <w:t>as well as</w:t>
      </w:r>
      <w:r w:rsidRPr="2F1CA799">
        <w:t xml:space="preserve"> the Zionist movement in the ‘design and layout of the university buildings’</w:t>
      </w:r>
      <w:r w:rsidR="00EF517B">
        <w:t>.</w:t>
      </w:r>
      <w:r w:rsidR="00111179">
        <w:rPr>
          <w:rStyle w:val="FootnoteReference"/>
        </w:rPr>
        <w:footnoteReference w:id="137"/>
      </w:r>
      <w:r w:rsidR="0028314C" w:rsidRPr="2F1CA799">
        <w:t xml:space="preserve"> </w:t>
      </w:r>
      <w:r w:rsidR="00EF517B">
        <w:t>T</w:t>
      </w:r>
      <w:r w:rsidR="0028314C" w:rsidRPr="2F1CA799">
        <w:t xml:space="preserve">he plans for </w:t>
      </w:r>
      <w:r w:rsidR="00EF517B">
        <w:t xml:space="preserve">this </w:t>
      </w:r>
      <w:r w:rsidR="0028314C" w:rsidRPr="2F1CA799">
        <w:t xml:space="preserve">are </w:t>
      </w:r>
      <w:r w:rsidRPr="2F1CA799">
        <w:t>preserve</w:t>
      </w:r>
      <w:r w:rsidR="0028314C" w:rsidRPr="2F1CA799">
        <w:t>d</w:t>
      </w:r>
      <w:r w:rsidRPr="2F1CA799">
        <w:t xml:space="preserve"> at</w:t>
      </w:r>
      <w:r w:rsidR="0028314C" w:rsidRPr="2F1CA799">
        <w:t xml:space="preserve"> </w:t>
      </w:r>
      <w:r w:rsidR="00A27530">
        <w:t>University of Edinburgh</w:t>
      </w:r>
      <w:r w:rsidR="0028314C" w:rsidRPr="2F1CA799">
        <w:t xml:space="preserve">’s </w:t>
      </w:r>
      <w:r w:rsidRPr="2F1CA799">
        <w:t>Centre for Research Collections.</w:t>
      </w:r>
      <w:r w:rsidRPr="2F1CA799">
        <w:rPr>
          <w:rStyle w:val="FootnoteReference"/>
        </w:rPr>
        <w:footnoteReference w:id="138"/>
      </w:r>
      <w:r w:rsidRPr="2F1CA799">
        <w:t xml:space="preserve"> Later, Geddes was asked to help the Zionist movement develop plans for Tel Aviv, the first Zionist urban colony, </w:t>
      </w:r>
      <w:r w:rsidR="003C3042">
        <w:t xml:space="preserve">as well as the cities of </w:t>
      </w:r>
      <w:r w:rsidRPr="2F1CA799">
        <w:t>Tiberias and Haifa.</w:t>
      </w:r>
      <w:r w:rsidRPr="2F1CA799">
        <w:rPr>
          <w:rStyle w:val="FootnoteReference"/>
        </w:rPr>
        <w:footnoteReference w:id="139"/>
      </w:r>
    </w:p>
    <w:p w14:paraId="4824DF86" w14:textId="393EE2C5" w:rsidR="00773F7C" w:rsidRPr="0017357E" w:rsidRDefault="00773F7C" w:rsidP="00057638">
      <w:pPr>
        <w:spacing w:line="259" w:lineRule="auto"/>
        <w:ind w:firstLine="720"/>
        <w:rPr>
          <w:rFonts w:cstheme="minorHAnsi"/>
        </w:rPr>
      </w:pPr>
      <w:r w:rsidRPr="2F1CA799">
        <w:t>Two years later, Balfour visited Palestine for the first time. He was invited by the Zionist movement to inaugurate the Hebrew University an</w:t>
      </w:r>
      <w:r w:rsidR="001B18BC" w:rsidRPr="2F1CA799">
        <w:t>d lay</w:t>
      </w:r>
      <w:r w:rsidRPr="2F1CA799">
        <w:t xml:space="preserve"> the foundation stone for the Balfour-Einstein Institute of Mathematics and Physics</w:t>
      </w:r>
      <w:r w:rsidR="001B18BC" w:rsidRPr="2F1CA799">
        <w:t xml:space="preserve"> </w:t>
      </w:r>
      <w:r w:rsidRPr="2F1CA799">
        <w:t>on a site selected by Geddes.</w:t>
      </w:r>
      <w:r w:rsidRPr="2F1CA799">
        <w:rPr>
          <w:rStyle w:val="FootnoteReference"/>
        </w:rPr>
        <w:footnoteReference w:id="140"/>
      </w:r>
      <w:r w:rsidRPr="2F1CA799">
        <w:t xml:space="preserve"> </w:t>
      </w:r>
      <w:r w:rsidR="007A09D4" w:rsidRPr="2F1CA799">
        <w:t xml:space="preserve">As the city’s </w:t>
      </w:r>
      <w:r w:rsidR="001B18BC" w:rsidRPr="2F1CA799">
        <w:t xml:space="preserve">Palestinian inhabitants </w:t>
      </w:r>
      <w:r w:rsidR="007A09D4" w:rsidRPr="2F1CA799">
        <w:t xml:space="preserve">took to the streets to </w:t>
      </w:r>
      <w:r w:rsidR="001B18BC" w:rsidRPr="2F1CA799">
        <w:t>protest his visit</w:t>
      </w:r>
      <w:r w:rsidR="007A09D4" w:rsidRPr="2F1CA799">
        <w:t>,</w:t>
      </w:r>
      <w:r w:rsidR="001B18BC" w:rsidRPr="2F1CA799">
        <w:t xml:space="preserve"> </w:t>
      </w:r>
      <w:r w:rsidRPr="2F1CA799">
        <w:t>Balfour</w:t>
      </w:r>
      <w:r w:rsidR="007A09D4" w:rsidRPr="2F1CA799">
        <w:t xml:space="preserve">, dressed in his </w:t>
      </w:r>
      <w:r w:rsidR="00A27530">
        <w:t>University of Edinburgh</w:t>
      </w:r>
      <w:r w:rsidR="007A09D4" w:rsidRPr="2F1CA799">
        <w:t xml:space="preserve"> robe</w:t>
      </w:r>
      <w:r w:rsidR="00B34D66" w:rsidRPr="2F1CA799">
        <w:t>s</w:t>
      </w:r>
      <w:r w:rsidR="007A09D4" w:rsidRPr="2F1CA799">
        <w:t xml:space="preserve">, delivered his inauguration speech on Mount Scopus </w:t>
      </w:r>
      <w:r w:rsidR="00B34D66" w:rsidRPr="2F1CA799">
        <w:t>and</w:t>
      </w:r>
      <w:r w:rsidR="007A09D4" w:rsidRPr="2F1CA799">
        <w:t xml:space="preserve"> </w:t>
      </w:r>
      <w:r w:rsidRPr="2F1CA799">
        <w:t>celebrated the Hebrew University as an experiment of adapting ‘Western methods’ developed by the ‘Jewish race’ to an Asiatic site and as an institution capable of regenerating a stagnant Palestine.</w:t>
      </w:r>
      <w:r w:rsidR="001B18BC" w:rsidRPr="2F1CA799">
        <w:rPr>
          <w:rStyle w:val="FootnoteReference"/>
        </w:rPr>
        <w:footnoteReference w:id="141"/>
      </w:r>
      <w:r w:rsidRPr="2F1CA799">
        <w:t xml:space="preserve"> </w:t>
      </w:r>
      <w:r w:rsidR="006576B5" w:rsidRPr="2F1CA799">
        <w:t>In this way, Balfour</w:t>
      </w:r>
      <w:r w:rsidRPr="2F1CA799">
        <w:t xml:space="preserve"> espoused the Zionist narrative about the need to regenerate </w:t>
      </w:r>
      <w:r w:rsidR="00C70F53" w:rsidRPr="2F1CA799">
        <w:t>an</w:t>
      </w:r>
      <w:r w:rsidRPr="2F1CA799">
        <w:t xml:space="preserve"> arid Palestine. Significantly, </w:t>
      </w:r>
      <w:r w:rsidR="006576B5" w:rsidRPr="2F1CA799">
        <w:t xml:space="preserve">following this inauguration in </w:t>
      </w:r>
      <w:r w:rsidRPr="2F1CA799">
        <w:t xml:space="preserve">1925, </w:t>
      </w:r>
      <w:r w:rsidR="006576B5" w:rsidRPr="2F1CA799">
        <w:t>the University</w:t>
      </w:r>
      <w:r w:rsidRPr="2F1CA799">
        <w:t xml:space="preserve"> was included in the network of allied imperial universities </w:t>
      </w:r>
      <w:r w:rsidR="00B34D66" w:rsidRPr="2F1CA799">
        <w:t>to which</w:t>
      </w:r>
      <w:r w:rsidRPr="2F1CA799">
        <w:t xml:space="preserve"> Balfour had contributed.</w:t>
      </w:r>
      <w:r w:rsidRPr="2F1CA799">
        <w:rPr>
          <w:rStyle w:val="FootnoteReference"/>
        </w:rPr>
        <w:footnoteReference w:id="142"/>
      </w:r>
      <w:r w:rsidRPr="2F1CA799">
        <w:t xml:space="preserve"> The land and buildings of the </w:t>
      </w:r>
      <w:r w:rsidR="006576B5" w:rsidRPr="2F1CA799">
        <w:t>U</w:t>
      </w:r>
      <w:r w:rsidRPr="2F1CA799">
        <w:t>niversity were registered in the name of the Jewish National Fund,</w:t>
      </w:r>
      <w:r w:rsidR="006576B5" w:rsidRPr="2F1CA799">
        <w:t xml:space="preserve"> this being</w:t>
      </w:r>
      <w:r w:rsidRPr="2F1CA799">
        <w:t xml:space="preserve"> the main organisation leading ‘Jewish colonisation in Palestine’</w:t>
      </w:r>
      <w:r w:rsidR="00DD2BAD">
        <w:t>,</w:t>
      </w:r>
      <w:r w:rsidRPr="2F1CA799">
        <w:t xml:space="preserve"> through the acquisition o</w:t>
      </w:r>
      <w:r w:rsidR="006576B5" w:rsidRPr="2F1CA799">
        <w:t>f</w:t>
      </w:r>
      <w:r w:rsidRPr="2F1CA799">
        <w:t xml:space="preserve"> land under British imperial protection </w:t>
      </w:r>
      <w:r w:rsidR="006576B5" w:rsidRPr="2F1CA799">
        <w:t>that resulted in</w:t>
      </w:r>
      <w:r w:rsidRPr="2F1CA799">
        <w:t xml:space="preserve"> the dispossession of </w:t>
      </w:r>
      <w:r w:rsidR="006576B5" w:rsidRPr="2F1CA799">
        <w:t>I</w:t>
      </w:r>
      <w:r w:rsidRPr="2F1CA799">
        <w:t>ndigenous Palestinian communities.</w:t>
      </w:r>
      <w:r w:rsidR="006576B5" w:rsidRPr="2F1CA799">
        <w:rPr>
          <w:rStyle w:val="FootnoteReference"/>
        </w:rPr>
        <w:footnoteReference w:id="143"/>
      </w:r>
      <w:r w:rsidRPr="2F1CA799">
        <w:t xml:space="preserve"> </w:t>
      </w:r>
    </w:p>
    <w:p w14:paraId="6F33D528" w14:textId="7AC8EEF4" w:rsidR="00773F7C" w:rsidRPr="0017357E" w:rsidRDefault="00773F7C" w:rsidP="00057638">
      <w:pPr>
        <w:spacing w:line="259" w:lineRule="auto"/>
        <w:ind w:firstLine="720"/>
        <w:rPr>
          <w:rFonts w:cstheme="minorHAnsi"/>
        </w:rPr>
      </w:pPr>
      <w:r w:rsidRPr="2F1CA799">
        <w:t>After inaugurating the Hebrew University, Balfour also toured the first Jewish settlements established in Palestine and Tel Aviv. In Balfouria, a colony of mainly American settlers dedicated to him by the Zionist movement, Balfour celebrated the ‘great industrial and agricultural efforts’ of the settlers and their coloni</w:t>
      </w:r>
      <w:r w:rsidR="00E45EAE" w:rsidRPr="2F1CA799">
        <w:t>al</w:t>
      </w:r>
      <w:r w:rsidRPr="2F1CA799">
        <w:t xml:space="preserve"> enterprise as a ‘triumph of civilisation’.</w:t>
      </w:r>
      <w:r w:rsidRPr="2F1CA799">
        <w:rPr>
          <w:rStyle w:val="FootnoteReference"/>
        </w:rPr>
        <w:footnoteReference w:id="144"/>
      </w:r>
      <w:r w:rsidRPr="2F1CA799">
        <w:t xml:space="preserve"> </w:t>
      </w:r>
    </w:p>
    <w:p w14:paraId="65D168BA" w14:textId="492A5DB0" w:rsidR="00773F7C" w:rsidRPr="0017357E" w:rsidRDefault="00773F7C" w:rsidP="00057638">
      <w:pPr>
        <w:spacing w:line="259" w:lineRule="auto"/>
        <w:ind w:firstLine="720"/>
      </w:pPr>
      <w:r w:rsidRPr="2F1CA799">
        <w:t xml:space="preserve">A year after Balfour’s return from the Middle East, the </w:t>
      </w:r>
      <w:r w:rsidR="00A27530">
        <w:t>University of Edinburgh</w:t>
      </w:r>
      <w:r w:rsidRPr="2F1CA799">
        <w:t xml:space="preserve"> conferred </w:t>
      </w:r>
      <w:r w:rsidR="00261B35" w:rsidRPr="2F1CA799">
        <w:t>an</w:t>
      </w:r>
      <w:r w:rsidRPr="2F1CA799">
        <w:t xml:space="preserve"> Honorary Doctorate in Law to General Edmund Allenby</w:t>
      </w:r>
      <w:r w:rsidR="00EC255B">
        <w:t>,</w:t>
      </w:r>
      <w:r w:rsidRPr="2F1CA799">
        <w:t xml:space="preserve"> in 1926</w:t>
      </w:r>
      <w:r w:rsidR="00EC255B">
        <w:t>,</w:t>
      </w:r>
      <w:r w:rsidRPr="2F1CA799">
        <w:t xml:space="preserve"> and</w:t>
      </w:r>
      <w:r w:rsidR="002E4DF0" w:rsidRPr="2F1CA799">
        <w:t xml:space="preserve"> would </w:t>
      </w:r>
      <w:r w:rsidR="003C3042">
        <w:lastRenderedPageBreak/>
        <w:t>later</w:t>
      </w:r>
      <w:r w:rsidR="003C3042" w:rsidRPr="2F1CA799">
        <w:t xml:space="preserve"> </w:t>
      </w:r>
      <w:r w:rsidR="00CC58EC" w:rsidRPr="2F1CA799">
        <w:t>elect him</w:t>
      </w:r>
      <w:r w:rsidRPr="2F1CA799">
        <w:t xml:space="preserve"> as Rector</w:t>
      </w:r>
      <w:r w:rsidR="00EC255B">
        <w:t>,</w:t>
      </w:r>
      <w:r w:rsidRPr="2F1CA799">
        <w:t xml:space="preserve"> in 1935.</w:t>
      </w:r>
      <w:r w:rsidRPr="2F1CA799">
        <w:rPr>
          <w:vertAlign w:val="superscript"/>
        </w:rPr>
        <w:footnoteReference w:id="145"/>
      </w:r>
      <w:r w:rsidRPr="2F1CA799">
        <w:t xml:space="preserve"> </w:t>
      </w:r>
      <w:r w:rsidR="0367ADCE">
        <w:t>Around the same time that</w:t>
      </w:r>
      <w:r w:rsidRPr="2F1CA799">
        <w:t xml:space="preserve"> the Balfour Declaration</w:t>
      </w:r>
      <w:r w:rsidR="039112EE">
        <w:t xml:space="preserve"> was signed</w:t>
      </w:r>
      <w:r w:rsidRPr="2F1CA799">
        <w:t>, General Allenby was put in charge of Britain’s 1917 Palestine campaign that led to the occupation of Jerusalem and the Gaza Strip, and to the British military destroying the majority of housing units and urban spaces.</w:t>
      </w:r>
      <w:r w:rsidRPr="2F1CA799">
        <w:rPr>
          <w:vertAlign w:val="superscript"/>
        </w:rPr>
        <w:footnoteReference w:id="146"/>
      </w:r>
      <w:r w:rsidRPr="2F1CA799">
        <w:t xml:space="preserve"> When </w:t>
      </w:r>
      <w:r w:rsidR="00E45EAE" w:rsidRPr="2F1CA799">
        <w:t xml:space="preserve">the </w:t>
      </w:r>
      <w:r w:rsidR="00A27530">
        <w:t>University of Edinburgh</w:t>
      </w:r>
      <w:r w:rsidRPr="2F1CA799">
        <w:t xml:space="preserve"> presented General Allenby with an </w:t>
      </w:r>
      <w:r w:rsidR="00CC58EC" w:rsidRPr="2F1CA799">
        <w:t>H</w:t>
      </w:r>
      <w:r w:rsidRPr="2F1CA799">
        <w:t xml:space="preserve">onorary Law </w:t>
      </w:r>
      <w:r w:rsidR="002E4DF0" w:rsidRPr="2F1CA799">
        <w:t>D</w:t>
      </w:r>
      <w:r w:rsidRPr="2F1CA799">
        <w:t xml:space="preserve">egree in 1926, the Dean of the Faculty celebrated his contribution to imperial conquest and the dispossession of Palestinians, explaining that the degree was a way for </w:t>
      </w:r>
      <w:r w:rsidR="002E4DF0" w:rsidRPr="2F1CA799">
        <w:t xml:space="preserve">the </w:t>
      </w:r>
      <w:r w:rsidR="00A27530">
        <w:t>University of Edinburgh</w:t>
      </w:r>
      <w:r w:rsidRPr="2F1CA799">
        <w:t xml:space="preserve"> ‘to pay homage to the leader of the latest and most thrilling of the Crusades [and] the capture of Jerusalem out of the infidels hands’.</w:t>
      </w:r>
      <w:r w:rsidRPr="2F1CA799">
        <w:rPr>
          <w:vertAlign w:val="superscript"/>
        </w:rPr>
        <w:footnoteReference w:id="147"/>
      </w:r>
      <w:r w:rsidRPr="2F1CA799">
        <w:t xml:space="preserve"> </w:t>
      </w:r>
    </w:p>
    <w:p w14:paraId="2DABA00E" w14:textId="4B087192" w:rsidR="00773F7C" w:rsidRPr="0017357E" w:rsidRDefault="00773F7C" w:rsidP="00057638">
      <w:pPr>
        <w:pStyle w:val="Heading4"/>
        <w:jc w:val="left"/>
      </w:pPr>
    </w:p>
    <w:p w14:paraId="4580BEF0" w14:textId="0D5CA658" w:rsidR="4FF3157F" w:rsidRDefault="4FF3157F" w:rsidP="003C3042">
      <w:pPr>
        <w:pStyle w:val="Heading3"/>
      </w:pPr>
      <w:bookmarkStart w:id="48" w:name="_Toc190939415"/>
      <w:bookmarkStart w:id="49" w:name="_Toc202627098"/>
      <w:r w:rsidRPr="00BA3060">
        <w:t>Conclusions from Research Strand 3</w:t>
      </w:r>
      <w:bookmarkEnd w:id="48"/>
      <w:bookmarkEnd w:id="49"/>
      <w:r w:rsidRPr="5055E476">
        <w:t xml:space="preserve"> </w:t>
      </w:r>
    </w:p>
    <w:p w14:paraId="0B788B46" w14:textId="20FF0109" w:rsidR="002E4D09" w:rsidRDefault="00773F7C" w:rsidP="00057638">
      <w:pPr>
        <w:spacing w:line="259" w:lineRule="auto"/>
        <w:rPr>
          <w:rFonts w:cstheme="minorHAnsi"/>
        </w:rPr>
      </w:pPr>
      <w:r w:rsidRPr="2F1CA799">
        <w:t xml:space="preserve">Balfour’s legacy as the most prominent imperial </w:t>
      </w:r>
      <w:r w:rsidR="00162161" w:rsidRPr="2F1CA799">
        <w:t>C</w:t>
      </w:r>
      <w:r w:rsidRPr="2F1CA799">
        <w:t xml:space="preserve">hancellor of </w:t>
      </w:r>
      <w:r w:rsidR="00AB6D36" w:rsidRPr="2F1CA799">
        <w:t xml:space="preserve">the </w:t>
      </w:r>
      <w:r w:rsidR="00A27530">
        <w:t>University of Edinburgh</w:t>
      </w:r>
      <w:r w:rsidRPr="2F1CA799">
        <w:t xml:space="preserve"> who irreversibly triggered a process of settler</w:t>
      </w:r>
      <w:r w:rsidR="00492A47">
        <w:t>-</w:t>
      </w:r>
      <w:r w:rsidRPr="2F1CA799">
        <w:t>colonial dispossession and de</w:t>
      </w:r>
      <w:r w:rsidR="00DF1883">
        <w:t>-</w:t>
      </w:r>
      <w:r w:rsidRPr="2F1CA799">
        <w:t>humanisation in Palestine</w:t>
      </w:r>
      <w:r w:rsidR="003C3042">
        <w:t>,</w:t>
      </w:r>
      <w:r w:rsidRPr="2F1CA799">
        <w:t xml:space="preserve"> is not merely a matter of </w:t>
      </w:r>
      <w:r w:rsidRPr="3C6D1E23">
        <w:rPr>
          <w:i/>
          <w:iCs/>
        </w:rPr>
        <w:t>historical</w:t>
      </w:r>
      <w:r w:rsidRPr="2F1CA799">
        <w:t xml:space="preserve"> harm. </w:t>
      </w:r>
      <w:r w:rsidR="002E4D09" w:rsidRPr="2F1CA799">
        <w:t>Indeed, harm to Palestinians today can be seen as an extension of Balfour’s legacy in the present</w:t>
      </w:r>
      <w:r w:rsidR="002E4D09" w:rsidRPr="3C6D1E23">
        <w:rPr>
          <w:i/>
          <w:iCs/>
        </w:rPr>
        <w:t xml:space="preserve">. </w:t>
      </w:r>
      <w:r w:rsidR="002E4D09" w:rsidRPr="2F1CA799">
        <w:t xml:space="preserve">While this violence may have begun with Balfour’s Declaration, it remains through ongoing policies </w:t>
      </w:r>
      <w:r w:rsidR="00E45EAE" w:rsidRPr="2F1CA799">
        <w:t>that continue the trajectory</w:t>
      </w:r>
      <w:r w:rsidR="002E4D09" w:rsidRPr="2F1CA799">
        <w:t xml:space="preserve"> of imperialism, settler colonialism and the dispossession of Palestinian land and life. </w:t>
      </w:r>
    </w:p>
    <w:p w14:paraId="01DBDD8A" w14:textId="030F9BA1" w:rsidR="00773F7C" w:rsidRPr="0015035F" w:rsidRDefault="00FA3BD8" w:rsidP="00057638">
      <w:pPr>
        <w:spacing w:line="259" w:lineRule="auto"/>
        <w:ind w:firstLine="720"/>
        <w:rPr>
          <w:vertAlign w:val="superscript"/>
        </w:rPr>
      </w:pPr>
      <w:r w:rsidRPr="06B23347">
        <w:t>Following</w:t>
      </w:r>
      <w:r w:rsidR="00777379">
        <w:t xml:space="preserve"> the</w:t>
      </w:r>
      <w:r w:rsidRPr="06B23347">
        <w:t xml:space="preserve"> </w:t>
      </w:r>
      <w:r w:rsidR="2A3437D5" w:rsidRPr="06B23347">
        <w:t>Hamas attacks of</w:t>
      </w:r>
      <w:r w:rsidR="00773F7C" w:rsidRPr="06B23347">
        <w:t xml:space="preserve"> </w:t>
      </w:r>
      <w:r w:rsidR="00BA3060">
        <w:t xml:space="preserve">7 </w:t>
      </w:r>
      <w:r w:rsidR="00773F7C" w:rsidRPr="06B23347">
        <w:t>October</w:t>
      </w:r>
      <w:r w:rsidR="00BA3060">
        <w:t xml:space="preserve"> </w:t>
      </w:r>
      <w:r w:rsidR="00773F7C" w:rsidRPr="06B23347">
        <w:t xml:space="preserve">2023 and Israel’s war of annihilation in Gaza, </w:t>
      </w:r>
      <w:r w:rsidRPr="06B23347">
        <w:t xml:space="preserve">an unprecedented community mobilisation </w:t>
      </w:r>
      <w:r w:rsidR="00E45EAE" w:rsidRPr="06B23347">
        <w:t xml:space="preserve">at the </w:t>
      </w:r>
      <w:r w:rsidR="00A27530">
        <w:t>University of Edinburgh</w:t>
      </w:r>
      <w:r w:rsidR="00E45EAE" w:rsidRPr="06B23347">
        <w:t xml:space="preserve"> has</w:t>
      </w:r>
      <w:r w:rsidR="00773F7C" w:rsidRPr="06B23347">
        <w:t xml:space="preserve"> revealed how </w:t>
      </w:r>
      <w:r w:rsidR="00E45EAE" w:rsidRPr="06B23347">
        <w:t xml:space="preserve">the </w:t>
      </w:r>
      <w:r w:rsidR="00773F7C" w:rsidRPr="06B23347">
        <w:t>historical harm</w:t>
      </w:r>
      <w:r w:rsidR="00492742" w:rsidRPr="06B23347">
        <w:t>s that Balfour instigated</w:t>
      </w:r>
      <w:r w:rsidR="00E45EAE" w:rsidRPr="06B23347">
        <w:t xml:space="preserve"> are being continued today</w:t>
      </w:r>
      <w:r w:rsidRPr="06B23347">
        <w:t>, in this case</w:t>
      </w:r>
      <w:r w:rsidR="00773F7C" w:rsidRPr="06B23347">
        <w:t xml:space="preserve"> through</w:t>
      </w:r>
      <w:r w:rsidR="001C68C8" w:rsidRPr="06B23347">
        <w:t xml:space="preserve"> </w:t>
      </w:r>
      <w:r w:rsidR="00773F7C" w:rsidRPr="06B23347">
        <w:t xml:space="preserve">conspicuous direct and indirect investments in Israel’s occupation. </w:t>
      </w:r>
      <w:r w:rsidR="00836F6C" w:rsidRPr="06B23347">
        <w:t xml:space="preserve">Within the </w:t>
      </w:r>
      <w:r w:rsidR="00A27530">
        <w:t>University of Edinburgh</w:t>
      </w:r>
      <w:r w:rsidR="00836F6C" w:rsidRPr="06B23347">
        <w:t>, there has been w</w:t>
      </w:r>
      <w:r w:rsidR="00FD1EDF" w:rsidRPr="06B23347">
        <w:t xml:space="preserve">idespread </w:t>
      </w:r>
      <w:r w:rsidR="000737ED" w:rsidRPr="06B23347">
        <w:t>support</w:t>
      </w:r>
      <w:r w:rsidR="00FD1EDF" w:rsidRPr="06B23347">
        <w:t xml:space="preserve"> </w:t>
      </w:r>
      <w:r w:rsidR="004A28E9" w:rsidRPr="004A28E9">
        <w:t xml:space="preserve">among staff and students </w:t>
      </w:r>
      <w:r w:rsidR="00461299" w:rsidRPr="004A28E9">
        <w:t xml:space="preserve">for </w:t>
      </w:r>
      <w:r w:rsidR="004A28E9" w:rsidRPr="007408FD">
        <w:rPr>
          <w:color w:val="212121"/>
        </w:rPr>
        <w:t xml:space="preserve">immediate divestment from </w:t>
      </w:r>
      <w:r w:rsidR="004A28E9" w:rsidRPr="00CA18E0">
        <w:rPr>
          <w:color w:val="212121"/>
        </w:rPr>
        <w:t xml:space="preserve">any interests supporting </w:t>
      </w:r>
      <w:r w:rsidR="004A28E9" w:rsidRPr="007408FD">
        <w:rPr>
          <w:color w:val="212121"/>
        </w:rPr>
        <w:t>Israel’s dispossession,</w:t>
      </w:r>
      <w:r w:rsidR="000737ED" w:rsidRPr="06B23347">
        <w:t xml:space="preserve"> </w:t>
      </w:r>
      <w:r w:rsidRPr="06B23347">
        <w:t>the</w:t>
      </w:r>
      <w:r w:rsidR="00DA689A" w:rsidRPr="06B23347">
        <w:t xml:space="preserve"> campaign being supported by</w:t>
      </w:r>
      <w:r w:rsidR="00FD1EDF" w:rsidRPr="06B23347">
        <w:t xml:space="preserve"> s</w:t>
      </w:r>
      <w:r w:rsidR="00773F7C" w:rsidRPr="06B23347">
        <w:t xml:space="preserve">tudent societies, the </w:t>
      </w:r>
      <w:r w:rsidR="006B5022" w:rsidRPr="06B23347">
        <w:t>S</w:t>
      </w:r>
      <w:r w:rsidR="00773F7C" w:rsidRPr="06B23347">
        <w:t xml:space="preserve">tudent </w:t>
      </w:r>
      <w:r w:rsidR="006B5022" w:rsidRPr="06B23347">
        <w:t>C</w:t>
      </w:r>
      <w:r w:rsidR="00773F7C" w:rsidRPr="06B23347">
        <w:t xml:space="preserve">ouncil, the </w:t>
      </w:r>
      <w:r w:rsidR="006B5022" w:rsidRPr="06B23347">
        <w:t>A</w:t>
      </w:r>
      <w:r w:rsidR="00773F7C" w:rsidRPr="06B23347">
        <w:t xml:space="preserve">cademic </w:t>
      </w:r>
      <w:r w:rsidR="006B5022" w:rsidRPr="06B23347">
        <w:t>S</w:t>
      </w:r>
      <w:r w:rsidR="00773F7C" w:rsidRPr="06B23347">
        <w:t xml:space="preserve">enate, </w:t>
      </w:r>
      <w:r w:rsidR="00BD17E8">
        <w:t xml:space="preserve">the </w:t>
      </w:r>
      <w:r w:rsidR="00A27530">
        <w:t>University of Edinburgh</w:t>
      </w:r>
      <w:r w:rsidR="006B5022" w:rsidRPr="06B23347">
        <w:t>’s</w:t>
      </w:r>
      <w:r w:rsidR="00773F7C" w:rsidRPr="06B23347">
        <w:t xml:space="preserve"> anti-oppressive networks</w:t>
      </w:r>
      <w:r w:rsidR="0015035F" w:rsidRPr="06B23347">
        <w:t>,</w:t>
      </w:r>
      <w:r w:rsidR="00773F7C" w:rsidRPr="06B23347">
        <w:t xml:space="preserve"> hundreds of members of staff and </w:t>
      </w:r>
      <w:r w:rsidR="003C3042">
        <w:t xml:space="preserve">the union </w:t>
      </w:r>
      <w:r w:rsidR="00773F7C" w:rsidRPr="06B23347">
        <w:t>UCU</w:t>
      </w:r>
      <w:r w:rsidR="0015035F" w:rsidRPr="06B23347">
        <w:t>. Collectively, these groups</w:t>
      </w:r>
      <w:r w:rsidR="00A6676D">
        <w:t xml:space="preserve">, which included both Jewish and Palestinian staff and students, </w:t>
      </w:r>
      <w:r w:rsidR="000A3FF8" w:rsidRPr="06B23347">
        <w:t xml:space="preserve">have </w:t>
      </w:r>
      <w:r w:rsidR="00773F7C" w:rsidRPr="06B23347">
        <w:t xml:space="preserve">asked the </w:t>
      </w:r>
      <w:r w:rsidR="00A27530">
        <w:t>University of Edinburgh</w:t>
      </w:r>
      <w:r w:rsidR="003C3042">
        <w:t>’s senior</w:t>
      </w:r>
      <w:r w:rsidR="00773F7C" w:rsidRPr="06B23347">
        <w:t xml:space="preserve"> leadership</w:t>
      </w:r>
      <w:r w:rsidR="003C3042">
        <w:t xml:space="preserve"> team</w:t>
      </w:r>
      <w:r w:rsidR="00773F7C" w:rsidRPr="06B23347">
        <w:t xml:space="preserve"> to immediately disentangle the institution and its profits from what the International Court of Justice</w:t>
      </w:r>
      <w:r w:rsidRPr="06B23347">
        <w:t xml:space="preserve"> ha</w:t>
      </w:r>
      <w:r w:rsidR="00873250">
        <w:t>s</w:t>
      </w:r>
      <w:r w:rsidR="00773F7C" w:rsidRPr="06B23347">
        <w:t xml:space="preserve"> defined as</w:t>
      </w:r>
      <w:r w:rsidRPr="06B23347">
        <w:t xml:space="preserve"> a</w:t>
      </w:r>
      <w:r w:rsidR="00773F7C" w:rsidRPr="06B23347">
        <w:t xml:space="preserve"> </w:t>
      </w:r>
      <w:r w:rsidR="0015035F" w:rsidRPr="06B23347">
        <w:t>‘</w:t>
      </w:r>
      <w:r w:rsidR="00773F7C" w:rsidRPr="06B23347">
        <w:t>plausible violation</w:t>
      </w:r>
      <w:r w:rsidR="0015035F" w:rsidRPr="06B23347">
        <w:t>’</w:t>
      </w:r>
      <w:r w:rsidR="00773F7C" w:rsidRPr="06B23347">
        <w:t xml:space="preserve"> of the Genocide Convention by Israel, and from crimes against humanity for which the International Criminal Court has issued arrest warrants for Israel’s Prime Minister and former Defence Minister.</w:t>
      </w:r>
      <w:r w:rsidR="0015035F" w:rsidRPr="06B23347">
        <w:rPr>
          <w:rStyle w:val="FootnoteReference"/>
        </w:rPr>
        <w:footnoteReference w:id="148"/>
      </w:r>
    </w:p>
    <w:p w14:paraId="533D08B6" w14:textId="66DF9583" w:rsidR="008E03CE" w:rsidRDefault="00B74971" w:rsidP="00D9372B">
      <w:pPr>
        <w:spacing w:line="259" w:lineRule="auto"/>
      </w:pPr>
      <w:r w:rsidRPr="4810B1DF">
        <w:lastRenderedPageBreak/>
        <w:t>To</w:t>
      </w:r>
      <w:r w:rsidR="003C3042">
        <w:t xml:space="preserve"> </w:t>
      </w:r>
      <w:r w:rsidRPr="4810B1DF">
        <w:t xml:space="preserve">date, </w:t>
      </w:r>
      <w:r w:rsidR="004E30AE">
        <w:t xml:space="preserve">the </w:t>
      </w:r>
      <w:r w:rsidR="00A27530">
        <w:t>University of Edinburgh</w:t>
      </w:r>
      <w:r w:rsidR="000A3FF8" w:rsidRPr="4810B1DF">
        <w:t>’s</w:t>
      </w:r>
      <w:r w:rsidR="00773F7C" w:rsidRPr="4810B1DF">
        <w:t xml:space="preserve"> senior leadership </w:t>
      </w:r>
      <w:r w:rsidR="003C3042">
        <w:t xml:space="preserve">team </w:t>
      </w:r>
      <w:r w:rsidR="00773F7C" w:rsidRPr="4810B1DF">
        <w:t xml:space="preserve">and Court have </w:t>
      </w:r>
      <w:r w:rsidR="00BD17E8">
        <w:t xml:space="preserve">not demonstrated sufficient </w:t>
      </w:r>
      <w:r w:rsidR="00BD17E8" w:rsidRPr="00CA18E0">
        <w:rPr>
          <w:i/>
          <w:iCs/>
        </w:rPr>
        <w:t>direct</w:t>
      </w:r>
      <w:r w:rsidR="00BD17E8">
        <w:t xml:space="preserve"> engagement </w:t>
      </w:r>
      <w:r w:rsidR="00773F7C" w:rsidRPr="4810B1DF">
        <w:t xml:space="preserve">with the requests emerging from one of the most </w:t>
      </w:r>
      <w:r w:rsidR="00DD1AC7" w:rsidRPr="4810B1DF">
        <w:t>well-supported</w:t>
      </w:r>
      <w:r w:rsidR="00773F7C" w:rsidRPr="4810B1DF">
        <w:t xml:space="preserve"> community mobilisations in the history of the </w:t>
      </w:r>
      <w:r w:rsidR="000A3FF8" w:rsidRPr="4810B1DF">
        <w:t>U</w:t>
      </w:r>
      <w:r w:rsidR="00773F7C" w:rsidRPr="4810B1DF">
        <w:t>niversity</w:t>
      </w:r>
      <w:r w:rsidR="00553500" w:rsidRPr="4810B1DF">
        <w:t xml:space="preserve">. </w:t>
      </w:r>
      <w:r w:rsidR="002F5D92" w:rsidRPr="4810B1DF">
        <w:t>Importantly</w:t>
      </w:r>
      <w:r w:rsidR="00553500" w:rsidRPr="4810B1DF">
        <w:t xml:space="preserve">, this mobilisation is </w:t>
      </w:r>
      <w:r w:rsidR="00773F7C" w:rsidRPr="4810B1DF">
        <w:t>comparable</w:t>
      </w:r>
      <w:r w:rsidR="00B870F0" w:rsidRPr="4810B1DF">
        <w:t xml:space="preserve"> </w:t>
      </w:r>
      <w:r w:rsidR="000A3FF8" w:rsidRPr="4810B1DF">
        <w:t>to</w:t>
      </w:r>
      <w:r w:rsidR="00773F7C" w:rsidRPr="4810B1DF">
        <w:t xml:space="preserve"> </w:t>
      </w:r>
      <w:r w:rsidR="00553500" w:rsidRPr="4810B1DF">
        <w:t>the</w:t>
      </w:r>
      <w:r w:rsidR="00773F7C" w:rsidRPr="4810B1DF">
        <w:t xml:space="preserve"> </w:t>
      </w:r>
      <w:r w:rsidR="7FB680EE" w:rsidRPr="4810B1DF">
        <w:t xml:space="preserve">successful </w:t>
      </w:r>
      <w:r w:rsidR="00773F7C" w:rsidRPr="4810B1DF">
        <w:t>divestment</w:t>
      </w:r>
      <w:r w:rsidR="00553500" w:rsidRPr="4810B1DF">
        <w:t xml:space="preserve"> campaign</w:t>
      </w:r>
      <w:r w:rsidR="002F5D92" w:rsidRPr="4810B1DF">
        <w:t xml:space="preserve"> that took place in the 1970s</w:t>
      </w:r>
      <w:r w:rsidR="00773F7C" w:rsidRPr="4810B1DF">
        <w:t xml:space="preserve"> from another apartheid state, South Africa</w:t>
      </w:r>
      <w:r w:rsidR="32E26C30" w:rsidRPr="4810B1DF">
        <w:t xml:space="preserve">. In 1971, </w:t>
      </w:r>
      <w:r w:rsidR="006468FD">
        <w:t xml:space="preserve">the </w:t>
      </w:r>
      <w:r w:rsidR="00A27530">
        <w:t>University of Edinburgh</w:t>
      </w:r>
      <w:r w:rsidR="32E26C30" w:rsidRPr="4810B1DF">
        <w:t xml:space="preserve"> listened to students and staff, and after intense protests it </w:t>
      </w:r>
      <w:r w:rsidR="5D9E2642" w:rsidRPr="4810B1DF">
        <w:t xml:space="preserve">sold all its investments complicit with </w:t>
      </w:r>
      <w:r w:rsidR="00BA3060" w:rsidRPr="4810B1DF">
        <w:t>apartheid</w:t>
      </w:r>
      <w:r w:rsidR="00773F7C" w:rsidRPr="4810B1DF">
        <w:t>.</w:t>
      </w:r>
      <w:r w:rsidR="00773F7C" w:rsidRPr="4810B1DF">
        <w:rPr>
          <w:rStyle w:val="FootnoteReference"/>
        </w:rPr>
        <w:footnoteReference w:id="149"/>
      </w:r>
      <w:r w:rsidR="000D0F5E" w:rsidRPr="4810B1DF">
        <w:t xml:space="preserve"> </w:t>
      </w:r>
      <w:r w:rsidR="006468FD">
        <w:t>But i</w:t>
      </w:r>
      <w:r w:rsidR="000D0F5E" w:rsidRPr="4810B1DF">
        <w:t xml:space="preserve">n </w:t>
      </w:r>
      <w:r w:rsidR="00BA3060">
        <w:t>t</w:t>
      </w:r>
      <w:r w:rsidR="4584D2F7" w:rsidRPr="4810B1DF">
        <w:t>he case of Palestine</w:t>
      </w:r>
      <w:r w:rsidR="000D0F5E" w:rsidRPr="4810B1DF">
        <w:t xml:space="preserve">, </w:t>
      </w:r>
      <w:r w:rsidR="000B2389" w:rsidRPr="4810B1DF">
        <w:t xml:space="preserve">the </w:t>
      </w:r>
      <w:r w:rsidR="003C3042">
        <w:t xml:space="preserve">senior leadership team </w:t>
      </w:r>
      <w:r w:rsidR="004E4823">
        <w:t>has</w:t>
      </w:r>
      <w:r w:rsidR="00BD2425">
        <w:t xml:space="preserve"> </w:t>
      </w:r>
      <w:r w:rsidR="000B2389" w:rsidRPr="4810B1DF">
        <w:t>deplo</w:t>
      </w:r>
      <w:r w:rsidR="004E4823">
        <w:t>yed</w:t>
      </w:r>
      <w:r w:rsidR="6B9643AE">
        <w:t xml:space="preserve"> </w:t>
      </w:r>
      <w:r w:rsidR="21E74425">
        <w:t xml:space="preserve">a </w:t>
      </w:r>
      <w:r w:rsidR="002F5D92" w:rsidRPr="4810B1DF">
        <w:t>‘conflict agnostic</w:t>
      </w:r>
      <w:r w:rsidR="00F53DA1">
        <w:t>’ approach</w:t>
      </w:r>
      <w:r w:rsidR="00A736E1">
        <w:t xml:space="preserve">, </w:t>
      </w:r>
      <w:r w:rsidR="002F5D92" w:rsidRPr="4810B1DF">
        <w:t xml:space="preserve">a term </w:t>
      </w:r>
      <w:r w:rsidR="00214BE1">
        <w:t>that</w:t>
      </w:r>
      <w:r w:rsidR="002F5D92" w:rsidRPr="4810B1DF">
        <w:t xml:space="preserve"> den</w:t>
      </w:r>
      <w:r w:rsidR="00214BE1">
        <w:t>ies</w:t>
      </w:r>
      <w:r w:rsidR="002F5D92" w:rsidRPr="4810B1DF">
        <w:t xml:space="preserve"> the </w:t>
      </w:r>
      <w:r w:rsidR="002F5D92" w:rsidRPr="3C6D1E23">
        <w:rPr>
          <w:i/>
          <w:iCs/>
        </w:rPr>
        <w:t>Nakba</w:t>
      </w:r>
      <w:r w:rsidR="002F5D92" w:rsidRPr="4810B1DF">
        <w:t xml:space="preserve"> and its settler</w:t>
      </w:r>
      <w:r w:rsidR="00125FC1">
        <w:t>-</w:t>
      </w:r>
      <w:r w:rsidR="002F5D92" w:rsidRPr="4810B1DF">
        <w:t>colonial afterlife</w:t>
      </w:r>
      <w:r w:rsidR="00A736E1">
        <w:t>.</w:t>
      </w:r>
      <w:r w:rsidR="003E6462">
        <w:rPr>
          <w:rStyle w:val="FootnoteReference"/>
        </w:rPr>
        <w:footnoteReference w:id="150"/>
      </w:r>
      <w:r w:rsidR="00A736E1">
        <w:t xml:space="preserve"> This approach</w:t>
      </w:r>
      <w:r w:rsidR="00E73C28">
        <w:t xml:space="preserve"> has the effect of</w:t>
      </w:r>
      <w:r w:rsidR="58DA219F" w:rsidRPr="4810B1DF">
        <w:t xml:space="preserve"> </w:t>
      </w:r>
      <w:r w:rsidR="3AFA028A" w:rsidRPr="4810B1DF">
        <w:t>de</w:t>
      </w:r>
      <w:r w:rsidR="003C3042">
        <w:t>-</w:t>
      </w:r>
      <w:r w:rsidR="3AFA028A" w:rsidRPr="4810B1DF">
        <w:t>limit</w:t>
      </w:r>
      <w:r w:rsidR="00E73C28">
        <w:t>ing</w:t>
      </w:r>
      <w:r w:rsidR="3AFA028A" w:rsidRPr="4810B1DF">
        <w:t xml:space="preserve"> the outcomes of the working groups </w:t>
      </w:r>
      <w:r w:rsidR="006A0945">
        <w:t xml:space="preserve">that are </w:t>
      </w:r>
      <w:r w:rsidR="3AFA028A" w:rsidRPr="4810B1DF">
        <w:t>informing Court decisions on responsible investments</w:t>
      </w:r>
      <w:r w:rsidR="003C3042">
        <w:t>,</w:t>
      </w:r>
      <w:r w:rsidR="006A0945">
        <w:t xml:space="preserve"> and</w:t>
      </w:r>
      <w:r w:rsidR="3AFA028A" w:rsidRPr="4810B1DF" w:rsidDel="006A0945">
        <w:t xml:space="preserve"> </w:t>
      </w:r>
      <w:r w:rsidR="58DA219F" w:rsidRPr="4810B1DF">
        <w:t>prevent</w:t>
      </w:r>
      <w:r w:rsidR="00E73C28">
        <w:t>ing</w:t>
      </w:r>
      <w:r w:rsidR="58DA219F" w:rsidRPr="4810B1DF">
        <w:t xml:space="preserve"> </w:t>
      </w:r>
      <w:r w:rsidR="75A8B4A4" w:rsidRPr="4810B1DF">
        <w:t xml:space="preserve">precautionary </w:t>
      </w:r>
      <w:r w:rsidR="58DA219F" w:rsidRPr="4810B1DF">
        <w:t xml:space="preserve">divestment from companies involved </w:t>
      </w:r>
      <w:r w:rsidR="5B856E9C" w:rsidRPr="4810B1DF">
        <w:t xml:space="preserve">with the Israeli military in </w:t>
      </w:r>
      <w:r w:rsidR="58DA219F" w:rsidRPr="4810B1DF">
        <w:t>Gaza</w:t>
      </w:r>
      <w:r w:rsidR="006A0945">
        <w:t>. This approach</w:t>
      </w:r>
      <w:r w:rsidR="000B2389" w:rsidRPr="4810B1DF">
        <w:t xml:space="preserve"> </w:t>
      </w:r>
      <w:r w:rsidR="00E73C28">
        <w:t xml:space="preserve">also </w:t>
      </w:r>
      <w:r w:rsidR="000B2389" w:rsidRPr="4810B1DF">
        <w:t xml:space="preserve">means that the </w:t>
      </w:r>
      <w:r w:rsidR="00A27530">
        <w:t>University of Edinburgh</w:t>
      </w:r>
      <w:r w:rsidR="000B2389" w:rsidRPr="4810B1DF">
        <w:t xml:space="preserve"> </w:t>
      </w:r>
      <w:r w:rsidR="00DC559A" w:rsidRPr="4810B1DF">
        <w:t>run</w:t>
      </w:r>
      <w:r w:rsidR="000B2389" w:rsidRPr="4810B1DF">
        <w:t>s</w:t>
      </w:r>
      <w:r w:rsidR="00DC559A" w:rsidRPr="4810B1DF">
        <w:t xml:space="preserve"> the risk of</w:t>
      </w:r>
      <w:r w:rsidR="00773F7C" w:rsidRPr="4810B1DF">
        <w:t xml:space="preserve"> eluding due diligence and exposing </w:t>
      </w:r>
      <w:r w:rsidR="00C97C66" w:rsidRPr="4810B1DF">
        <w:t xml:space="preserve">itself </w:t>
      </w:r>
      <w:r w:rsidR="00773F7C" w:rsidRPr="4810B1DF">
        <w:t>to complicity with genocide, crimes against humanity and an illegal occupation.</w:t>
      </w:r>
      <w:r w:rsidR="00E60C96" w:rsidRPr="4810B1DF">
        <w:t xml:space="preserve"> </w:t>
      </w:r>
      <w:r w:rsidR="00C97C66" w:rsidRPr="4810B1DF">
        <w:t>The Court’s application of</w:t>
      </w:r>
      <w:r w:rsidR="00773F7C" w:rsidRPr="4810B1DF">
        <w:t xml:space="preserve"> </w:t>
      </w:r>
      <w:r w:rsidR="00C97C66" w:rsidRPr="4810B1DF">
        <w:t>a</w:t>
      </w:r>
      <w:r w:rsidR="00773F7C" w:rsidRPr="4810B1DF">
        <w:t xml:space="preserve"> ‘Palestine exception’</w:t>
      </w:r>
      <w:r w:rsidR="00E60C96" w:rsidRPr="4810B1DF">
        <w:t xml:space="preserve"> to</w:t>
      </w:r>
      <w:r w:rsidR="00773F7C" w:rsidRPr="4810B1DF">
        <w:t xml:space="preserve"> dealing with Israeli colonial violence and Palestinian dispossession</w:t>
      </w:r>
      <w:r w:rsidR="00C97C66" w:rsidRPr="4810B1DF">
        <w:t xml:space="preserve"> is grounded in the idea that this represents </w:t>
      </w:r>
      <w:r w:rsidR="00773F7C" w:rsidRPr="4810B1DF">
        <w:t>an ‘intractable question’ to which basic standards of justice and responsibility are not applicable.</w:t>
      </w:r>
      <w:r w:rsidR="00773F7C" w:rsidRPr="4810B1DF">
        <w:rPr>
          <w:rStyle w:val="FootnoteReference"/>
        </w:rPr>
        <w:footnoteReference w:id="151"/>
      </w:r>
      <w:r w:rsidR="00773F7C" w:rsidRPr="4810B1DF">
        <w:t xml:space="preserve"> Th</w:t>
      </w:r>
      <w:r w:rsidR="0013160F" w:rsidRPr="4810B1DF">
        <w:t>ese decisions</w:t>
      </w:r>
      <w:r w:rsidR="00773F7C" w:rsidRPr="4810B1DF">
        <w:t xml:space="preserve"> </w:t>
      </w:r>
      <w:r w:rsidR="0013160F" w:rsidRPr="4810B1DF">
        <w:t>are set with</w:t>
      </w:r>
      <w:r w:rsidR="00E60C96" w:rsidRPr="4810B1DF">
        <w:t>in the context</w:t>
      </w:r>
      <w:r w:rsidR="00773F7C" w:rsidRPr="4810B1DF">
        <w:t xml:space="preserve"> </w:t>
      </w:r>
      <w:r w:rsidR="0013160F" w:rsidRPr="4810B1DF">
        <w:t xml:space="preserve">of the </w:t>
      </w:r>
      <w:r w:rsidR="00A27530">
        <w:t>University of Edinburgh</w:t>
      </w:r>
      <w:r w:rsidR="0013160F" w:rsidRPr="4810B1DF">
        <w:t>’s adoption of the</w:t>
      </w:r>
      <w:r w:rsidR="00773F7C" w:rsidRPr="4810B1DF">
        <w:t xml:space="preserve"> IHRA</w:t>
      </w:r>
      <w:r w:rsidR="0013160F" w:rsidRPr="4810B1DF">
        <w:t>’s</w:t>
      </w:r>
      <w:r w:rsidR="00773F7C" w:rsidRPr="4810B1DF">
        <w:t xml:space="preserve"> definition of antisemitis</w:t>
      </w:r>
      <w:r w:rsidR="00E60C96" w:rsidRPr="4810B1DF">
        <w:t>m</w:t>
      </w:r>
      <w:r w:rsidR="0013160F" w:rsidRPr="4810B1DF">
        <w:t xml:space="preserve"> </w:t>
      </w:r>
      <w:r w:rsidR="00773F7C" w:rsidRPr="4810B1DF">
        <w:t>in 2020</w:t>
      </w:r>
      <w:r w:rsidR="0013160F" w:rsidRPr="4810B1DF">
        <w:t>, which took place</w:t>
      </w:r>
      <w:r w:rsidR="00773F7C" w:rsidRPr="4810B1DF">
        <w:t xml:space="preserve"> withou</w:t>
      </w:r>
      <w:r w:rsidR="00592027" w:rsidRPr="4810B1DF">
        <w:t>t</w:t>
      </w:r>
      <w:r w:rsidR="001B2CBA" w:rsidRPr="4810B1DF">
        <w:t xml:space="preserve"> </w:t>
      </w:r>
      <w:r w:rsidR="00773F7C" w:rsidRPr="4810B1DF">
        <w:t>broad consultation with students and staff,</w:t>
      </w:r>
      <w:r w:rsidR="0013160F" w:rsidRPr="4810B1DF">
        <w:t xml:space="preserve"> notably </w:t>
      </w:r>
      <w:r w:rsidR="00773F7C" w:rsidRPr="4810B1DF">
        <w:t>those involved in the Question of Palestine</w:t>
      </w:r>
      <w:r w:rsidR="001B2CBA" w:rsidRPr="4810B1DF">
        <w:t>. The IHRA definition</w:t>
      </w:r>
      <w:r w:rsidR="00773F7C" w:rsidRPr="4810B1DF">
        <w:t xml:space="preserve"> violates academic freedom and freedom of speech by framing</w:t>
      </w:r>
      <w:r w:rsidR="001B2CBA" w:rsidRPr="4810B1DF">
        <w:t xml:space="preserve"> any</w:t>
      </w:r>
      <w:r w:rsidR="00773F7C" w:rsidRPr="4810B1DF">
        <w:t xml:space="preserve"> criticism of Israel’s policies of settler</w:t>
      </w:r>
      <w:r w:rsidR="00492A47">
        <w:t>-</w:t>
      </w:r>
      <w:r w:rsidR="00773F7C" w:rsidRPr="4810B1DF">
        <w:t>colonial dispossession driven by state racism as a form of antisemitism</w:t>
      </w:r>
      <w:r w:rsidR="00D070FD" w:rsidRPr="4810B1DF">
        <w:t xml:space="preserve">. This </w:t>
      </w:r>
      <w:r w:rsidDel="00D070FD">
        <w:t xml:space="preserve">has </w:t>
      </w:r>
      <w:r w:rsidR="00D070FD" w:rsidRPr="4810B1DF">
        <w:t>created</w:t>
      </w:r>
      <w:r w:rsidR="00F313C9" w:rsidRPr="4810B1DF">
        <w:t xml:space="preserve"> an academic space in which any criticism of a regime of colonial dispossession to which </w:t>
      </w:r>
      <w:r w:rsidR="00A27530">
        <w:t>University of Edinburgh</w:t>
      </w:r>
      <w:r w:rsidR="00F313C9" w:rsidRPr="4810B1DF">
        <w:t xml:space="preserve"> has contributed is </w:t>
      </w:r>
      <w:r w:rsidR="00576741" w:rsidRPr="4810B1DF">
        <w:t>highly limited</w:t>
      </w:r>
      <w:r w:rsidR="00773F7C" w:rsidRPr="4810B1DF">
        <w:t>.</w:t>
      </w:r>
      <w:r w:rsidR="00773F7C" w:rsidRPr="4810B1DF">
        <w:rPr>
          <w:rStyle w:val="FootnoteReference"/>
        </w:rPr>
        <w:footnoteReference w:id="152"/>
      </w:r>
      <w:r w:rsidR="00773F7C" w:rsidRPr="4810B1DF">
        <w:t xml:space="preserve"> </w:t>
      </w:r>
      <w:r w:rsidR="000D46E7" w:rsidRPr="4810B1DF">
        <w:t>This</w:t>
      </w:r>
      <w:r w:rsidR="00F313C9" w:rsidRPr="4810B1DF">
        <w:t xml:space="preserve">, alongside </w:t>
      </w:r>
      <w:r w:rsidR="007D7892">
        <w:t xml:space="preserve">the </w:t>
      </w:r>
      <w:r w:rsidR="00A27530">
        <w:t>University of Edinburgh</w:t>
      </w:r>
      <w:r w:rsidR="00476481" w:rsidRPr="4810B1DF">
        <w:t xml:space="preserve">’s </w:t>
      </w:r>
      <w:r w:rsidR="001B2CBA" w:rsidRPr="4810B1DF">
        <w:t xml:space="preserve">direct and indirect </w:t>
      </w:r>
      <w:r w:rsidR="00773F7C" w:rsidRPr="00156D22">
        <w:t xml:space="preserve">investments </w:t>
      </w:r>
      <w:r w:rsidR="001B2CBA" w:rsidRPr="00156D22">
        <w:t>in</w:t>
      </w:r>
      <w:r w:rsidR="00156D22" w:rsidRPr="00156D22">
        <w:t xml:space="preserve"> </w:t>
      </w:r>
      <w:r w:rsidR="00156D22" w:rsidRPr="00CA18E0">
        <w:rPr>
          <w:rFonts w:cs="Times New Roman"/>
          <w:color w:val="212121"/>
        </w:rPr>
        <w:t xml:space="preserve">companies </w:t>
      </w:r>
      <w:r w:rsidR="00156D22">
        <w:rPr>
          <w:rFonts w:cs="Times New Roman"/>
          <w:color w:val="212121"/>
        </w:rPr>
        <w:t>accused of</w:t>
      </w:r>
      <w:r w:rsidR="00156D22" w:rsidRPr="00CA18E0">
        <w:rPr>
          <w:rFonts w:cs="Times New Roman"/>
          <w:color w:val="212121"/>
        </w:rPr>
        <w:t xml:space="preserve"> enabling</w:t>
      </w:r>
      <w:r w:rsidR="00773F7C" w:rsidRPr="00156D22">
        <w:t xml:space="preserve"> Israel’s</w:t>
      </w:r>
      <w:r w:rsidR="00773F7C" w:rsidRPr="4810B1DF">
        <w:t xml:space="preserve"> occupation and human rights violations, represent a clear repetition of the colonial and imperial harm</w:t>
      </w:r>
      <w:r w:rsidR="00F313C9" w:rsidRPr="4810B1DF">
        <w:t>s</w:t>
      </w:r>
      <w:r w:rsidR="00773F7C" w:rsidRPr="4810B1DF">
        <w:t xml:space="preserve"> which the Balfour Declaration institutionalised more than a century ago. </w:t>
      </w:r>
      <w:bookmarkStart w:id="50" w:name="_Toc157238066"/>
      <w:bookmarkStart w:id="51" w:name="_Toc157238072"/>
    </w:p>
    <w:p w14:paraId="37D003EC" w14:textId="5DA6121E" w:rsidR="00E66761" w:rsidRPr="007D7892" w:rsidRDefault="00A3703D" w:rsidP="007D7892">
      <w:pPr>
        <w:pStyle w:val="Heading1"/>
      </w:pPr>
      <w:bookmarkStart w:id="52" w:name="_Toc190939416"/>
      <w:bookmarkStart w:id="53" w:name="_Toc202627099"/>
      <w:r w:rsidRPr="007D7892">
        <w:lastRenderedPageBreak/>
        <w:t xml:space="preserve">Part 3: </w:t>
      </w:r>
      <w:r w:rsidR="008E03CE" w:rsidRPr="007D7892">
        <w:t>Current Institutional Picture</w:t>
      </w:r>
      <w:r w:rsidR="00695155">
        <w:t xml:space="preserve"> from Statistical Perspectives</w:t>
      </w:r>
      <w:bookmarkEnd w:id="52"/>
      <w:bookmarkEnd w:id="53"/>
    </w:p>
    <w:p w14:paraId="5B749AAC" w14:textId="77777777" w:rsidR="00E66761" w:rsidRDefault="00E66761" w:rsidP="00A3703D">
      <w:pPr>
        <w:pStyle w:val="Heading1"/>
        <w:spacing w:line="259" w:lineRule="auto"/>
        <w:jc w:val="left"/>
        <w:rPr>
          <w:rFonts w:ascii="Calibri" w:hAnsi="Calibri" w:cs="Calibri"/>
          <w:color w:val="000000" w:themeColor="text1"/>
        </w:rPr>
      </w:pPr>
    </w:p>
    <w:bookmarkEnd w:id="50"/>
    <w:p w14:paraId="49BB833F" w14:textId="001EB513" w:rsidR="008E03CE" w:rsidRPr="00520DE1" w:rsidRDefault="009E2B53" w:rsidP="00FE31C9">
      <w:pPr>
        <w:spacing w:line="259" w:lineRule="auto"/>
        <w:rPr>
          <w:rFonts w:ascii="Calibri" w:eastAsia="Times New Roman" w:hAnsi="Calibri" w:cs="Calibri"/>
          <w:color w:val="000000" w:themeColor="text1"/>
        </w:rPr>
      </w:pPr>
      <w:r>
        <w:rPr>
          <w:rFonts w:ascii="Calibri" w:eastAsia="Times New Roman" w:hAnsi="Calibri" w:cs="Calibri"/>
          <w:color w:val="000000" w:themeColor="text1"/>
        </w:rPr>
        <w:t xml:space="preserve">In addition to looking into </w:t>
      </w:r>
      <w:r w:rsidR="2F7DE222">
        <w:rPr>
          <w:rFonts w:ascii="Calibri" w:eastAsia="Times New Roman" w:hAnsi="Calibri" w:cs="Calibri"/>
          <w:color w:val="000000" w:themeColor="text1"/>
        </w:rPr>
        <w:t xml:space="preserve">the links between the </w:t>
      </w:r>
      <w:r w:rsidR="00A27530" w:rsidRPr="3C6D1E23">
        <w:rPr>
          <w:rFonts w:ascii="Calibri" w:eastAsia="Times New Roman" w:hAnsi="Calibri" w:cs="Calibri"/>
          <w:color w:val="000000" w:themeColor="text1"/>
        </w:rPr>
        <w:t>University of Edinburgh</w:t>
      </w:r>
      <w:r w:rsidR="2F7DE222">
        <w:rPr>
          <w:rFonts w:ascii="Calibri" w:eastAsia="Times New Roman" w:hAnsi="Calibri" w:cs="Calibri"/>
          <w:color w:val="000000" w:themeColor="text1"/>
        </w:rPr>
        <w:t xml:space="preserve"> and histories of enslavement and colonialism, this report also considers </w:t>
      </w:r>
      <w:r w:rsidR="142E0E07">
        <w:rPr>
          <w:rFonts w:ascii="Calibri" w:eastAsia="Times New Roman" w:hAnsi="Calibri" w:cs="Calibri"/>
          <w:color w:val="000000" w:themeColor="text1"/>
        </w:rPr>
        <w:t xml:space="preserve">how racial disparity within our institution represents </w:t>
      </w:r>
      <w:r w:rsidR="005D5176">
        <w:rPr>
          <w:rFonts w:ascii="Calibri" w:eastAsia="Times New Roman" w:hAnsi="Calibri" w:cs="Calibri"/>
          <w:color w:val="000000" w:themeColor="text1"/>
        </w:rPr>
        <w:t xml:space="preserve">an </w:t>
      </w:r>
      <w:r w:rsidR="62DB22EE">
        <w:rPr>
          <w:rFonts w:ascii="Calibri" w:eastAsia="Times New Roman" w:hAnsi="Calibri" w:cs="Calibri"/>
          <w:color w:val="000000" w:themeColor="text1"/>
        </w:rPr>
        <w:t xml:space="preserve">important </w:t>
      </w:r>
      <w:r w:rsidR="142E0E07">
        <w:rPr>
          <w:rFonts w:ascii="Calibri" w:eastAsia="Times New Roman" w:hAnsi="Calibri" w:cs="Calibri"/>
          <w:color w:val="000000" w:themeColor="text1"/>
        </w:rPr>
        <w:t>legac</w:t>
      </w:r>
      <w:r w:rsidR="62DB22EE">
        <w:rPr>
          <w:rFonts w:ascii="Calibri" w:eastAsia="Times New Roman" w:hAnsi="Calibri" w:cs="Calibri"/>
          <w:color w:val="000000" w:themeColor="text1"/>
        </w:rPr>
        <w:t>y</w:t>
      </w:r>
      <w:r w:rsidR="142E0E07">
        <w:rPr>
          <w:rFonts w:ascii="Calibri" w:eastAsia="Times New Roman" w:hAnsi="Calibri" w:cs="Calibri"/>
          <w:color w:val="000000" w:themeColor="text1"/>
        </w:rPr>
        <w:t xml:space="preserve"> of these </w:t>
      </w:r>
      <w:r w:rsidR="7E6500A6">
        <w:rPr>
          <w:rFonts w:ascii="Calibri" w:eastAsia="Times New Roman" w:hAnsi="Calibri" w:cs="Calibri"/>
          <w:color w:val="000000" w:themeColor="text1"/>
        </w:rPr>
        <w:t>histories.</w:t>
      </w:r>
      <w:r w:rsidR="004E3D1D">
        <w:rPr>
          <w:rStyle w:val="FootnoteReference"/>
          <w:rFonts w:ascii="Calibri" w:eastAsia="Times New Roman" w:hAnsi="Calibri" w:cs="Calibri"/>
          <w:color w:val="000000" w:themeColor="text1"/>
        </w:rPr>
        <w:footnoteReference w:id="153"/>
      </w:r>
      <w:r w:rsidR="7E6500A6">
        <w:rPr>
          <w:rFonts w:ascii="Calibri" w:eastAsia="Times New Roman" w:hAnsi="Calibri" w:cs="Calibri"/>
          <w:color w:val="000000" w:themeColor="text1"/>
        </w:rPr>
        <w:t xml:space="preserve"> In this section, we</w:t>
      </w:r>
      <w:r w:rsidR="008E03CE" w:rsidRPr="58BA66ED">
        <w:rPr>
          <w:rFonts w:ascii="Calibri" w:eastAsia="Times New Roman" w:hAnsi="Calibri" w:cs="Calibri"/>
          <w:color w:val="000000" w:themeColor="text1"/>
        </w:rPr>
        <w:t xml:space="preserve"> aim to understand the current institutional picture of racial and ethnic minority populations at the </w:t>
      </w:r>
      <w:r w:rsidR="00A27530" w:rsidRPr="3C6D1E23">
        <w:rPr>
          <w:rFonts w:ascii="Calibri" w:eastAsia="Times New Roman" w:hAnsi="Calibri" w:cs="Calibri"/>
          <w:color w:val="000000" w:themeColor="text1"/>
        </w:rPr>
        <w:t>University of Edinburgh</w:t>
      </w:r>
      <w:r w:rsidR="62DB22EE">
        <w:rPr>
          <w:rFonts w:ascii="Calibri" w:eastAsia="Times New Roman" w:hAnsi="Calibri" w:cs="Calibri"/>
          <w:color w:val="000000" w:themeColor="text1"/>
        </w:rPr>
        <w:t xml:space="preserve"> in statistical terms</w:t>
      </w:r>
      <w:r w:rsidR="008E03CE" w:rsidRPr="58BA66ED">
        <w:rPr>
          <w:rFonts w:ascii="Calibri" w:eastAsia="Times New Roman" w:hAnsi="Calibri" w:cs="Calibri"/>
          <w:color w:val="000000" w:themeColor="text1"/>
        </w:rPr>
        <w:t>. To achieve this goal, this report utili</w:t>
      </w:r>
      <w:r w:rsidR="008E03CE">
        <w:rPr>
          <w:rFonts w:ascii="Calibri" w:eastAsia="Times New Roman" w:hAnsi="Calibri" w:cs="Calibri"/>
          <w:color w:val="000000" w:themeColor="text1"/>
        </w:rPr>
        <w:t>s</w:t>
      </w:r>
      <w:r w:rsidR="008E03CE" w:rsidRPr="58BA66ED">
        <w:rPr>
          <w:rFonts w:ascii="Calibri" w:eastAsia="Times New Roman" w:hAnsi="Calibri" w:cs="Calibri"/>
          <w:color w:val="000000" w:themeColor="text1"/>
        </w:rPr>
        <w:t>e</w:t>
      </w:r>
      <w:r w:rsidR="7E6500A6">
        <w:rPr>
          <w:rFonts w:ascii="Calibri" w:eastAsia="Times New Roman" w:hAnsi="Calibri" w:cs="Calibri"/>
          <w:color w:val="000000" w:themeColor="text1"/>
        </w:rPr>
        <w:t>s</w:t>
      </w:r>
      <w:r w:rsidR="008E03CE" w:rsidRPr="58BA66ED">
        <w:rPr>
          <w:rFonts w:ascii="Calibri" w:eastAsia="Times New Roman" w:hAnsi="Calibri" w:cs="Calibri"/>
          <w:color w:val="000000" w:themeColor="text1"/>
        </w:rPr>
        <w:t xml:space="preserve"> </w:t>
      </w:r>
      <w:r w:rsidR="008E03CE" w:rsidRPr="0017357E">
        <w:rPr>
          <w:rFonts w:ascii="Calibri" w:eastAsia="Times New Roman" w:hAnsi="Calibri" w:cs="Calibri"/>
          <w:color w:val="000000" w:themeColor="text1"/>
        </w:rPr>
        <w:t xml:space="preserve">institutional data </w:t>
      </w:r>
      <w:r w:rsidR="3848333E">
        <w:rPr>
          <w:rFonts w:ascii="Calibri" w:eastAsia="Times New Roman" w:hAnsi="Calibri" w:cs="Calibri"/>
          <w:color w:val="000000" w:themeColor="text1"/>
        </w:rPr>
        <w:t xml:space="preserve">from the </w:t>
      </w:r>
      <w:r w:rsidR="001E4DAC">
        <w:rPr>
          <w:rFonts w:ascii="Calibri" w:eastAsia="Times New Roman" w:hAnsi="Calibri" w:cs="Calibri"/>
          <w:color w:val="000000" w:themeColor="text1"/>
        </w:rPr>
        <w:t>p</w:t>
      </w:r>
      <w:r w:rsidR="3848333E">
        <w:rPr>
          <w:rFonts w:ascii="Calibri" w:eastAsia="Times New Roman" w:hAnsi="Calibri" w:cs="Calibri"/>
          <w:color w:val="000000" w:themeColor="text1"/>
        </w:rPr>
        <w:t xml:space="preserve">ast </w:t>
      </w:r>
      <w:r w:rsidR="00252B17">
        <w:rPr>
          <w:rFonts w:ascii="Calibri" w:eastAsia="Times New Roman" w:hAnsi="Calibri" w:cs="Calibri"/>
          <w:color w:val="000000" w:themeColor="text1"/>
        </w:rPr>
        <w:t xml:space="preserve">five years, </w:t>
      </w:r>
      <w:r w:rsidR="008E03CE" w:rsidRPr="58BA66ED">
        <w:rPr>
          <w:rFonts w:ascii="Calibri" w:eastAsia="Times New Roman" w:hAnsi="Calibri" w:cs="Calibri"/>
          <w:color w:val="000000" w:themeColor="text1"/>
        </w:rPr>
        <w:t>disaggregated by racial and ethnic minority groups</w:t>
      </w:r>
      <w:r w:rsidR="00252B17">
        <w:rPr>
          <w:rFonts w:ascii="Calibri" w:eastAsia="Times New Roman" w:hAnsi="Calibri" w:cs="Calibri"/>
          <w:color w:val="000000" w:themeColor="text1"/>
        </w:rPr>
        <w:t>,</w:t>
      </w:r>
      <w:r w:rsidR="008E03CE" w:rsidRPr="58BA66ED">
        <w:rPr>
          <w:rFonts w:ascii="Calibri" w:eastAsia="Times New Roman" w:hAnsi="Calibri" w:cs="Calibri"/>
          <w:color w:val="000000" w:themeColor="text1"/>
        </w:rPr>
        <w:t xml:space="preserve"> to understand the finer details of </w:t>
      </w:r>
      <w:r w:rsidR="6D66DFFC">
        <w:rPr>
          <w:rFonts w:ascii="Calibri" w:eastAsia="Times New Roman" w:hAnsi="Calibri" w:cs="Calibri"/>
          <w:color w:val="000000" w:themeColor="text1"/>
        </w:rPr>
        <w:t xml:space="preserve">the </w:t>
      </w:r>
      <w:r w:rsidR="008E03CE" w:rsidRPr="58BA66ED">
        <w:rPr>
          <w:rFonts w:ascii="Calibri" w:eastAsia="Times New Roman" w:hAnsi="Calibri" w:cs="Calibri"/>
          <w:color w:val="000000" w:themeColor="text1"/>
        </w:rPr>
        <w:t>under-representation</w:t>
      </w:r>
      <w:r w:rsidR="6D66DFFC">
        <w:rPr>
          <w:rFonts w:ascii="Calibri" w:eastAsia="Times New Roman" w:hAnsi="Calibri" w:cs="Calibri"/>
          <w:color w:val="000000" w:themeColor="text1"/>
        </w:rPr>
        <w:t xml:space="preserve"> o</w:t>
      </w:r>
      <w:r w:rsidR="008E03CE" w:rsidRPr="0017357E">
        <w:rPr>
          <w:rFonts w:ascii="Calibri" w:eastAsia="Times New Roman" w:hAnsi="Calibri" w:cs="Calibri"/>
          <w:color w:val="000000" w:themeColor="text1"/>
        </w:rPr>
        <w:t xml:space="preserve">f racially/ethnically minoritised </w:t>
      </w:r>
      <w:r w:rsidR="6D66DFFC">
        <w:rPr>
          <w:rFonts w:ascii="Calibri" w:eastAsia="Times New Roman" w:hAnsi="Calibri" w:cs="Calibri"/>
          <w:color w:val="000000" w:themeColor="text1"/>
        </w:rPr>
        <w:t>staff</w:t>
      </w:r>
      <w:r w:rsidR="008E03CE" w:rsidRPr="0017357E">
        <w:rPr>
          <w:rFonts w:ascii="Calibri" w:eastAsia="Times New Roman" w:hAnsi="Calibri" w:cs="Calibri"/>
          <w:color w:val="000000" w:themeColor="text1"/>
        </w:rPr>
        <w:t xml:space="preserve"> and students</w:t>
      </w:r>
      <w:r w:rsidR="6D66DFFC">
        <w:rPr>
          <w:rFonts w:ascii="Calibri" w:eastAsia="Times New Roman" w:hAnsi="Calibri" w:cs="Calibri"/>
          <w:color w:val="000000" w:themeColor="text1"/>
        </w:rPr>
        <w:t xml:space="preserve">, seeing this as a </w:t>
      </w:r>
      <w:r w:rsidR="008E03CE" w:rsidRPr="0017357E">
        <w:rPr>
          <w:rFonts w:ascii="Calibri" w:eastAsia="Times New Roman" w:hAnsi="Calibri" w:cs="Calibri"/>
          <w:color w:val="000000" w:themeColor="text1"/>
        </w:rPr>
        <w:t xml:space="preserve">significant indicator of </w:t>
      </w:r>
      <w:r w:rsidR="008E03CE" w:rsidRPr="58BA66ED">
        <w:rPr>
          <w:rFonts w:ascii="Calibri" w:eastAsia="Times New Roman" w:hAnsi="Calibri" w:cs="Calibri"/>
          <w:color w:val="000000" w:themeColor="text1"/>
        </w:rPr>
        <w:t>institutional climate. This section provides</w:t>
      </w:r>
      <w:r w:rsidR="008E03CE" w:rsidRPr="0017357E">
        <w:rPr>
          <w:rFonts w:ascii="Calibri" w:eastAsia="Times New Roman" w:hAnsi="Calibri" w:cs="Calibri"/>
          <w:color w:val="000000" w:themeColor="text1"/>
        </w:rPr>
        <w:t xml:space="preserve"> further evidence to support the</w:t>
      </w:r>
      <w:r w:rsidR="001E4DAC">
        <w:rPr>
          <w:rFonts w:ascii="Calibri" w:eastAsia="Times New Roman" w:hAnsi="Calibri" w:cs="Calibri"/>
          <w:color w:val="000000" w:themeColor="text1"/>
        </w:rPr>
        <w:t xml:space="preserve"> University’s Race Equality &amp; Anti-Racist Subcommittee’s</w:t>
      </w:r>
      <w:r w:rsidR="008E03CE" w:rsidRPr="0017357E">
        <w:rPr>
          <w:rFonts w:ascii="Calibri" w:eastAsia="Times New Roman" w:hAnsi="Calibri" w:cs="Calibri"/>
          <w:color w:val="000000" w:themeColor="text1"/>
        </w:rPr>
        <w:t xml:space="preserve"> Action Plan and, specifically, its focus on addressing the unequal experience</w:t>
      </w:r>
      <w:r w:rsidR="1932058F">
        <w:rPr>
          <w:rFonts w:ascii="Calibri" w:eastAsia="Times New Roman" w:hAnsi="Calibri" w:cs="Calibri"/>
          <w:color w:val="000000" w:themeColor="text1"/>
        </w:rPr>
        <w:t>s</w:t>
      </w:r>
      <w:r w:rsidR="008E03CE" w:rsidRPr="0017357E">
        <w:rPr>
          <w:rFonts w:ascii="Calibri" w:eastAsia="Times New Roman" w:hAnsi="Calibri" w:cs="Calibri"/>
          <w:color w:val="000000" w:themeColor="text1"/>
        </w:rPr>
        <w:t xml:space="preserve"> and under</w:t>
      </w:r>
      <w:r w:rsidR="00252B17">
        <w:rPr>
          <w:rFonts w:ascii="Calibri" w:eastAsia="Times New Roman" w:hAnsi="Calibri" w:cs="Calibri"/>
          <w:color w:val="000000" w:themeColor="text1"/>
        </w:rPr>
        <w:t>-</w:t>
      </w:r>
      <w:r w:rsidR="008E03CE" w:rsidRPr="0017357E">
        <w:rPr>
          <w:rFonts w:ascii="Calibri" w:eastAsia="Times New Roman" w:hAnsi="Calibri" w:cs="Calibri"/>
          <w:color w:val="000000" w:themeColor="text1"/>
        </w:rPr>
        <w:t>representation of racially/ethnically minoritised staff, both in academic roles and in professional services, as well as tackling student under-representation.</w:t>
      </w:r>
    </w:p>
    <w:p w14:paraId="2110D230" w14:textId="21DAFD0C" w:rsidR="00A54FB3" w:rsidRDefault="0065250C" w:rsidP="00FE31C9">
      <w:pPr>
        <w:spacing w:line="259" w:lineRule="auto"/>
        <w:ind w:firstLine="720"/>
        <w:rPr>
          <w:rFonts w:ascii="Calibri" w:eastAsia="Times New Roman" w:hAnsi="Calibri" w:cs="Calibri"/>
          <w:color w:val="000000" w:themeColor="text1"/>
        </w:rPr>
      </w:pPr>
      <w:r>
        <w:rPr>
          <w:rFonts w:ascii="Calibri" w:eastAsia="Times New Roman" w:hAnsi="Calibri" w:cs="Calibri"/>
          <w:color w:val="000000" w:themeColor="text1"/>
        </w:rPr>
        <w:t>Understanding s</w:t>
      </w:r>
      <w:r w:rsidR="00BF061A">
        <w:rPr>
          <w:rFonts w:ascii="Calibri" w:eastAsia="Times New Roman" w:hAnsi="Calibri" w:cs="Calibri"/>
          <w:color w:val="000000" w:themeColor="text1"/>
        </w:rPr>
        <w:t>taff</w:t>
      </w:r>
      <w:r w:rsidR="008E03CE" w:rsidRPr="58BA66ED">
        <w:rPr>
          <w:rFonts w:ascii="Calibri" w:eastAsia="Times New Roman" w:hAnsi="Calibri" w:cs="Calibri"/>
          <w:color w:val="000000" w:themeColor="text1"/>
        </w:rPr>
        <w:t xml:space="preserve"> under-representation</w:t>
      </w:r>
      <w:r w:rsidR="00252B17">
        <w:rPr>
          <w:rFonts w:ascii="Calibri" w:eastAsia="Times New Roman" w:hAnsi="Calibri" w:cs="Calibri"/>
          <w:color w:val="000000" w:themeColor="text1"/>
        </w:rPr>
        <w:t xml:space="preserve"> </w:t>
      </w:r>
      <w:r w:rsidR="008E03CE" w:rsidRPr="58BA66ED">
        <w:rPr>
          <w:rFonts w:ascii="Calibri" w:eastAsia="Times New Roman" w:hAnsi="Calibri" w:cs="Calibri"/>
          <w:color w:val="000000" w:themeColor="text1"/>
        </w:rPr>
        <w:t xml:space="preserve">and </w:t>
      </w:r>
      <w:r>
        <w:rPr>
          <w:rFonts w:ascii="Calibri" w:eastAsia="Times New Roman" w:hAnsi="Calibri" w:cs="Calibri"/>
          <w:color w:val="000000" w:themeColor="text1"/>
        </w:rPr>
        <w:t xml:space="preserve">issues with </w:t>
      </w:r>
      <w:r w:rsidR="008E03CE" w:rsidRPr="58BA66ED">
        <w:rPr>
          <w:rFonts w:ascii="Calibri" w:eastAsia="Times New Roman" w:hAnsi="Calibri" w:cs="Calibri"/>
          <w:color w:val="000000" w:themeColor="text1"/>
        </w:rPr>
        <w:t xml:space="preserve">career progression are of central importance to any attempts to decolonise </w:t>
      </w:r>
      <w:r w:rsidR="007914B0">
        <w:rPr>
          <w:rFonts w:ascii="Calibri" w:eastAsia="Times New Roman" w:hAnsi="Calibri" w:cs="Calibri"/>
          <w:color w:val="000000" w:themeColor="text1"/>
        </w:rPr>
        <w:t xml:space="preserve">an </w:t>
      </w:r>
      <w:r w:rsidR="008E03CE" w:rsidRPr="58BA66ED">
        <w:rPr>
          <w:rFonts w:ascii="Calibri" w:eastAsia="Times New Roman" w:hAnsi="Calibri" w:cs="Calibri"/>
          <w:color w:val="000000" w:themeColor="text1"/>
        </w:rPr>
        <w:t>institution</w:t>
      </w:r>
      <w:r w:rsidR="007914B0">
        <w:rPr>
          <w:rFonts w:ascii="Calibri" w:eastAsia="Times New Roman" w:hAnsi="Calibri" w:cs="Calibri"/>
          <w:color w:val="000000" w:themeColor="text1"/>
        </w:rPr>
        <w:t>’s</w:t>
      </w:r>
      <w:r w:rsidR="008E03CE" w:rsidRPr="58BA66ED">
        <w:rPr>
          <w:rFonts w:ascii="Calibri" w:eastAsia="Times New Roman" w:hAnsi="Calibri" w:cs="Calibri"/>
          <w:color w:val="000000" w:themeColor="text1"/>
        </w:rPr>
        <w:t xml:space="preserve"> culture.</w:t>
      </w:r>
      <w:r w:rsidR="00BF061A">
        <w:rPr>
          <w:rFonts w:ascii="Calibri" w:eastAsia="Times New Roman" w:hAnsi="Calibri" w:cs="Calibri"/>
          <w:color w:val="000000" w:themeColor="text1"/>
        </w:rPr>
        <w:t xml:space="preserve"> </w:t>
      </w:r>
      <w:r w:rsidR="008E03CE" w:rsidRPr="58BA66ED">
        <w:rPr>
          <w:rFonts w:ascii="Calibri" w:eastAsia="Times New Roman" w:hAnsi="Calibri" w:cs="Calibri"/>
          <w:color w:val="000000" w:themeColor="text1"/>
        </w:rPr>
        <w:t xml:space="preserve">Previous studies conclude that </w:t>
      </w:r>
      <w:r w:rsidR="000175F1">
        <w:rPr>
          <w:rFonts w:ascii="Calibri" w:eastAsia="Times New Roman" w:hAnsi="Calibri" w:cs="Calibri"/>
          <w:color w:val="000000" w:themeColor="text1"/>
        </w:rPr>
        <w:t>an important way</w:t>
      </w:r>
      <w:r w:rsidR="008E03CE" w:rsidRPr="58BA66ED">
        <w:rPr>
          <w:rFonts w:ascii="Calibri" w:eastAsia="Times New Roman" w:hAnsi="Calibri" w:cs="Calibri"/>
          <w:color w:val="000000" w:themeColor="text1"/>
        </w:rPr>
        <w:t xml:space="preserve"> to address the negative experiences</w:t>
      </w:r>
      <w:r w:rsidR="00BF061A">
        <w:rPr>
          <w:rFonts w:ascii="Calibri" w:eastAsia="Times New Roman" w:hAnsi="Calibri" w:cs="Calibri"/>
          <w:color w:val="000000" w:themeColor="text1"/>
        </w:rPr>
        <w:t xml:space="preserve"> of</w:t>
      </w:r>
      <w:r w:rsidR="008E03CE" w:rsidRPr="58BA66ED">
        <w:rPr>
          <w:rFonts w:ascii="Calibri" w:eastAsia="Times New Roman" w:hAnsi="Calibri" w:cs="Calibri"/>
          <w:color w:val="000000" w:themeColor="text1"/>
        </w:rPr>
        <w:t xml:space="preserve"> Black, Asian and other </w:t>
      </w:r>
      <w:r w:rsidR="009A1586">
        <w:rPr>
          <w:rFonts w:ascii="Calibri" w:eastAsia="Times New Roman" w:hAnsi="Calibri" w:cs="Calibri"/>
          <w:color w:val="000000" w:themeColor="text1"/>
        </w:rPr>
        <w:t>ethnically/racially minoritised staff</w:t>
      </w:r>
      <w:r w:rsidR="008E03CE" w:rsidRPr="58BA66ED">
        <w:rPr>
          <w:rFonts w:ascii="Calibri" w:eastAsia="Times New Roman" w:hAnsi="Calibri" w:cs="Calibri"/>
          <w:color w:val="000000" w:themeColor="text1"/>
        </w:rPr>
        <w:t xml:space="preserve"> and students </w:t>
      </w:r>
      <w:r w:rsidR="000175F1">
        <w:rPr>
          <w:rFonts w:ascii="Calibri" w:eastAsia="Times New Roman" w:hAnsi="Calibri" w:cs="Calibri"/>
          <w:color w:val="000000" w:themeColor="text1"/>
        </w:rPr>
        <w:t>is to</w:t>
      </w:r>
      <w:r w:rsidR="008E03CE" w:rsidRPr="58BA66ED">
        <w:rPr>
          <w:rFonts w:ascii="Calibri" w:eastAsia="Times New Roman" w:hAnsi="Calibri" w:cs="Calibri"/>
          <w:color w:val="000000" w:themeColor="text1"/>
        </w:rPr>
        <w:t xml:space="preserve"> increase </w:t>
      </w:r>
      <w:r w:rsidR="000175F1">
        <w:rPr>
          <w:rFonts w:ascii="Calibri" w:eastAsia="Times New Roman" w:hAnsi="Calibri" w:cs="Calibri"/>
          <w:color w:val="000000" w:themeColor="text1"/>
        </w:rPr>
        <w:t>the</w:t>
      </w:r>
      <w:r w:rsidR="008E03CE" w:rsidRPr="58BA66ED">
        <w:rPr>
          <w:rFonts w:ascii="Calibri" w:eastAsia="Times New Roman" w:hAnsi="Calibri" w:cs="Calibri"/>
          <w:color w:val="000000" w:themeColor="text1"/>
        </w:rPr>
        <w:t xml:space="preserve"> racial and ethnic diversity </w:t>
      </w:r>
      <w:r w:rsidR="000175F1">
        <w:rPr>
          <w:rFonts w:ascii="Calibri" w:eastAsia="Times New Roman" w:hAnsi="Calibri" w:cs="Calibri"/>
          <w:color w:val="000000" w:themeColor="text1"/>
        </w:rPr>
        <w:t>of</w:t>
      </w:r>
      <w:r w:rsidR="008E03CE" w:rsidRPr="58BA66ED">
        <w:rPr>
          <w:rFonts w:ascii="Calibri" w:eastAsia="Times New Roman" w:hAnsi="Calibri" w:cs="Calibri"/>
          <w:color w:val="000000" w:themeColor="text1"/>
        </w:rPr>
        <w:t xml:space="preserve"> </w:t>
      </w:r>
      <w:r w:rsidR="00BF061A">
        <w:rPr>
          <w:rFonts w:ascii="Calibri" w:eastAsia="Times New Roman" w:hAnsi="Calibri" w:cs="Calibri"/>
          <w:color w:val="000000" w:themeColor="text1"/>
        </w:rPr>
        <w:t>academic and professional services staff</w:t>
      </w:r>
      <w:r w:rsidR="008E03CE" w:rsidRPr="58BA66ED">
        <w:rPr>
          <w:rFonts w:ascii="Calibri" w:eastAsia="Times New Roman" w:hAnsi="Calibri" w:cs="Calibri"/>
          <w:color w:val="000000" w:themeColor="text1"/>
        </w:rPr>
        <w:t>.</w:t>
      </w:r>
      <w:r w:rsidR="008E03CE">
        <w:rPr>
          <w:rStyle w:val="FootnoteReference"/>
          <w:rFonts w:ascii="Calibri" w:eastAsia="Times New Roman" w:hAnsi="Calibri" w:cs="Calibri"/>
          <w:color w:val="000000" w:themeColor="text1"/>
        </w:rPr>
        <w:footnoteReference w:id="154"/>
      </w:r>
      <w:r w:rsidR="008E03CE" w:rsidRPr="58BA66ED">
        <w:rPr>
          <w:rFonts w:ascii="Calibri" w:eastAsia="Times New Roman" w:hAnsi="Calibri" w:cs="Calibri"/>
          <w:color w:val="000000" w:themeColor="text1"/>
        </w:rPr>
        <w:t xml:space="preserve"> </w:t>
      </w:r>
      <w:r w:rsidR="000143CE">
        <w:rPr>
          <w:rFonts w:ascii="Calibri" w:eastAsia="Times New Roman" w:hAnsi="Calibri" w:cs="Calibri"/>
          <w:color w:val="000000" w:themeColor="text1"/>
        </w:rPr>
        <w:t xml:space="preserve">Studies have </w:t>
      </w:r>
      <w:r w:rsidR="00DC2C96">
        <w:rPr>
          <w:rFonts w:ascii="Calibri" w:eastAsia="Times New Roman" w:hAnsi="Calibri" w:cs="Calibri"/>
          <w:color w:val="000000" w:themeColor="text1"/>
        </w:rPr>
        <w:t xml:space="preserve">also </w:t>
      </w:r>
      <w:r w:rsidR="000143CE">
        <w:rPr>
          <w:rFonts w:ascii="Calibri" w:eastAsia="Times New Roman" w:hAnsi="Calibri" w:cs="Calibri"/>
          <w:color w:val="000000" w:themeColor="text1"/>
        </w:rPr>
        <w:t xml:space="preserve">found that </w:t>
      </w:r>
      <w:r w:rsidR="008E03CE" w:rsidRPr="58BA66ED">
        <w:rPr>
          <w:rFonts w:ascii="Calibri" w:eastAsia="Times New Roman" w:hAnsi="Calibri" w:cs="Calibri"/>
          <w:color w:val="000000" w:themeColor="text1"/>
        </w:rPr>
        <w:t>hiring</w:t>
      </w:r>
      <w:r w:rsidR="008E03CE" w:rsidRPr="58BA66ED" w:rsidDel="00DC2C96">
        <w:rPr>
          <w:rFonts w:ascii="Calibri" w:eastAsia="Times New Roman" w:hAnsi="Calibri" w:cs="Calibri"/>
          <w:color w:val="000000" w:themeColor="text1"/>
        </w:rPr>
        <w:t xml:space="preserve"> </w:t>
      </w:r>
      <w:r w:rsidR="00A54FB3">
        <w:rPr>
          <w:rFonts w:ascii="Calibri" w:eastAsia="Times New Roman" w:hAnsi="Calibri" w:cs="Calibri"/>
          <w:color w:val="000000" w:themeColor="text1"/>
        </w:rPr>
        <w:t>racially/ethnically</w:t>
      </w:r>
      <w:r w:rsidR="008E03CE" w:rsidRPr="58BA66ED">
        <w:rPr>
          <w:rFonts w:ascii="Calibri" w:eastAsia="Times New Roman" w:hAnsi="Calibri" w:cs="Calibri"/>
          <w:color w:val="000000" w:themeColor="text1"/>
        </w:rPr>
        <w:t xml:space="preserve"> minorit</w:t>
      </w:r>
      <w:r w:rsidR="00A54FB3">
        <w:rPr>
          <w:rFonts w:ascii="Calibri" w:eastAsia="Times New Roman" w:hAnsi="Calibri" w:cs="Calibri"/>
          <w:color w:val="000000" w:themeColor="text1"/>
        </w:rPr>
        <w:t xml:space="preserve">ised staff </w:t>
      </w:r>
      <w:r w:rsidR="000143CE">
        <w:rPr>
          <w:rFonts w:ascii="Calibri" w:eastAsia="Times New Roman" w:hAnsi="Calibri" w:cs="Calibri"/>
          <w:color w:val="000000" w:themeColor="text1"/>
        </w:rPr>
        <w:t>is</w:t>
      </w:r>
      <w:r w:rsidR="008E03CE" w:rsidRPr="58BA66ED" w:rsidDel="000143CE">
        <w:rPr>
          <w:rFonts w:ascii="Calibri" w:eastAsia="Times New Roman" w:hAnsi="Calibri" w:cs="Calibri"/>
          <w:color w:val="000000" w:themeColor="text1"/>
        </w:rPr>
        <w:t xml:space="preserve"> </w:t>
      </w:r>
      <w:r w:rsidR="008E03CE" w:rsidRPr="58BA66ED">
        <w:rPr>
          <w:rFonts w:ascii="Calibri" w:eastAsia="Times New Roman" w:hAnsi="Calibri" w:cs="Calibri"/>
          <w:color w:val="000000" w:themeColor="text1"/>
        </w:rPr>
        <w:t>important to</w:t>
      </w:r>
      <w:r w:rsidR="00A54FB3">
        <w:rPr>
          <w:rFonts w:ascii="Calibri" w:eastAsia="Times New Roman" w:hAnsi="Calibri" w:cs="Calibri"/>
          <w:color w:val="000000" w:themeColor="text1"/>
        </w:rPr>
        <w:t xml:space="preserve"> the </w:t>
      </w:r>
      <w:r w:rsidR="008E03CE" w:rsidRPr="58BA66ED">
        <w:rPr>
          <w:rFonts w:ascii="Calibri" w:eastAsia="Times New Roman" w:hAnsi="Calibri" w:cs="Calibri"/>
          <w:color w:val="000000" w:themeColor="text1"/>
        </w:rPr>
        <w:t>ability</w:t>
      </w:r>
      <w:r w:rsidR="00A54FB3">
        <w:rPr>
          <w:rFonts w:ascii="Calibri" w:eastAsia="Times New Roman" w:hAnsi="Calibri" w:cs="Calibri"/>
          <w:color w:val="000000" w:themeColor="text1"/>
        </w:rPr>
        <w:t xml:space="preserve"> of UK </w:t>
      </w:r>
      <w:r w:rsidR="00463A32">
        <w:rPr>
          <w:rFonts w:ascii="Calibri" w:eastAsia="Times New Roman" w:hAnsi="Calibri" w:cs="Calibri"/>
          <w:color w:val="000000" w:themeColor="text1"/>
        </w:rPr>
        <w:t>higher education institutions</w:t>
      </w:r>
      <w:r w:rsidR="00463A32" w:rsidRPr="58BA66ED">
        <w:rPr>
          <w:rFonts w:ascii="Calibri" w:eastAsia="Times New Roman" w:hAnsi="Calibri" w:cs="Calibri"/>
          <w:color w:val="000000" w:themeColor="text1"/>
        </w:rPr>
        <w:t xml:space="preserve"> </w:t>
      </w:r>
      <w:r w:rsidR="008E03CE" w:rsidRPr="58BA66ED">
        <w:rPr>
          <w:rFonts w:ascii="Calibri" w:eastAsia="Times New Roman" w:hAnsi="Calibri" w:cs="Calibri"/>
          <w:color w:val="000000" w:themeColor="text1"/>
        </w:rPr>
        <w:t>to decrease the academic assessment gap and improve student satisfaction.</w:t>
      </w:r>
      <w:r w:rsidR="008E03CE">
        <w:rPr>
          <w:rStyle w:val="FootnoteReference"/>
          <w:rFonts w:ascii="Calibri" w:eastAsia="Times New Roman" w:hAnsi="Calibri" w:cs="Calibri"/>
          <w:color w:val="000000" w:themeColor="text1"/>
        </w:rPr>
        <w:footnoteReference w:id="155"/>
      </w:r>
      <w:r w:rsidR="008E03CE" w:rsidRPr="58BA66ED">
        <w:rPr>
          <w:rFonts w:ascii="Calibri" w:eastAsia="Times New Roman" w:hAnsi="Calibri" w:cs="Calibri"/>
          <w:color w:val="000000" w:themeColor="text1"/>
        </w:rPr>
        <w:t xml:space="preserve"> </w:t>
      </w:r>
    </w:p>
    <w:p w14:paraId="66D13738" w14:textId="443F1DBD" w:rsidR="009E2B53" w:rsidRDefault="009E2B53" w:rsidP="00FE31C9">
      <w:pPr>
        <w:spacing w:line="259" w:lineRule="auto"/>
        <w:ind w:firstLine="720"/>
        <w:rPr>
          <w:rFonts w:ascii="Calibri" w:hAnsi="Calibri" w:cs="Calibri"/>
        </w:rPr>
      </w:pPr>
      <w:r w:rsidRPr="0080140C">
        <w:rPr>
          <w:rFonts w:ascii="Calibri" w:hAnsi="Calibri" w:cs="Calibri"/>
        </w:rPr>
        <w:t>This report utilises racial and ethnic classifications</w:t>
      </w:r>
      <w:r w:rsidR="00A54FB3">
        <w:rPr>
          <w:rFonts w:ascii="Calibri" w:hAnsi="Calibri" w:cs="Calibri"/>
        </w:rPr>
        <w:t xml:space="preserve"> that are</w:t>
      </w:r>
      <w:r w:rsidRPr="0080140C">
        <w:rPr>
          <w:rFonts w:ascii="Calibri" w:hAnsi="Calibri" w:cs="Calibri"/>
        </w:rPr>
        <w:t xml:space="preserve"> consistent with the Higher Education Statistic Agency and previous reports authored by the Equality Diversity Monitoring and Research Committee (EDMARC) at the </w:t>
      </w:r>
      <w:r w:rsidR="00A27530">
        <w:rPr>
          <w:rFonts w:ascii="Calibri" w:hAnsi="Calibri" w:cs="Calibri"/>
        </w:rPr>
        <w:t>University of Edinburgh</w:t>
      </w:r>
      <w:r w:rsidRPr="0080140C">
        <w:rPr>
          <w:rFonts w:ascii="Calibri" w:hAnsi="Calibri" w:cs="Calibri"/>
        </w:rPr>
        <w:t xml:space="preserve"> that classify groups into Whites, Blacks, Asians, Mixed and Others. </w:t>
      </w:r>
      <w:r w:rsidR="006D5978">
        <w:rPr>
          <w:rFonts w:ascii="Calibri" w:hAnsi="Calibri" w:cs="Calibri"/>
        </w:rPr>
        <w:t>It</w:t>
      </w:r>
      <w:r w:rsidRPr="0080140C">
        <w:rPr>
          <w:rFonts w:ascii="Calibri" w:hAnsi="Calibri" w:cs="Calibri"/>
        </w:rPr>
        <w:t xml:space="preserve"> was comprised and analysed from institutional staff and student data from 2018/19 to 2022/23</w:t>
      </w:r>
      <w:r w:rsidR="006D5978">
        <w:rPr>
          <w:rFonts w:ascii="Calibri" w:hAnsi="Calibri" w:cs="Calibri"/>
        </w:rPr>
        <w:t xml:space="preserve"> and aimed </w:t>
      </w:r>
      <w:r w:rsidRPr="0080140C">
        <w:rPr>
          <w:rFonts w:ascii="Calibri" w:hAnsi="Calibri" w:cs="Calibri"/>
        </w:rPr>
        <w:t xml:space="preserve">to </w:t>
      </w:r>
      <w:r w:rsidR="00AA14B1">
        <w:rPr>
          <w:rFonts w:ascii="Calibri" w:hAnsi="Calibri" w:cs="Calibri"/>
        </w:rPr>
        <w:t>arrive at</w:t>
      </w:r>
      <w:r w:rsidRPr="0080140C">
        <w:rPr>
          <w:rFonts w:ascii="Calibri" w:hAnsi="Calibri" w:cs="Calibri"/>
        </w:rPr>
        <w:t xml:space="preserve"> the most accurate </w:t>
      </w:r>
      <w:r w:rsidR="003E05A3">
        <w:rPr>
          <w:rFonts w:ascii="Calibri" w:hAnsi="Calibri" w:cs="Calibri"/>
        </w:rPr>
        <w:t xml:space="preserve">and </w:t>
      </w:r>
      <w:r w:rsidRPr="0080140C">
        <w:rPr>
          <w:rFonts w:ascii="Calibri" w:hAnsi="Calibri" w:cs="Calibri"/>
        </w:rPr>
        <w:t xml:space="preserve">real number of racial/ethnic minority groups at the </w:t>
      </w:r>
      <w:r w:rsidR="00A27530">
        <w:rPr>
          <w:rFonts w:ascii="Calibri" w:hAnsi="Calibri" w:cs="Calibri"/>
        </w:rPr>
        <w:t>University of Edinburgh</w:t>
      </w:r>
      <w:r w:rsidRPr="0080140C">
        <w:rPr>
          <w:rFonts w:ascii="Calibri" w:hAnsi="Calibri" w:cs="Calibri"/>
        </w:rPr>
        <w:t xml:space="preserve"> over the </w:t>
      </w:r>
      <w:r w:rsidR="003E05A3">
        <w:rPr>
          <w:rFonts w:ascii="Calibri" w:hAnsi="Calibri" w:cs="Calibri"/>
        </w:rPr>
        <w:t>p</w:t>
      </w:r>
      <w:r w:rsidRPr="0080140C">
        <w:rPr>
          <w:rFonts w:ascii="Calibri" w:hAnsi="Calibri" w:cs="Calibri"/>
        </w:rPr>
        <w:t xml:space="preserve">ast five years. </w:t>
      </w:r>
      <w:r w:rsidR="006D5978">
        <w:rPr>
          <w:rFonts w:ascii="Calibri" w:hAnsi="Calibri" w:cs="Calibri"/>
        </w:rPr>
        <w:t>It will show that, w</w:t>
      </w:r>
      <w:r w:rsidRPr="0080140C">
        <w:rPr>
          <w:rFonts w:ascii="Calibri" w:hAnsi="Calibri" w:cs="Calibri"/>
        </w:rPr>
        <w:t xml:space="preserve">hile there has been an increased trend towards diversification, the </w:t>
      </w:r>
      <w:r w:rsidR="005D6E16">
        <w:rPr>
          <w:rFonts w:ascii="Calibri" w:hAnsi="Calibri" w:cs="Calibri"/>
        </w:rPr>
        <w:t xml:space="preserve">small </w:t>
      </w:r>
      <w:r w:rsidRPr="0080140C">
        <w:rPr>
          <w:rFonts w:ascii="Calibri" w:hAnsi="Calibri" w:cs="Calibri"/>
        </w:rPr>
        <w:t>increases in Black, Asian and other ethnic minority group</w:t>
      </w:r>
      <w:r w:rsidR="005D6E16">
        <w:rPr>
          <w:rFonts w:ascii="Calibri" w:hAnsi="Calibri" w:cs="Calibri"/>
        </w:rPr>
        <w:t>s</w:t>
      </w:r>
      <w:r w:rsidRPr="0080140C" w:rsidDel="005D6E16">
        <w:rPr>
          <w:rFonts w:ascii="Calibri" w:hAnsi="Calibri" w:cs="Calibri"/>
        </w:rPr>
        <w:t xml:space="preserve"> </w:t>
      </w:r>
      <w:r w:rsidRPr="0080140C">
        <w:rPr>
          <w:rFonts w:ascii="Calibri" w:hAnsi="Calibri" w:cs="Calibri"/>
        </w:rPr>
        <w:t xml:space="preserve">do not benefit all groups equally. The goal of this study is to pinpoint which groups are increasing, </w:t>
      </w:r>
      <w:r w:rsidR="006D5978">
        <w:rPr>
          <w:rFonts w:ascii="Calibri" w:hAnsi="Calibri" w:cs="Calibri"/>
        </w:rPr>
        <w:t xml:space="preserve">which are </w:t>
      </w:r>
      <w:r w:rsidRPr="0080140C">
        <w:rPr>
          <w:rFonts w:ascii="Calibri" w:hAnsi="Calibri" w:cs="Calibri"/>
        </w:rPr>
        <w:t>remaining the same</w:t>
      </w:r>
      <w:r w:rsidR="006D5978">
        <w:rPr>
          <w:rFonts w:ascii="Calibri" w:hAnsi="Calibri" w:cs="Calibri"/>
        </w:rPr>
        <w:t xml:space="preserve"> and which are</w:t>
      </w:r>
      <w:r w:rsidRPr="0080140C">
        <w:rPr>
          <w:rFonts w:ascii="Calibri" w:hAnsi="Calibri" w:cs="Calibri"/>
        </w:rPr>
        <w:t xml:space="preserve"> decreasing within the larger BAME designation. </w:t>
      </w:r>
      <w:r w:rsidR="006D5978">
        <w:rPr>
          <w:rFonts w:ascii="Calibri" w:eastAsia="Times New Roman" w:hAnsi="Calibri" w:cs="Calibri"/>
          <w:color w:val="000000" w:themeColor="text1"/>
        </w:rPr>
        <w:t xml:space="preserve">Importantly, </w:t>
      </w:r>
      <w:r w:rsidR="006D5978">
        <w:rPr>
          <w:rFonts w:ascii="Calibri" w:hAnsi="Calibri" w:cs="Calibri"/>
        </w:rPr>
        <w:t>t</w:t>
      </w:r>
      <w:r w:rsidRPr="0080140C">
        <w:rPr>
          <w:rFonts w:ascii="Calibri" w:hAnsi="Calibri" w:cs="Calibri"/>
        </w:rPr>
        <w:t xml:space="preserve">his study excluded </w:t>
      </w:r>
      <w:r w:rsidR="006D5978">
        <w:rPr>
          <w:rFonts w:ascii="Calibri" w:hAnsi="Calibri" w:cs="Calibri"/>
        </w:rPr>
        <w:t>staff</w:t>
      </w:r>
      <w:r w:rsidRPr="0080140C">
        <w:rPr>
          <w:rFonts w:ascii="Calibri" w:hAnsi="Calibri" w:cs="Calibri"/>
        </w:rPr>
        <w:t xml:space="preserve"> and student data that did not include racial or ethnic identifiers</w:t>
      </w:r>
      <w:r w:rsidR="00311228">
        <w:rPr>
          <w:rFonts w:ascii="Calibri" w:hAnsi="Calibri" w:cs="Calibri"/>
        </w:rPr>
        <w:t>, i.e. those that chose not to disclose their ethnic identity</w:t>
      </w:r>
      <w:r w:rsidR="005D6E16">
        <w:rPr>
          <w:rFonts w:ascii="Calibri" w:hAnsi="Calibri" w:cs="Calibri"/>
        </w:rPr>
        <w:t xml:space="preserve"> when collecting data</w:t>
      </w:r>
      <w:r w:rsidRPr="0080140C">
        <w:rPr>
          <w:rFonts w:ascii="Calibri" w:hAnsi="Calibri" w:cs="Calibri"/>
        </w:rPr>
        <w:t xml:space="preserve">. This </w:t>
      </w:r>
      <w:r w:rsidR="00311228">
        <w:rPr>
          <w:rFonts w:ascii="Calibri" w:hAnsi="Calibri" w:cs="Calibri"/>
        </w:rPr>
        <w:t xml:space="preserve">necessarily </w:t>
      </w:r>
      <w:r w:rsidRPr="0080140C">
        <w:rPr>
          <w:rFonts w:ascii="Calibri" w:hAnsi="Calibri" w:cs="Calibri"/>
        </w:rPr>
        <w:t xml:space="preserve">effects the overall number of </w:t>
      </w:r>
      <w:r w:rsidR="00311228">
        <w:rPr>
          <w:rFonts w:ascii="Calibri" w:hAnsi="Calibri" w:cs="Calibri"/>
        </w:rPr>
        <w:t>staff</w:t>
      </w:r>
      <w:r w:rsidRPr="0080140C">
        <w:rPr>
          <w:rFonts w:ascii="Calibri" w:hAnsi="Calibri" w:cs="Calibri"/>
        </w:rPr>
        <w:t xml:space="preserve"> and student data that could be utilised for analysis </w:t>
      </w:r>
      <w:r w:rsidR="00740E50">
        <w:rPr>
          <w:rFonts w:ascii="Calibri" w:hAnsi="Calibri" w:cs="Calibri"/>
        </w:rPr>
        <w:t>as well as</w:t>
      </w:r>
      <w:r w:rsidRPr="0080140C">
        <w:rPr>
          <w:rFonts w:ascii="Calibri" w:hAnsi="Calibri" w:cs="Calibri"/>
        </w:rPr>
        <w:t xml:space="preserve"> the overall number</w:t>
      </w:r>
      <w:r w:rsidR="00311228">
        <w:rPr>
          <w:rFonts w:ascii="Calibri" w:hAnsi="Calibri" w:cs="Calibri"/>
        </w:rPr>
        <w:t>s presented</w:t>
      </w:r>
      <w:r w:rsidRPr="0080140C">
        <w:rPr>
          <w:rFonts w:ascii="Calibri" w:hAnsi="Calibri" w:cs="Calibri"/>
        </w:rPr>
        <w:t xml:space="preserve">. However, the </w:t>
      </w:r>
      <w:r w:rsidRPr="0080140C">
        <w:rPr>
          <w:rFonts w:ascii="Calibri" w:hAnsi="Calibri" w:cs="Calibri"/>
        </w:rPr>
        <w:lastRenderedPageBreak/>
        <w:t>reported proportion of Black, Asian and other racial</w:t>
      </w:r>
      <w:r w:rsidR="00033F02">
        <w:rPr>
          <w:rFonts w:ascii="Calibri" w:hAnsi="Calibri" w:cs="Calibri"/>
        </w:rPr>
        <w:t>/</w:t>
      </w:r>
      <w:r w:rsidRPr="0080140C">
        <w:rPr>
          <w:rFonts w:ascii="Calibri" w:hAnsi="Calibri" w:cs="Calibri"/>
        </w:rPr>
        <w:t>ethnic minorit</w:t>
      </w:r>
      <w:r w:rsidR="003A454E">
        <w:rPr>
          <w:rFonts w:ascii="Calibri" w:hAnsi="Calibri" w:cs="Calibri"/>
        </w:rPr>
        <w:t>ies</w:t>
      </w:r>
      <w:r w:rsidRPr="0080140C">
        <w:rPr>
          <w:rFonts w:ascii="Calibri" w:hAnsi="Calibri" w:cs="Calibri"/>
        </w:rPr>
        <w:t xml:space="preserve"> </w:t>
      </w:r>
      <w:r w:rsidR="00033F02">
        <w:rPr>
          <w:rFonts w:ascii="Calibri" w:hAnsi="Calibri" w:cs="Calibri"/>
        </w:rPr>
        <w:t xml:space="preserve">in terms of </w:t>
      </w:r>
      <w:r w:rsidR="00033F02" w:rsidRPr="0080140C">
        <w:rPr>
          <w:rFonts w:ascii="Calibri" w:hAnsi="Calibri" w:cs="Calibri"/>
        </w:rPr>
        <w:t>under-representation</w:t>
      </w:r>
      <w:r w:rsidR="00033F02" w:rsidRPr="0080140C" w:rsidDel="003A454E">
        <w:rPr>
          <w:rFonts w:ascii="Calibri" w:hAnsi="Calibri" w:cs="Calibri"/>
        </w:rPr>
        <w:t xml:space="preserve"> </w:t>
      </w:r>
      <w:r w:rsidRPr="0080140C">
        <w:rPr>
          <w:rFonts w:ascii="Calibri" w:hAnsi="Calibri" w:cs="Calibri"/>
        </w:rPr>
        <w:t>supports</w:t>
      </w:r>
      <w:r w:rsidR="003A454E">
        <w:rPr>
          <w:rFonts w:ascii="Calibri" w:hAnsi="Calibri" w:cs="Calibri"/>
        </w:rPr>
        <w:t xml:space="preserve"> the findings of</w:t>
      </w:r>
      <w:r w:rsidRPr="0080140C">
        <w:rPr>
          <w:rFonts w:ascii="Calibri" w:hAnsi="Calibri" w:cs="Calibri"/>
        </w:rPr>
        <w:t xml:space="preserve"> previous research by EDMARC staff and student reports.</w:t>
      </w:r>
    </w:p>
    <w:p w14:paraId="721E6664" w14:textId="77777777" w:rsidR="001650CB" w:rsidRDefault="001650CB" w:rsidP="001650CB">
      <w:pPr>
        <w:spacing w:line="259" w:lineRule="auto"/>
        <w:jc w:val="both"/>
        <w:rPr>
          <w:rFonts w:ascii="Calibri" w:hAnsi="Calibri" w:cs="Calibri"/>
        </w:rPr>
      </w:pPr>
    </w:p>
    <w:p w14:paraId="41D14A4A" w14:textId="151BD858" w:rsidR="001650CB" w:rsidRDefault="001650CB" w:rsidP="001650CB">
      <w:pPr>
        <w:pStyle w:val="Heading2"/>
        <w:rPr>
          <w:rFonts w:eastAsia="Times New Roman"/>
          <w:color w:val="000000" w:themeColor="text1"/>
        </w:rPr>
      </w:pPr>
      <w:bookmarkStart w:id="54" w:name="_Toc190939417"/>
      <w:bookmarkStart w:id="55" w:name="_Toc202627100"/>
      <w:r w:rsidRPr="0080140C">
        <w:t>Justifying a Disaggregation of Racial and Ethnic Minority Groups in Data Analysis</w:t>
      </w:r>
      <w:bookmarkEnd w:id="54"/>
      <w:bookmarkEnd w:id="55"/>
    </w:p>
    <w:p w14:paraId="2C950D4A" w14:textId="46D8EA26" w:rsidR="00811DD0" w:rsidRPr="0080140C" w:rsidRDefault="00811DD0" w:rsidP="00FE31C9">
      <w:pPr>
        <w:spacing w:line="259" w:lineRule="auto"/>
        <w:rPr>
          <w:rFonts w:ascii="Calibri" w:hAnsi="Calibri" w:cs="Calibri"/>
        </w:rPr>
      </w:pPr>
      <w:r w:rsidRPr="0080140C">
        <w:rPr>
          <w:rFonts w:ascii="Calibri" w:hAnsi="Calibri" w:cs="Calibri"/>
        </w:rPr>
        <w:t xml:space="preserve">Over the </w:t>
      </w:r>
      <w:r w:rsidR="00033F02">
        <w:rPr>
          <w:rFonts w:ascii="Calibri" w:hAnsi="Calibri" w:cs="Calibri"/>
        </w:rPr>
        <w:t>p</w:t>
      </w:r>
      <w:r w:rsidRPr="0080140C">
        <w:rPr>
          <w:rFonts w:ascii="Calibri" w:hAnsi="Calibri" w:cs="Calibri"/>
        </w:rPr>
        <w:t xml:space="preserve">ast </w:t>
      </w:r>
      <w:r>
        <w:rPr>
          <w:rFonts w:ascii="Calibri" w:hAnsi="Calibri" w:cs="Calibri"/>
        </w:rPr>
        <w:t>few</w:t>
      </w:r>
      <w:r w:rsidRPr="0080140C">
        <w:rPr>
          <w:rFonts w:ascii="Calibri" w:hAnsi="Calibri" w:cs="Calibri"/>
        </w:rPr>
        <w:t xml:space="preserve"> years, racial and ethnic minority under-representation in the UK higher education sector has increasingly </w:t>
      </w:r>
      <w:r>
        <w:rPr>
          <w:rFonts w:ascii="Calibri" w:hAnsi="Calibri" w:cs="Calibri"/>
        </w:rPr>
        <w:t xml:space="preserve">become </w:t>
      </w:r>
      <w:r w:rsidRPr="0080140C">
        <w:rPr>
          <w:rFonts w:ascii="Calibri" w:hAnsi="Calibri" w:cs="Calibri"/>
        </w:rPr>
        <w:t xml:space="preserve">an area of research </w:t>
      </w:r>
      <w:r w:rsidR="00D04FB8">
        <w:rPr>
          <w:rFonts w:ascii="Calibri" w:hAnsi="Calibri" w:cs="Calibri"/>
        </w:rPr>
        <w:t xml:space="preserve">and institutional </w:t>
      </w:r>
      <w:r w:rsidRPr="0080140C">
        <w:rPr>
          <w:rFonts w:ascii="Calibri" w:hAnsi="Calibri" w:cs="Calibri"/>
        </w:rPr>
        <w:t xml:space="preserve">interest. </w:t>
      </w:r>
      <w:r w:rsidR="00D04FB8">
        <w:rPr>
          <w:rFonts w:ascii="Calibri" w:hAnsi="Calibri" w:cs="Calibri"/>
        </w:rPr>
        <w:t>Yet</w:t>
      </w:r>
      <w:r w:rsidRPr="0080140C">
        <w:rPr>
          <w:rFonts w:ascii="Calibri" w:hAnsi="Calibri" w:cs="Calibri"/>
        </w:rPr>
        <w:t xml:space="preserve"> data collection practices and institutional racial and ethnic data availability make national and comparative studies between institutions somewhat difficult.</w:t>
      </w:r>
      <w:r w:rsidR="00D04FB8">
        <w:rPr>
          <w:rFonts w:ascii="Calibri" w:hAnsi="Calibri" w:cs="Calibri"/>
        </w:rPr>
        <w:t xml:space="preserve"> </w:t>
      </w:r>
      <w:r w:rsidRPr="0080140C">
        <w:rPr>
          <w:rFonts w:ascii="Calibri" w:hAnsi="Calibri" w:cs="Calibri"/>
        </w:rPr>
        <w:t>Qualitative studies have increased our knowledge of how Black, Asian and other racial</w:t>
      </w:r>
      <w:r w:rsidR="00C44042">
        <w:rPr>
          <w:rFonts w:ascii="Calibri" w:hAnsi="Calibri" w:cs="Calibri"/>
        </w:rPr>
        <w:t>ly</w:t>
      </w:r>
      <w:r w:rsidRPr="0080140C">
        <w:rPr>
          <w:rFonts w:ascii="Calibri" w:hAnsi="Calibri" w:cs="Calibri"/>
        </w:rPr>
        <w:t>/ethnic</w:t>
      </w:r>
      <w:r w:rsidR="00C44042">
        <w:rPr>
          <w:rFonts w:ascii="Calibri" w:hAnsi="Calibri" w:cs="Calibri"/>
        </w:rPr>
        <w:t>ally</w:t>
      </w:r>
      <w:r w:rsidRPr="0080140C">
        <w:rPr>
          <w:rFonts w:ascii="Calibri" w:hAnsi="Calibri" w:cs="Calibri"/>
        </w:rPr>
        <w:t xml:space="preserve"> minoriti</w:t>
      </w:r>
      <w:r w:rsidR="00C44042">
        <w:rPr>
          <w:rFonts w:ascii="Calibri" w:hAnsi="Calibri" w:cs="Calibri"/>
        </w:rPr>
        <w:t>sed populations</w:t>
      </w:r>
      <w:r w:rsidRPr="0080140C">
        <w:rPr>
          <w:rFonts w:ascii="Calibri" w:hAnsi="Calibri" w:cs="Calibri"/>
        </w:rPr>
        <w:t xml:space="preserve"> experience racism within UK higher education, but this research is still new and tend</w:t>
      </w:r>
      <w:r w:rsidR="00C44042">
        <w:rPr>
          <w:rFonts w:ascii="Calibri" w:hAnsi="Calibri" w:cs="Calibri"/>
        </w:rPr>
        <w:t>s</w:t>
      </w:r>
      <w:r w:rsidRPr="0080140C">
        <w:rPr>
          <w:rFonts w:ascii="Calibri" w:hAnsi="Calibri" w:cs="Calibri"/>
        </w:rPr>
        <w:t xml:space="preserve"> towards smaller qualitative studies </w:t>
      </w:r>
      <w:r w:rsidR="000F4674">
        <w:rPr>
          <w:rFonts w:ascii="Calibri" w:hAnsi="Calibri" w:cs="Calibri"/>
        </w:rPr>
        <w:t>that seek to</w:t>
      </w:r>
      <w:r w:rsidRPr="0080140C">
        <w:rPr>
          <w:rFonts w:ascii="Calibri" w:hAnsi="Calibri" w:cs="Calibri"/>
        </w:rPr>
        <w:t xml:space="preserve"> captur</w:t>
      </w:r>
      <w:r w:rsidR="000F4674">
        <w:rPr>
          <w:rFonts w:ascii="Calibri" w:hAnsi="Calibri" w:cs="Calibri"/>
        </w:rPr>
        <w:t>e</w:t>
      </w:r>
      <w:r w:rsidRPr="0080140C">
        <w:rPr>
          <w:rFonts w:ascii="Calibri" w:hAnsi="Calibri" w:cs="Calibri"/>
        </w:rPr>
        <w:t xml:space="preserve"> the experiences of specific groups. </w:t>
      </w:r>
      <w:r w:rsidR="00D04FB8">
        <w:rPr>
          <w:rFonts w:ascii="Calibri" w:hAnsi="Calibri" w:cs="Calibri"/>
        </w:rPr>
        <w:t>In contrast</w:t>
      </w:r>
      <w:r w:rsidR="00A27903">
        <w:rPr>
          <w:rFonts w:ascii="Calibri" w:hAnsi="Calibri" w:cs="Calibri"/>
        </w:rPr>
        <w:t>, b</w:t>
      </w:r>
      <w:r w:rsidRPr="0080140C">
        <w:rPr>
          <w:rFonts w:ascii="Calibri" w:hAnsi="Calibri" w:cs="Calibri"/>
        </w:rPr>
        <w:t xml:space="preserve">road based analyses of </w:t>
      </w:r>
      <w:r w:rsidR="00EA6A7F">
        <w:rPr>
          <w:rFonts w:ascii="Calibri" w:hAnsi="Calibri" w:cs="Calibri"/>
        </w:rPr>
        <w:t xml:space="preserve">shifts in </w:t>
      </w:r>
      <w:r w:rsidR="00A27903">
        <w:rPr>
          <w:rFonts w:ascii="Calibri" w:hAnsi="Calibri" w:cs="Calibri"/>
        </w:rPr>
        <w:t>staff</w:t>
      </w:r>
      <w:r w:rsidRPr="0080140C">
        <w:rPr>
          <w:rFonts w:ascii="Calibri" w:hAnsi="Calibri" w:cs="Calibri"/>
        </w:rPr>
        <w:t xml:space="preserve"> and student demographic</w:t>
      </w:r>
      <w:r w:rsidR="00EA6A7F">
        <w:rPr>
          <w:rFonts w:ascii="Calibri" w:hAnsi="Calibri" w:cs="Calibri"/>
        </w:rPr>
        <w:t>s</w:t>
      </w:r>
      <w:r w:rsidRPr="0080140C">
        <w:rPr>
          <w:rFonts w:ascii="Calibri" w:hAnsi="Calibri" w:cs="Calibri"/>
        </w:rPr>
        <w:t xml:space="preserve"> over time have not </w:t>
      </w:r>
      <w:r w:rsidR="00A27903">
        <w:rPr>
          <w:rFonts w:ascii="Calibri" w:hAnsi="Calibri" w:cs="Calibri"/>
        </w:rPr>
        <w:t xml:space="preserve">generally </w:t>
      </w:r>
      <w:r w:rsidRPr="0080140C">
        <w:rPr>
          <w:rFonts w:ascii="Calibri" w:hAnsi="Calibri" w:cs="Calibri"/>
        </w:rPr>
        <w:t xml:space="preserve">been undertaken </w:t>
      </w:r>
      <w:r w:rsidR="00A27903">
        <w:rPr>
          <w:rFonts w:ascii="Calibri" w:hAnsi="Calibri" w:cs="Calibri"/>
        </w:rPr>
        <w:t>and are not</w:t>
      </w:r>
      <w:r w:rsidRPr="0080140C">
        <w:rPr>
          <w:rFonts w:ascii="Calibri" w:hAnsi="Calibri" w:cs="Calibri"/>
        </w:rPr>
        <w:t xml:space="preserve"> well represented within UK higher education research on race and diversity. </w:t>
      </w:r>
    </w:p>
    <w:p w14:paraId="6D2B9471" w14:textId="411AD184" w:rsidR="00811DD0" w:rsidRPr="0080140C" w:rsidRDefault="00811DD0" w:rsidP="00FE31C9">
      <w:pPr>
        <w:spacing w:line="259" w:lineRule="auto"/>
        <w:ind w:firstLine="720"/>
        <w:rPr>
          <w:rFonts w:ascii="Calibri" w:hAnsi="Calibri" w:cs="Calibri"/>
        </w:rPr>
      </w:pPr>
      <w:r w:rsidRPr="0080140C">
        <w:rPr>
          <w:rFonts w:ascii="Calibri" w:hAnsi="Calibri" w:cs="Calibri"/>
        </w:rPr>
        <w:t xml:space="preserve">Recent studies have increased our understanding of anti-Blackness within the UK higher education system as a particular form of racism requiring further study and investigation. </w:t>
      </w:r>
      <w:r w:rsidR="00A71AE6">
        <w:rPr>
          <w:rFonts w:ascii="Calibri" w:hAnsi="Calibri" w:cs="Calibri"/>
        </w:rPr>
        <w:t xml:space="preserve">The experiences of </w:t>
      </w:r>
      <w:r w:rsidRPr="0080140C">
        <w:rPr>
          <w:rFonts w:ascii="Calibri" w:hAnsi="Calibri" w:cs="Calibri"/>
        </w:rPr>
        <w:t>Black academics are marked by seemingly contradictory phenomena of invisibility and hypervisibility</w:t>
      </w:r>
      <w:r w:rsidR="00A71AE6">
        <w:rPr>
          <w:rFonts w:ascii="Calibri" w:hAnsi="Calibri" w:cs="Calibri"/>
        </w:rPr>
        <w:t>. If</w:t>
      </w:r>
      <w:r w:rsidR="00A71AE6" w:rsidRPr="0080140C">
        <w:rPr>
          <w:rFonts w:ascii="Calibri" w:hAnsi="Calibri" w:cs="Calibri"/>
        </w:rPr>
        <w:t xml:space="preserve"> </w:t>
      </w:r>
      <w:r w:rsidR="00A71AE6">
        <w:rPr>
          <w:rFonts w:ascii="Calibri" w:hAnsi="Calibri" w:cs="Calibri"/>
        </w:rPr>
        <w:t>their</w:t>
      </w:r>
      <w:r w:rsidRPr="0080140C">
        <w:rPr>
          <w:rFonts w:ascii="Calibri" w:hAnsi="Calibri" w:cs="Calibri"/>
        </w:rPr>
        <w:t xml:space="preserve"> experience</w:t>
      </w:r>
      <w:r w:rsidR="00A71AE6">
        <w:rPr>
          <w:rFonts w:ascii="Calibri" w:hAnsi="Calibri" w:cs="Calibri"/>
        </w:rPr>
        <w:t>s</w:t>
      </w:r>
      <w:r w:rsidRPr="0080140C">
        <w:rPr>
          <w:rFonts w:ascii="Calibri" w:hAnsi="Calibri" w:cs="Calibri"/>
        </w:rPr>
        <w:t xml:space="preserve"> of racial discrimination, harassment and institutional powerlessness remain unseen, Black </w:t>
      </w:r>
      <w:r w:rsidR="00F42C24">
        <w:rPr>
          <w:rFonts w:ascii="Calibri" w:hAnsi="Calibri" w:cs="Calibri"/>
        </w:rPr>
        <w:t xml:space="preserve">people’s </w:t>
      </w:r>
      <w:r w:rsidRPr="0080140C">
        <w:rPr>
          <w:rFonts w:ascii="Calibri" w:hAnsi="Calibri" w:cs="Calibri"/>
        </w:rPr>
        <w:t>bodies and presence are used by institutions to represent diversity and inclusion within committees and universities comprised almost exclusively of white academics and senior leadership teams.</w:t>
      </w:r>
      <w:r w:rsidRPr="0080140C">
        <w:rPr>
          <w:rStyle w:val="FootnoteReference"/>
          <w:rFonts w:ascii="Calibri" w:hAnsi="Calibri" w:cs="Calibri"/>
        </w:rPr>
        <w:footnoteReference w:id="156"/>
      </w:r>
      <w:r w:rsidRPr="0080140C">
        <w:rPr>
          <w:rFonts w:ascii="Calibri" w:hAnsi="Calibri" w:cs="Calibri"/>
        </w:rPr>
        <w:t xml:space="preserve"> </w:t>
      </w:r>
      <w:r w:rsidR="00C017CE" w:rsidRPr="00B02EB6">
        <w:rPr>
          <w:rFonts w:ascii="Calibri" w:hAnsi="Calibri" w:cs="Calibri"/>
        </w:rPr>
        <w:t>Compared with their white counterparts, Black staff report unfair workloads and unequal pay, a lack of institutional investment in their presence as teachers and researchers</w:t>
      </w:r>
      <w:r w:rsidR="00F42C24">
        <w:rPr>
          <w:rFonts w:ascii="Calibri" w:hAnsi="Calibri" w:cs="Calibri"/>
        </w:rPr>
        <w:t>,</w:t>
      </w:r>
      <w:r w:rsidR="00C017CE" w:rsidRPr="00B02EB6">
        <w:rPr>
          <w:rFonts w:ascii="Calibri" w:hAnsi="Calibri" w:cs="Calibri"/>
        </w:rPr>
        <w:t xml:space="preserve"> and abandonment by line managers, colleges and institutional members concerning promotion and career advancement.</w:t>
      </w:r>
      <w:r w:rsidR="00C017CE" w:rsidRPr="00B02EB6">
        <w:rPr>
          <w:rStyle w:val="FootnoteReference"/>
          <w:rFonts w:ascii="Calibri" w:hAnsi="Calibri" w:cs="Calibri"/>
        </w:rPr>
        <w:footnoteReference w:id="157"/>
      </w:r>
      <w:r w:rsidR="00C017CE" w:rsidRPr="00B02EB6">
        <w:rPr>
          <w:rFonts w:ascii="Calibri" w:hAnsi="Calibri" w:cs="Calibri"/>
        </w:rPr>
        <w:t xml:space="preserve"> More work is still needed to understand the experiences of racism among other minoritised groups in order to generate a more robust understanding of institutional racism across UK higher education sector.</w:t>
      </w:r>
      <w:r w:rsidR="00C017CE" w:rsidRPr="00B02EB6">
        <w:rPr>
          <w:rStyle w:val="FootnoteReference"/>
          <w:rFonts w:ascii="Calibri" w:hAnsi="Calibri" w:cs="Calibri"/>
        </w:rPr>
        <w:footnoteReference w:id="158"/>
      </w:r>
    </w:p>
    <w:p w14:paraId="3BEA949C" w14:textId="7659D696" w:rsidR="00811DD0" w:rsidRPr="0080140C" w:rsidRDefault="00811DD0" w:rsidP="00FE31C9">
      <w:pPr>
        <w:spacing w:line="259" w:lineRule="auto"/>
        <w:ind w:firstLine="720"/>
        <w:rPr>
          <w:rFonts w:ascii="Calibri" w:hAnsi="Calibri" w:cs="Calibri"/>
        </w:rPr>
      </w:pPr>
      <w:r w:rsidRPr="0080140C">
        <w:rPr>
          <w:rFonts w:ascii="Calibri" w:hAnsi="Calibri" w:cs="Calibri"/>
        </w:rPr>
        <w:t xml:space="preserve">The lack of institutional analyses could be due to several factors. </w:t>
      </w:r>
      <w:r w:rsidR="003A22DA">
        <w:rPr>
          <w:rFonts w:ascii="Calibri" w:hAnsi="Calibri" w:cs="Calibri"/>
        </w:rPr>
        <w:t>T</w:t>
      </w:r>
      <w:r w:rsidR="00047914">
        <w:rPr>
          <w:rFonts w:ascii="Calibri" w:hAnsi="Calibri" w:cs="Calibri"/>
        </w:rPr>
        <w:t>he first relates to</w:t>
      </w:r>
      <w:r w:rsidR="004308DC">
        <w:rPr>
          <w:rFonts w:ascii="Calibri" w:hAnsi="Calibri" w:cs="Calibri"/>
        </w:rPr>
        <w:t xml:space="preserve"> data collection practices </w:t>
      </w:r>
      <w:r w:rsidR="00484187">
        <w:rPr>
          <w:rFonts w:ascii="Calibri" w:hAnsi="Calibri" w:cs="Calibri"/>
        </w:rPr>
        <w:t>th</w:t>
      </w:r>
      <w:r w:rsidR="008D614D">
        <w:rPr>
          <w:rFonts w:ascii="Calibri" w:hAnsi="Calibri" w:cs="Calibri"/>
        </w:rPr>
        <w:t xml:space="preserve">at do not emphasize the </w:t>
      </w:r>
      <w:r w:rsidR="00E72D64">
        <w:rPr>
          <w:rFonts w:ascii="Calibri" w:hAnsi="Calibri" w:cs="Calibri"/>
        </w:rPr>
        <w:t xml:space="preserve">accurate collection and storage of racial and ethnic identification among staff and students. </w:t>
      </w:r>
      <w:r w:rsidR="00C54CC6">
        <w:rPr>
          <w:rFonts w:ascii="Calibri" w:hAnsi="Calibri" w:cs="Calibri"/>
        </w:rPr>
        <w:t>Desp</w:t>
      </w:r>
      <w:r w:rsidR="00DC7C20">
        <w:rPr>
          <w:rFonts w:ascii="Calibri" w:hAnsi="Calibri" w:cs="Calibri"/>
        </w:rPr>
        <w:t xml:space="preserve">ite many Russell Group universities </w:t>
      </w:r>
      <w:r w:rsidR="005F2D9C">
        <w:rPr>
          <w:rFonts w:ascii="Calibri" w:hAnsi="Calibri" w:cs="Calibri"/>
        </w:rPr>
        <w:t>ha</w:t>
      </w:r>
      <w:r w:rsidR="004C3F78">
        <w:rPr>
          <w:rFonts w:ascii="Calibri" w:hAnsi="Calibri" w:cs="Calibri"/>
        </w:rPr>
        <w:t>ving centuri</w:t>
      </w:r>
      <w:r w:rsidR="00196316">
        <w:rPr>
          <w:rFonts w:ascii="Calibri" w:hAnsi="Calibri" w:cs="Calibri"/>
        </w:rPr>
        <w:t xml:space="preserve">es long legacies, racial and ethnic data </w:t>
      </w:r>
      <w:r w:rsidR="00EE74C7">
        <w:rPr>
          <w:rFonts w:ascii="Calibri" w:hAnsi="Calibri" w:cs="Calibri"/>
        </w:rPr>
        <w:t xml:space="preserve">has only recently </w:t>
      </w:r>
      <w:r w:rsidR="008531ED">
        <w:rPr>
          <w:rFonts w:ascii="Calibri" w:hAnsi="Calibri" w:cs="Calibri"/>
        </w:rPr>
        <w:t xml:space="preserve">become </w:t>
      </w:r>
      <w:r w:rsidR="00A335C3">
        <w:rPr>
          <w:rFonts w:ascii="Calibri" w:hAnsi="Calibri" w:cs="Calibri"/>
        </w:rPr>
        <w:t xml:space="preserve">a relevant institutional marker. </w:t>
      </w:r>
      <w:r w:rsidRPr="0080140C">
        <w:rPr>
          <w:rFonts w:ascii="Calibri" w:hAnsi="Calibri" w:cs="Calibri"/>
        </w:rPr>
        <w:t xml:space="preserve">Russell Group </w:t>
      </w:r>
      <w:r w:rsidR="006A3CE1">
        <w:rPr>
          <w:rFonts w:ascii="Calibri" w:hAnsi="Calibri" w:cs="Calibri"/>
        </w:rPr>
        <w:t>u</w:t>
      </w:r>
      <w:r w:rsidRPr="0080140C">
        <w:rPr>
          <w:rFonts w:ascii="Calibri" w:hAnsi="Calibri" w:cs="Calibri"/>
        </w:rPr>
        <w:t xml:space="preserve">niversities tend to </w:t>
      </w:r>
      <w:r w:rsidR="00BA7C25">
        <w:rPr>
          <w:rFonts w:ascii="Calibri" w:hAnsi="Calibri" w:cs="Calibri"/>
        </w:rPr>
        <w:t>frame racial diversity and</w:t>
      </w:r>
      <w:r w:rsidRPr="0080140C">
        <w:rPr>
          <w:rFonts w:ascii="Calibri" w:hAnsi="Calibri" w:cs="Calibri"/>
        </w:rPr>
        <w:t xml:space="preserve"> inclusion </w:t>
      </w:r>
      <w:r w:rsidR="00BA7C25">
        <w:rPr>
          <w:rFonts w:ascii="Calibri" w:hAnsi="Calibri" w:cs="Calibri"/>
        </w:rPr>
        <w:t xml:space="preserve">as a goal of their institutions, but </w:t>
      </w:r>
      <w:r w:rsidR="009E2C5D">
        <w:rPr>
          <w:rFonts w:ascii="Calibri" w:hAnsi="Calibri" w:cs="Calibri"/>
        </w:rPr>
        <w:t xml:space="preserve">one that is </w:t>
      </w:r>
      <w:r w:rsidR="00BA7C25">
        <w:rPr>
          <w:rFonts w:ascii="Calibri" w:hAnsi="Calibri" w:cs="Calibri"/>
        </w:rPr>
        <w:t>ambiguous and undefine</w:t>
      </w:r>
      <w:r w:rsidR="009E2C5D">
        <w:rPr>
          <w:rFonts w:ascii="Calibri" w:hAnsi="Calibri" w:cs="Calibri"/>
        </w:rPr>
        <w:t xml:space="preserve">d. </w:t>
      </w:r>
      <w:r w:rsidR="00EF7B72">
        <w:rPr>
          <w:rFonts w:ascii="Calibri" w:hAnsi="Calibri" w:cs="Calibri"/>
        </w:rPr>
        <w:t xml:space="preserve">For example, </w:t>
      </w:r>
      <w:r w:rsidR="009239B1">
        <w:rPr>
          <w:rFonts w:ascii="Calibri" w:hAnsi="Calibri" w:cs="Calibri"/>
        </w:rPr>
        <w:t>p</w:t>
      </w:r>
      <w:r w:rsidRPr="0080140C">
        <w:rPr>
          <w:rFonts w:ascii="Calibri" w:hAnsi="Calibri" w:cs="Calibri"/>
        </w:rPr>
        <w:t>olicies specific</w:t>
      </w:r>
      <w:r w:rsidR="00F51C59">
        <w:rPr>
          <w:rFonts w:ascii="Calibri" w:hAnsi="Calibri" w:cs="Calibri"/>
        </w:rPr>
        <w:t>ally</w:t>
      </w:r>
      <w:r w:rsidRPr="0080140C">
        <w:rPr>
          <w:rFonts w:ascii="Calibri" w:hAnsi="Calibri" w:cs="Calibri"/>
        </w:rPr>
        <w:t xml:space="preserve"> target</w:t>
      </w:r>
      <w:r w:rsidR="00F51C59">
        <w:rPr>
          <w:rFonts w:ascii="Calibri" w:hAnsi="Calibri" w:cs="Calibri"/>
        </w:rPr>
        <w:t>ing</w:t>
      </w:r>
      <w:r w:rsidRPr="0080140C">
        <w:rPr>
          <w:rFonts w:ascii="Calibri" w:hAnsi="Calibri" w:cs="Calibri"/>
        </w:rPr>
        <w:t xml:space="preserve"> populations and metrics for accomplishing diversification </w:t>
      </w:r>
      <w:r w:rsidRPr="0080140C" w:rsidDel="00047914">
        <w:rPr>
          <w:rFonts w:ascii="Calibri" w:hAnsi="Calibri" w:cs="Calibri"/>
        </w:rPr>
        <w:t>are</w:t>
      </w:r>
      <w:r w:rsidRPr="0080140C">
        <w:rPr>
          <w:rFonts w:ascii="Calibri" w:hAnsi="Calibri" w:cs="Calibri"/>
        </w:rPr>
        <w:t xml:space="preserve"> rarely </w:t>
      </w:r>
      <w:r w:rsidR="00EF7B72">
        <w:rPr>
          <w:rFonts w:ascii="Calibri" w:hAnsi="Calibri" w:cs="Calibri"/>
        </w:rPr>
        <w:lastRenderedPageBreak/>
        <w:t xml:space="preserve">fully </w:t>
      </w:r>
      <w:r w:rsidR="00555CE1">
        <w:rPr>
          <w:rFonts w:ascii="Calibri" w:hAnsi="Calibri" w:cs="Calibri"/>
        </w:rPr>
        <w:t>divulged</w:t>
      </w:r>
      <w:r w:rsidRPr="0080140C">
        <w:rPr>
          <w:rFonts w:ascii="Calibri" w:hAnsi="Calibri" w:cs="Calibri"/>
        </w:rPr>
        <w:t>.</w:t>
      </w:r>
      <w:r w:rsidRPr="0080140C">
        <w:rPr>
          <w:rStyle w:val="FootnoteReference"/>
          <w:rFonts w:ascii="Calibri" w:hAnsi="Calibri" w:cs="Calibri"/>
        </w:rPr>
        <w:footnoteReference w:id="159"/>
      </w:r>
      <w:r w:rsidRPr="0080140C">
        <w:rPr>
          <w:rFonts w:ascii="Calibri" w:hAnsi="Calibri" w:cs="Calibri"/>
        </w:rPr>
        <w:t xml:space="preserve"> </w:t>
      </w:r>
      <w:r w:rsidR="00634FD3">
        <w:rPr>
          <w:rFonts w:ascii="Calibri" w:hAnsi="Calibri" w:cs="Calibri"/>
        </w:rPr>
        <w:t xml:space="preserve">Consequently, there are often few metrics or measures one can use to understand if racial and ethnic diversification has actually been achieved. </w:t>
      </w:r>
      <w:r w:rsidR="00C0172C">
        <w:rPr>
          <w:rFonts w:ascii="Calibri" w:hAnsi="Calibri" w:cs="Calibri"/>
        </w:rPr>
        <w:t>Moreover,</w:t>
      </w:r>
      <w:r w:rsidRPr="0080140C" w:rsidDel="00C0172C">
        <w:rPr>
          <w:rFonts w:ascii="Calibri" w:hAnsi="Calibri" w:cs="Calibri"/>
        </w:rPr>
        <w:t xml:space="preserve"> </w:t>
      </w:r>
      <w:r w:rsidRPr="0080140C">
        <w:rPr>
          <w:rFonts w:ascii="Calibri" w:hAnsi="Calibri" w:cs="Calibri"/>
        </w:rPr>
        <w:t>the alleged willingness of institutions and departments to address racial/ethnic under-representation</w:t>
      </w:r>
      <w:r w:rsidR="00C0172C">
        <w:rPr>
          <w:rFonts w:ascii="Calibri" w:hAnsi="Calibri" w:cs="Calibri"/>
        </w:rPr>
        <w:t xml:space="preserve"> tends to</w:t>
      </w:r>
      <w:r w:rsidR="00366A48">
        <w:rPr>
          <w:rFonts w:ascii="Calibri" w:hAnsi="Calibri" w:cs="Calibri"/>
        </w:rPr>
        <w:t xml:space="preserve"> be </w:t>
      </w:r>
      <w:r w:rsidR="00793EF9">
        <w:rPr>
          <w:rFonts w:ascii="Calibri" w:hAnsi="Calibri" w:cs="Calibri"/>
        </w:rPr>
        <w:t xml:space="preserve">undergirded by a </w:t>
      </w:r>
      <w:r w:rsidR="00F40C7A">
        <w:rPr>
          <w:rFonts w:ascii="Calibri" w:hAnsi="Calibri" w:cs="Calibri"/>
        </w:rPr>
        <w:t>colourblind</w:t>
      </w:r>
      <w:r w:rsidR="00203120">
        <w:rPr>
          <w:rFonts w:ascii="Calibri" w:hAnsi="Calibri" w:cs="Calibri"/>
        </w:rPr>
        <w:t xml:space="preserve"> </w:t>
      </w:r>
      <w:r w:rsidR="00793EF9">
        <w:rPr>
          <w:rFonts w:ascii="Calibri" w:hAnsi="Calibri" w:cs="Calibri"/>
        </w:rPr>
        <w:t>ideology that asser</w:t>
      </w:r>
      <w:r w:rsidR="00CA3D17">
        <w:rPr>
          <w:rFonts w:ascii="Calibri" w:hAnsi="Calibri" w:cs="Calibri"/>
        </w:rPr>
        <w:t xml:space="preserve">ting that racial disparities </w:t>
      </w:r>
      <w:r w:rsidR="00BD0A14">
        <w:rPr>
          <w:rFonts w:ascii="Calibri" w:hAnsi="Calibri" w:cs="Calibri"/>
        </w:rPr>
        <w:t>may be a product of individual biases</w:t>
      </w:r>
      <w:r w:rsidR="00906A56">
        <w:rPr>
          <w:rFonts w:ascii="Calibri" w:hAnsi="Calibri" w:cs="Calibri"/>
        </w:rPr>
        <w:t xml:space="preserve"> rather than institutional practices. As such, th</w:t>
      </w:r>
      <w:r w:rsidR="001845A0">
        <w:rPr>
          <w:rFonts w:ascii="Calibri" w:hAnsi="Calibri" w:cs="Calibri"/>
        </w:rPr>
        <w:t xml:space="preserve">is colourblind approach emphasises </w:t>
      </w:r>
      <w:r w:rsidR="00777C2C">
        <w:rPr>
          <w:rFonts w:ascii="Calibri" w:hAnsi="Calibri" w:cs="Calibri"/>
        </w:rPr>
        <w:t>treating individuals equally within the institution, instead of</w:t>
      </w:r>
      <w:r w:rsidR="00D93D8A">
        <w:rPr>
          <w:rFonts w:ascii="Calibri" w:hAnsi="Calibri" w:cs="Calibri"/>
        </w:rPr>
        <w:t xml:space="preserve"> addressing</w:t>
      </w:r>
      <w:r w:rsidR="00777C2C">
        <w:rPr>
          <w:rFonts w:ascii="Calibri" w:hAnsi="Calibri" w:cs="Calibri"/>
        </w:rPr>
        <w:t xml:space="preserve"> inst</w:t>
      </w:r>
      <w:r w:rsidR="00FF111F">
        <w:rPr>
          <w:rFonts w:ascii="Calibri" w:hAnsi="Calibri" w:cs="Calibri"/>
        </w:rPr>
        <w:t xml:space="preserve">itutional practices of racism. </w:t>
      </w:r>
      <w:r w:rsidR="00A92D9D">
        <w:rPr>
          <w:rFonts w:ascii="Calibri" w:hAnsi="Calibri" w:cs="Calibri"/>
        </w:rPr>
        <w:t>Colourblind practices</w:t>
      </w:r>
      <w:r w:rsidR="00EF7B72">
        <w:rPr>
          <w:rFonts w:ascii="Calibri" w:hAnsi="Calibri" w:cs="Calibri"/>
        </w:rPr>
        <w:t xml:space="preserve"> </w:t>
      </w:r>
      <w:r w:rsidR="007B0F86">
        <w:rPr>
          <w:rFonts w:ascii="Calibri" w:hAnsi="Calibri" w:cs="Calibri"/>
          <w:color w:val="202122"/>
          <w:shd w:val="clear" w:color="auto" w:fill="FFFFFF"/>
        </w:rPr>
        <w:t>downplay and</w:t>
      </w:r>
      <w:r w:rsidR="00555CE1">
        <w:rPr>
          <w:rFonts w:ascii="Calibri" w:hAnsi="Calibri" w:cs="Calibri"/>
          <w:color w:val="202122"/>
          <w:shd w:val="clear" w:color="auto" w:fill="FFFFFF"/>
        </w:rPr>
        <w:t>/or</w:t>
      </w:r>
      <w:r w:rsidR="007B0F86">
        <w:rPr>
          <w:rFonts w:ascii="Calibri" w:hAnsi="Calibri" w:cs="Calibri"/>
          <w:color w:val="202122"/>
          <w:shd w:val="clear" w:color="auto" w:fill="FFFFFF"/>
        </w:rPr>
        <w:t xml:space="preserve"> ignore the existence of </w:t>
      </w:r>
      <w:r w:rsidR="00EF7B72" w:rsidRPr="009A7CF1">
        <w:rPr>
          <w:rFonts w:ascii="Calibri" w:hAnsi="Calibri" w:cs="Calibri"/>
          <w:color w:val="202122"/>
          <w:shd w:val="clear" w:color="auto" w:fill="FFFFFF"/>
        </w:rPr>
        <w:t xml:space="preserve">racism and </w:t>
      </w:r>
      <w:r w:rsidR="00E44B6E">
        <w:rPr>
          <w:rFonts w:ascii="Calibri" w:hAnsi="Calibri" w:cs="Calibri"/>
          <w:color w:val="202122"/>
          <w:shd w:val="clear" w:color="auto" w:fill="FFFFFF"/>
        </w:rPr>
        <w:t xml:space="preserve">white </w:t>
      </w:r>
      <w:r w:rsidR="00EF7B72" w:rsidRPr="00E52FD6">
        <w:rPr>
          <w:rFonts w:ascii="Calibri" w:hAnsi="Calibri" w:cs="Calibri"/>
          <w:color w:val="202122"/>
          <w:shd w:val="clear" w:color="auto" w:fill="FFFFFF"/>
        </w:rPr>
        <w:t>rac</w:t>
      </w:r>
      <w:r w:rsidR="00AC53FA">
        <w:rPr>
          <w:rFonts w:ascii="Calibri" w:hAnsi="Calibri" w:cs="Calibri"/>
          <w:color w:val="202122"/>
          <w:shd w:val="clear" w:color="auto" w:fill="FFFFFF"/>
        </w:rPr>
        <w:t>ial</w:t>
      </w:r>
      <w:r w:rsidR="00EF7B72" w:rsidRPr="009A7CF1">
        <w:rPr>
          <w:rFonts w:ascii="Calibri" w:hAnsi="Calibri" w:cs="Calibri"/>
          <w:color w:val="202122"/>
          <w:shd w:val="clear" w:color="auto" w:fill="FFFFFF"/>
        </w:rPr>
        <w:t xml:space="preserve"> privilege</w:t>
      </w:r>
      <w:r w:rsidR="00305DDA">
        <w:rPr>
          <w:rFonts w:ascii="Calibri" w:hAnsi="Calibri" w:cs="Calibri"/>
          <w:color w:val="202122"/>
          <w:shd w:val="clear" w:color="auto" w:fill="FFFFFF"/>
        </w:rPr>
        <w:t xml:space="preserve">, and thus actively thwart progress in </w:t>
      </w:r>
      <w:r w:rsidR="00E44B6E">
        <w:rPr>
          <w:rFonts w:ascii="Calibri" w:hAnsi="Calibri" w:cs="Calibri"/>
          <w:color w:val="202122"/>
          <w:shd w:val="clear" w:color="auto" w:fill="FFFFFF"/>
        </w:rPr>
        <w:t xml:space="preserve">addressing </w:t>
      </w:r>
      <w:r w:rsidR="00305DDA">
        <w:rPr>
          <w:rFonts w:ascii="Calibri" w:hAnsi="Calibri" w:cs="Calibri"/>
          <w:color w:val="202122"/>
          <w:shd w:val="clear" w:color="auto" w:fill="FFFFFF"/>
        </w:rPr>
        <w:t>racial discrimination</w:t>
      </w:r>
      <w:r w:rsidR="003F3669">
        <w:rPr>
          <w:rFonts w:ascii="Calibri" w:hAnsi="Calibri" w:cs="Calibri"/>
          <w:color w:val="202122"/>
          <w:shd w:val="clear" w:color="auto" w:fill="FFFFFF"/>
        </w:rPr>
        <w:t xml:space="preserve"> </w:t>
      </w:r>
      <w:r w:rsidR="00E44B6E">
        <w:rPr>
          <w:rFonts w:ascii="Calibri" w:hAnsi="Calibri" w:cs="Calibri"/>
          <w:color w:val="202122"/>
          <w:shd w:val="clear" w:color="auto" w:fill="FFFFFF"/>
        </w:rPr>
        <w:t>against under-represented racial and ethnic minorities and anti-Black racism</w:t>
      </w:r>
      <w:r w:rsidRPr="0080140C">
        <w:rPr>
          <w:rFonts w:ascii="Calibri" w:hAnsi="Calibri" w:cs="Calibri"/>
        </w:rPr>
        <w:t>.</w:t>
      </w:r>
      <w:r w:rsidRPr="0080140C">
        <w:rPr>
          <w:rStyle w:val="FootnoteReference"/>
          <w:rFonts w:ascii="Calibri" w:hAnsi="Calibri" w:cs="Calibri"/>
        </w:rPr>
        <w:footnoteReference w:id="160"/>
      </w:r>
    </w:p>
    <w:p w14:paraId="7B721AA0" w14:textId="2A77A57F" w:rsidR="00811DD0" w:rsidRPr="0080140C" w:rsidRDefault="00934788" w:rsidP="00FE31C9">
      <w:pPr>
        <w:spacing w:line="259" w:lineRule="auto"/>
        <w:ind w:firstLine="720"/>
        <w:rPr>
          <w:rFonts w:ascii="Calibri" w:hAnsi="Calibri" w:cs="Calibri"/>
        </w:rPr>
      </w:pPr>
      <w:r>
        <w:rPr>
          <w:rFonts w:ascii="Calibri" w:hAnsi="Calibri" w:cs="Calibri"/>
        </w:rPr>
        <w:t>The second</w:t>
      </w:r>
      <w:r w:rsidR="009239B1">
        <w:rPr>
          <w:rFonts w:ascii="Calibri" w:hAnsi="Calibri" w:cs="Calibri"/>
        </w:rPr>
        <w:t xml:space="preserve"> factor</w:t>
      </w:r>
      <w:r>
        <w:rPr>
          <w:rFonts w:ascii="Calibri" w:hAnsi="Calibri" w:cs="Calibri"/>
        </w:rPr>
        <w:t xml:space="preserve"> </w:t>
      </w:r>
      <w:r w:rsidR="009239B1">
        <w:rPr>
          <w:rFonts w:ascii="Calibri" w:hAnsi="Calibri" w:cs="Calibri"/>
        </w:rPr>
        <w:t>is that</w:t>
      </w:r>
      <w:r w:rsidR="00811DD0" w:rsidRPr="0080140C">
        <w:rPr>
          <w:rFonts w:ascii="Calibri" w:hAnsi="Calibri" w:cs="Calibri"/>
        </w:rPr>
        <w:t xml:space="preserve"> visible racial ethnic minority groups </w:t>
      </w:r>
      <w:r w:rsidR="00124689">
        <w:rPr>
          <w:rFonts w:ascii="Calibri" w:hAnsi="Calibri" w:cs="Calibri"/>
        </w:rPr>
        <w:t>can be</w:t>
      </w:r>
      <w:r w:rsidR="00811DD0" w:rsidRPr="0080140C">
        <w:rPr>
          <w:rFonts w:ascii="Calibri" w:hAnsi="Calibri" w:cs="Calibri"/>
        </w:rPr>
        <w:t xml:space="preserve"> difficult to measure and track within UK </w:t>
      </w:r>
      <w:r w:rsidR="00C83A4E">
        <w:rPr>
          <w:rFonts w:ascii="Calibri" w:hAnsi="Calibri" w:cs="Calibri"/>
        </w:rPr>
        <w:t>higher education institutions</w:t>
      </w:r>
      <w:r w:rsidR="00C83A4E" w:rsidRPr="0080140C">
        <w:rPr>
          <w:rFonts w:ascii="Calibri" w:hAnsi="Calibri" w:cs="Calibri"/>
        </w:rPr>
        <w:t xml:space="preserve"> </w:t>
      </w:r>
      <w:r w:rsidR="00811DD0" w:rsidRPr="0080140C">
        <w:rPr>
          <w:rFonts w:ascii="Calibri" w:hAnsi="Calibri" w:cs="Calibri"/>
        </w:rPr>
        <w:t>given the tendency to group racial and ethnic minority group</w:t>
      </w:r>
      <w:r w:rsidR="00B46089">
        <w:rPr>
          <w:rFonts w:ascii="Calibri" w:hAnsi="Calibri" w:cs="Calibri"/>
        </w:rPr>
        <w:t>s</w:t>
      </w:r>
      <w:r w:rsidR="00811DD0" w:rsidRPr="0080140C">
        <w:rPr>
          <w:rFonts w:ascii="Calibri" w:hAnsi="Calibri" w:cs="Calibri"/>
        </w:rPr>
        <w:t xml:space="preserve"> under aggregate term such as BAME or BME. </w:t>
      </w:r>
      <w:r w:rsidR="00B46089">
        <w:rPr>
          <w:rFonts w:ascii="Calibri" w:hAnsi="Calibri" w:cs="Calibri"/>
        </w:rPr>
        <w:t>The</w:t>
      </w:r>
      <w:r w:rsidR="00811DD0" w:rsidRPr="0080140C">
        <w:rPr>
          <w:rFonts w:ascii="Calibri" w:hAnsi="Calibri" w:cs="Calibri"/>
        </w:rPr>
        <w:t xml:space="preserve"> UK government has stated that it will not utili</w:t>
      </w:r>
      <w:r w:rsidR="00B46089">
        <w:rPr>
          <w:rFonts w:ascii="Calibri" w:hAnsi="Calibri" w:cs="Calibri"/>
        </w:rPr>
        <w:t>s</w:t>
      </w:r>
      <w:r w:rsidR="00811DD0" w:rsidRPr="0080140C">
        <w:rPr>
          <w:rFonts w:ascii="Calibri" w:hAnsi="Calibri" w:cs="Calibri"/>
        </w:rPr>
        <w:t xml:space="preserve">e the </w:t>
      </w:r>
      <w:r w:rsidR="00B46089">
        <w:rPr>
          <w:rFonts w:ascii="Calibri" w:hAnsi="Calibri" w:cs="Calibri"/>
        </w:rPr>
        <w:t>‘</w:t>
      </w:r>
      <w:r w:rsidR="00811DD0" w:rsidRPr="0080140C">
        <w:rPr>
          <w:rFonts w:ascii="Calibri" w:hAnsi="Calibri" w:cs="Calibri"/>
        </w:rPr>
        <w:t>terms BAME (Black, Asian and minority ethnic) and BME (Black and minority ethnic) because they emphasise certain ethnic minority groups (Asian and Black) and exclude others (Mixed, Other and White ethnic minority groups)</w:t>
      </w:r>
      <w:r w:rsidR="00B46089">
        <w:rPr>
          <w:rFonts w:ascii="Calibri" w:hAnsi="Calibri" w:cs="Calibri"/>
        </w:rPr>
        <w:t xml:space="preserve">’, </w:t>
      </w:r>
      <w:r w:rsidR="00811DD0" w:rsidRPr="0080140C">
        <w:rPr>
          <w:rFonts w:ascii="Calibri" w:hAnsi="Calibri" w:cs="Calibri"/>
        </w:rPr>
        <w:t>as well as mask</w:t>
      </w:r>
      <w:r w:rsidR="00B46089">
        <w:rPr>
          <w:rFonts w:ascii="Calibri" w:hAnsi="Calibri" w:cs="Calibri"/>
        </w:rPr>
        <w:t>ing</w:t>
      </w:r>
      <w:r w:rsidR="00811DD0" w:rsidRPr="0080140C">
        <w:rPr>
          <w:rFonts w:ascii="Calibri" w:hAnsi="Calibri" w:cs="Calibri"/>
        </w:rPr>
        <w:t xml:space="preserve"> </w:t>
      </w:r>
      <w:r w:rsidR="00B46089">
        <w:rPr>
          <w:rFonts w:ascii="Calibri" w:hAnsi="Calibri" w:cs="Calibri"/>
        </w:rPr>
        <w:t>‘</w:t>
      </w:r>
      <w:r w:rsidR="00811DD0" w:rsidRPr="0080140C">
        <w:rPr>
          <w:rFonts w:ascii="Calibri" w:hAnsi="Calibri" w:cs="Calibri"/>
        </w:rPr>
        <w:t>disparities between different ethnic groups</w:t>
      </w:r>
      <w:r w:rsidR="00D91974">
        <w:rPr>
          <w:rFonts w:ascii="Calibri" w:hAnsi="Calibri" w:cs="Calibri"/>
        </w:rPr>
        <w:t>’</w:t>
      </w:r>
      <w:r w:rsidR="00811DD0" w:rsidRPr="0080140C">
        <w:rPr>
          <w:rFonts w:ascii="Calibri" w:hAnsi="Calibri" w:cs="Calibri"/>
        </w:rPr>
        <w:t xml:space="preserve"> and creat</w:t>
      </w:r>
      <w:r w:rsidR="00D91974">
        <w:rPr>
          <w:rFonts w:ascii="Calibri" w:hAnsi="Calibri" w:cs="Calibri"/>
        </w:rPr>
        <w:t>ing</w:t>
      </w:r>
      <w:r w:rsidR="00811DD0" w:rsidRPr="0080140C">
        <w:rPr>
          <w:rFonts w:ascii="Calibri" w:hAnsi="Calibri" w:cs="Calibri"/>
        </w:rPr>
        <w:t xml:space="preserve"> </w:t>
      </w:r>
      <w:r w:rsidR="00D91974">
        <w:rPr>
          <w:rFonts w:ascii="Calibri" w:hAnsi="Calibri" w:cs="Calibri"/>
        </w:rPr>
        <w:t>‘</w:t>
      </w:r>
      <w:r w:rsidR="00811DD0" w:rsidRPr="0080140C">
        <w:rPr>
          <w:rFonts w:ascii="Calibri" w:hAnsi="Calibri" w:cs="Calibri"/>
        </w:rPr>
        <w:t>misleading interpretations of data</w:t>
      </w:r>
      <w:r w:rsidR="009F66E4">
        <w:rPr>
          <w:rFonts w:ascii="Calibri" w:hAnsi="Calibri" w:cs="Calibri"/>
        </w:rPr>
        <w:t>’.</w:t>
      </w:r>
      <w:r w:rsidR="00811DD0" w:rsidRPr="0080140C">
        <w:rPr>
          <w:rStyle w:val="FootnoteReference"/>
          <w:rFonts w:ascii="Calibri" w:hAnsi="Calibri" w:cs="Calibri"/>
        </w:rPr>
        <w:footnoteReference w:id="161"/>
      </w:r>
      <w:r w:rsidR="00811DD0" w:rsidRPr="0080140C">
        <w:rPr>
          <w:rFonts w:ascii="Calibri" w:hAnsi="Calibri" w:cs="Calibri"/>
        </w:rPr>
        <w:t xml:space="preserve"> </w:t>
      </w:r>
      <w:r w:rsidR="009F66E4">
        <w:rPr>
          <w:rFonts w:ascii="Calibri" w:hAnsi="Calibri" w:cs="Calibri"/>
        </w:rPr>
        <w:t xml:space="preserve">Yet </w:t>
      </w:r>
      <w:r w:rsidR="00811DD0" w:rsidRPr="0080140C">
        <w:rPr>
          <w:rFonts w:ascii="Calibri" w:hAnsi="Calibri" w:cs="Calibri"/>
        </w:rPr>
        <w:t xml:space="preserve">many </w:t>
      </w:r>
      <w:r w:rsidR="009F66E4">
        <w:rPr>
          <w:rFonts w:ascii="Calibri" w:hAnsi="Calibri" w:cs="Calibri"/>
        </w:rPr>
        <w:t xml:space="preserve">UK </w:t>
      </w:r>
      <w:r w:rsidR="00784E5D">
        <w:rPr>
          <w:rFonts w:ascii="Calibri" w:hAnsi="Calibri" w:cs="Calibri"/>
        </w:rPr>
        <w:t>higher education institutions</w:t>
      </w:r>
      <w:r w:rsidR="00784E5D" w:rsidRPr="0080140C">
        <w:rPr>
          <w:rFonts w:ascii="Calibri" w:hAnsi="Calibri" w:cs="Calibri"/>
        </w:rPr>
        <w:t xml:space="preserve"> </w:t>
      </w:r>
      <w:r w:rsidR="00811DD0" w:rsidRPr="0080140C">
        <w:rPr>
          <w:rFonts w:ascii="Calibri" w:hAnsi="Calibri" w:cs="Calibri"/>
        </w:rPr>
        <w:t xml:space="preserve">have not </w:t>
      </w:r>
      <w:r w:rsidR="00D91974">
        <w:rPr>
          <w:rFonts w:ascii="Calibri" w:hAnsi="Calibri" w:cs="Calibri"/>
        </w:rPr>
        <w:t>yet</w:t>
      </w:r>
      <w:r w:rsidR="00811DD0" w:rsidRPr="0080140C">
        <w:rPr>
          <w:rFonts w:ascii="Calibri" w:hAnsi="Calibri" w:cs="Calibri"/>
        </w:rPr>
        <w:t xml:space="preserve"> developed uniformed institutional data collection practices or </w:t>
      </w:r>
      <w:r w:rsidR="00706568">
        <w:rPr>
          <w:rFonts w:ascii="Calibri" w:hAnsi="Calibri" w:cs="Calibri"/>
        </w:rPr>
        <w:t xml:space="preserve">ways of </w:t>
      </w:r>
      <w:r w:rsidR="00811DD0" w:rsidRPr="0080140C">
        <w:rPr>
          <w:rFonts w:ascii="Calibri" w:hAnsi="Calibri" w:cs="Calibri"/>
        </w:rPr>
        <w:t>present</w:t>
      </w:r>
      <w:r w:rsidR="00706568">
        <w:rPr>
          <w:rFonts w:ascii="Calibri" w:hAnsi="Calibri" w:cs="Calibri"/>
        </w:rPr>
        <w:t>ing</w:t>
      </w:r>
      <w:r w:rsidR="00811DD0" w:rsidRPr="0080140C">
        <w:rPr>
          <w:rFonts w:ascii="Calibri" w:hAnsi="Calibri" w:cs="Calibri"/>
        </w:rPr>
        <w:t xml:space="preserve"> institutional data results that make this disaggregated racial and ethnic identification easily accessible</w:t>
      </w:r>
      <w:r w:rsidR="007E18E4">
        <w:rPr>
          <w:rFonts w:ascii="Calibri" w:hAnsi="Calibri" w:cs="Calibri"/>
        </w:rPr>
        <w:t xml:space="preserve">. </w:t>
      </w:r>
      <w:r w:rsidR="00811DD0" w:rsidRPr="0080140C">
        <w:rPr>
          <w:rFonts w:ascii="Calibri" w:hAnsi="Calibri" w:cs="Calibri"/>
        </w:rPr>
        <w:t>Black, Asian and other ethnic minority groups are often</w:t>
      </w:r>
      <w:r w:rsidR="00C57583">
        <w:rPr>
          <w:rFonts w:ascii="Calibri" w:hAnsi="Calibri" w:cs="Calibri"/>
        </w:rPr>
        <w:t xml:space="preserve"> </w:t>
      </w:r>
      <w:r w:rsidR="002E412A">
        <w:rPr>
          <w:rFonts w:ascii="Calibri" w:hAnsi="Calibri" w:cs="Calibri"/>
        </w:rPr>
        <w:t xml:space="preserve">simply </w:t>
      </w:r>
      <w:r w:rsidR="00811DD0" w:rsidRPr="0080140C">
        <w:rPr>
          <w:rFonts w:ascii="Calibri" w:hAnsi="Calibri" w:cs="Calibri"/>
        </w:rPr>
        <w:t xml:space="preserve">clustered as BAME or BME within university reports. </w:t>
      </w:r>
      <w:r w:rsidR="7290E817" w:rsidRPr="0080140C">
        <w:rPr>
          <w:rFonts w:ascii="Calibri" w:hAnsi="Calibri" w:cs="Calibri"/>
        </w:rPr>
        <w:t xml:space="preserve">In instances where </w:t>
      </w:r>
      <w:r w:rsidR="4D9FBF19" w:rsidRPr="06A5C420">
        <w:rPr>
          <w:rFonts w:ascii="Calibri" w:hAnsi="Calibri" w:cs="Calibri"/>
        </w:rPr>
        <w:t xml:space="preserve">universities </w:t>
      </w:r>
      <w:r w:rsidR="24ACC643" w:rsidRPr="06A5C420">
        <w:rPr>
          <w:rFonts w:ascii="Calibri" w:hAnsi="Calibri" w:cs="Calibri"/>
        </w:rPr>
        <w:t xml:space="preserve">do </w:t>
      </w:r>
      <w:r w:rsidR="4D9FBF19" w:rsidRPr="06A5C420">
        <w:rPr>
          <w:rFonts w:ascii="Calibri" w:hAnsi="Calibri" w:cs="Calibri"/>
        </w:rPr>
        <w:t xml:space="preserve">disaggregate </w:t>
      </w:r>
      <w:r w:rsidR="7290E817" w:rsidRPr="0080140C">
        <w:rPr>
          <w:rFonts w:ascii="Calibri" w:hAnsi="Calibri" w:cs="Calibri"/>
        </w:rPr>
        <w:t xml:space="preserve">racial and ethnic groups, </w:t>
      </w:r>
      <w:r w:rsidR="58CA438F" w:rsidRPr="06A5C420">
        <w:rPr>
          <w:rFonts w:ascii="Calibri" w:hAnsi="Calibri" w:cs="Calibri"/>
        </w:rPr>
        <w:t>they</w:t>
      </w:r>
      <w:r w:rsidR="7290E817" w:rsidRPr="0080140C">
        <w:rPr>
          <w:rFonts w:ascii="Calibri" w:hAnsi="Calibri" w:cs="Calibri"/>
        </w:rPr>
        <w:t xml:space="preserve"> are </w:t>
      </w:r>
      <w:r w:rsidR="12C8D6F9" w:rsidRPr="06A5C420">
        <w:rPr>
          <w:rFonts w:ascii="Calibri" w:hAnsi="Calibri" w:cs="Calibri"/>
        </w:rPr>
        <w:t xml:space="preserve">often </w:t>
      </w:r>
      <w:r w:rsidR="7290E817" w:rsidRPr="0080140C">
        <w:rPr>
          <w:rFonts w:ascii="Calibri" w:hAnsi="Calibri" w:cs="Calibri"/>
        </w:rPr>
        <w:t xml:space="preserve">represented by percentages rather than </w:t>
      </w:r>
      <w:r w:rsidR="7FC147A8" w:rsidRPr="06A5C420">
        <w:rPr>
          <w:rFonts w:ascii="Calibri" w:hAnsi="Calibri" w:cs="Calibri"/>
        </w:rPr>
        <w:t xml:space="preserve">concrete </w:t>
      </w:r>
      <w:r w:rsidR="7290E817" w:rsidRPr="0080140C">
        <w:rPr>
          <w:rFonts w:ascii="Calibri" w:hAnsi="Calibri" w:cs="Calibri"/>
        </w:rPr>
        <w:t>numbers</w:t>
      </w:r>
      <w:r w:rsidR="14DA00BC" w:rsidRPr="06A5C420">
        <w:rPr>
          <w:rFonts w:ascii="Calibri" w:hAnsi="Calibri" w:cs="Calibri"/>
        </w:rPr>
        <w:t xml:space="preserve">. </w:t>
      </w:r>
      <w:r w:rsidR="61D9A7F9" w:rsidRPr="06A5C420">
        <w:rPr>
          <w:rFonts w:ascii="Calibri" w:hAnsi="Calibri" w:cs="Calibri"/>
        </w:rPr>
        <w:t>Yet n</w:t>
      </w:r>
      <w:r w:rsidR="14DA00BC" w:rsidRPr="06A5C420">
        <w:rPr>
          <w:rFonts w:ascii="Calibri" w:hAnsi="Calibri" w:cs="Calibri"/>
        </w:rPr>
        <w:t>umbers</w:t>
      </w:r>
      <w:r w:rsidR="61D9A7F9" w:rsidRPr="06A5C420">
        <w:rPr>
          <w:rFonts w:ascii="Calibri" w:hAnsi="Calibri" w:cs="Calibri"/>
        </w:rPr>
        <w:t>, rather</w:t>
      </w:r>
      <w:r w:rsidR="14DA00BC" w:rsidRPr="06A5C420">
        <w:rPr>
          <w:rFonts w:ascii="Calibri" w:hAnsi="Calibri" w:cs="Calibri"/>
        </w:rPr>
        <w:t xml:space="preserve"> </w:t>
      </w:r>
      <w:r w:rsidR="40084398" w:rsidRPr="06A5C420">
        <w:rPr>
          <w:rFonts w:ascii="Calibri" w:hAnsi="Calibri" w:cs="Calibri"/>
        </w:rPr>
        <w:t>than ratios or percentages</w:t>
      </w:r>
      <w:r w:rsidR="61D9A7F9" w:rsidRPr="06A5C420">
        <w:rPr>
          <w:rFonts w:ascii="Calibri" w:hAnsi="Calibri" w:cs="Calibri"/>
        </w:rPr>
        <w:t>,</w:t>
      </w:r>
      <w:r w:rsidR="40084398" w:rsidRPr="06A5C420">
        <w:rPr>
          <w:rFonts w:ascii="Calibri" w:hAnsi="Calibri" w:cs="Calibri"/>
        </w:rPr>
        <w:t xml:space="preserve"> </w:t>
      </w:r>
      <w:r w:rsidR="7290E817" w:rsidRPr="0080140C">
        <w:rPr>
          <w:rFonts w:ascii="Calibri" w:hAnsi="Calibri" w:cs="Calibri"/>
        </w:rPr>
        <w:t xml:space="preserve">would </w:t>
      </w:r>
      <w:r w:rsidR="0F9D7E17" w:rsidRPr="06A5C420">
        <w:rPr>
          <w:rFonts w:ascii="Calibri" w:hAnsi="Calibri" w:cs="Calibri"/>
        </w:rPr>
        <w:t xml:space="preserve">better </w:t>
      </w:r>
      <w:r w:rsidR="7290E817" w:rsidRPr="0080140C">
        <w:rPr>
          <w:rFonts w:ascii="Calibri" w:hAnsi="Calibri" w:cs="Calibri"/>
        </w:rPr>
        <w:t xml:space="preserve">allow researchers to understand how many non-white research and teaching </w:t>
      </w:r>
      <w:r w:rsidR="3D44534D">
        <w:rPr>
          <w:rFonts w:ascii="Calibri" w:hAnsi="Calibri" w:cs="Calibri"/>
        </w:rPr>
        <w:t>staff</w:t>
      </w:r>
      <w:r w:rsidR="7290E817" w:rsidRPr="0080140C">
        <w:rPr>
          <w:rFonts w:ascii="Calibri" w:hAnsi="Calibri" w:cs="Calibri"/>
        </w:rPr>
        <w:t xml:space="preserve"> and students are</w:t>
      </w:r>
      <w:r w:rsidR="34806298">
        <w:rPr>
          <w:rFonts w:ascii="Calibri" w:hAnsi="Calibri" w:cs="Calibri"/>
        </w:rPr>
        <w:t xml:space="preserve"> currently</w:t>
      </w:r>
      <w:r w:rsidR="7290E817" w:rsidRPr="0080140C">
        <w:rPr>
          <w:rFonts w:ascii="Calibri" w:hAnsi="Calibri" w:cs="Calibri"/>
        </w:rPr>
        <w:t xml:space="preserve"> at </w:t>
      </w:r>
      <w:r w:rsidR="53A242DC">
        <w:rPr>
          <w:rFonts w:ascii="Calibri" w:hAnsi="Calibri" w:cs="Calibri"/>
        </w:rPr>
        <w:t xml:space="preserve">an </w:t>
      </w:r>
      <w:r w:rsidR="7290E817" w:rsidRPr="0080140C">
        <w:rPr>
          <w:rFonts w:ascii="Calibri" w:hAnsi="Calibri" w:cs="Calibri"/>
        </w:rPr>
        <w:t>institution.</w:t>
      </w:r>
      <w:r w:rsidR="61D9A7F9" w:rsidRPr="06A5C420">
        <w:rPr>
          <w:rFonts w:ascii="Calibri" w:hAnsi="Calibri" w:cs="Calibri"/>
        </w:rPr>
        <w:t xml:space="preserve"> Another effect of </w:t>
      </w:r>
      <w:r w:rsidR="7290E817" w:rsidRPr="0080140C">
        <w:rPr>
          <w:rFonts w:ascii="Calibri" w:hAnsi="Calibri" w:cs="Calibri"/>
        </w:rPr>
        <w:t>cluster</w:t>
      </w:r>
      <w:r w:rsidR="6B67FAE9" w:rsidRPr="06A5C420">
        <w:rPr>
          <w:rFonts w:ascii="Calibri" w:hAnsi="Calibri" w:cs="Calibri"/>
        </w:rPr>
        <w:t>ing</w:t>
      </w:r>
      <w:r w:rsidR="7290E817" w:rsidRPr="0080140C">
        <w:rPr>
          <w:rFonts w:ascii="Calibri" w:hAnsi="Calibri" w:cs="Calibri"/>
        </w:rPr>
        <w:t xml:space="preserve"> non-white populations without differentiation</w:t>
      </w:r>
      <w:r w:rsidR="61D9A7F9" w:rsidRPr="06A5C420">
        <w:rPr>
          <w:rFonts w:ascii="Calibri" w:hAnsi="Calibri" w:cs="Calibri"/>
        </w:rPr>
        <w:t xml:space="preserve"> is</w:t>
      </w:r>
      <w:r w:rsidR="5801721A" w:rsidRPr="06A5C420">
        <w:rPr>
          <w:rFonts w:ascii="Calibri" w:hAnsi="Calibri" w:cs="Calibri"/>
        </w:rPr>
        <w:t xml:space="preserve"> that</w:t>
      </w:r>
      <w:r w:rsidR="61572F55" w:rsidRPr="06A5C420">
        <w:rPr>
          <w:rFonts w:ascii="Calibri" w:hAnsi="Calibri" w:cs="Calibri"/>
        </w:rPr>
        <w:t xml:space="preserve"> little </w:t>
      </w:r>
      <w:r w:rsidR="7290E817" w:rsidRPr="0080140C">
        <w:rPr>
          <w:rFonts w:ascii="Calibri" w:hAnsi="Calibri" w:cs="Calibri"/>
        </w:rPr>
        <w:t xml:space="preserve">attention </w:t>
      </w:r>
      <w:r w:rsidR="61D9A7F9" w:rsidRPr="06A5C420">
        <w:rPr>
          <w:rFonts w:ascii="Calibri" w:hAnsi="Calibri" w:cs="Calibri"/>
        </w:rPr>
        <w:t>is</w:t>
      </w:r>
      <w:r w:rsidR="61572F55" w:rsidRPr="06A5C420">
        <w:rPr>
          <w:rFonts w:ascii="Calibri" w:hAnsi="Calibri" w:cs="Calibri"/>
        </w:rPr>
        <w:t xml:space="preserve"> paid </w:t>
      </w:r>
      <w:r w:rsidR="00811DD0" w:rsidRPr="06A5C420" w:rsidDel="7290E817">
        <w:rPr>
          <w:rFonts w:ascii="Calibri" w:hAnsi="Calibri" w:cs="Calibri"/>
        </w:rPr>
        <w:t>to</w:t>
      </w:r>
      <w:r w:rsidR="7290E817" w:rsidRPr="0080140C">
        <w:rPr>
          <w:rFonts w:ascii="Calibri" w:hAnsi="Calibri" w:cs="Calibri"/>
        </w:rPr>
        <w:t xml:space="preserve"> the ways that institutional racism and racial stereotypes operate on specific groups.</w:t>
      </w:r>
      <w:r w:rsidR="00811DD0" w:rsidRPr="0080140C">
        <w:rPr>
          <w:rStyle w:val="FootnoteReference"/>
          <w:rFonts w:ascii="Calibri" w:hAnsi="Calibri" w:cs="Calibri"/>
        </w:rPr>
        <w:footnoteReference w:id="162"/>
      </w:r>
      <w:r w:rsidR="7290E817" w:rsidRPr="0080140C">
        <w:rPr>
          <w:rFonts w:ascii="Calibri" w:hAnsi="Calibri" w:cs="Calibri"/>
        </w:rPr>
        <w:t xml:space="preserve"> </w:t>
      </w:r>
      <w:r w:rsidR="59EFA786" w:rsidRPr="06A5C420">
        <w:rPr>
          <w:rFonts w:ascii="Calibri" w:hAnsi="Calibri" w:cs="Calibri"/>
        </w:rPr>
        <w:t>For example, t</w:t>
      </w:r>
      <w:r w:rsidR="7290E817" w:rsidRPr="0080140C">
        <w:rPr>
          <w:rFonts w:ascii="Calibri" w:hAnsi="Calibri" w:cs="Calibri"/>
        </w:rPr>
        <w:t>he association of threat and criminality</w:t>
      </w:r>
      <w:r w:rsidR="59EFA786" w:rsidRPr="06A5C420">
        <w:rPr>
          <w:rFonts w:ascii="Calibri" w:hAnsi="Calibri" w:cs="Calibri"/>
        </w:rPr>
        <w:t xml:space="preserve"> </w:t>
      </w:r>
      <w:r w:rsidR="7290E817" w:rsidRPr="0080140C">
        <w:rPr>
          <w:rFonts w:ascii="Calibri" w:hAnsi="Calibri" w:cs="Calibri"/>
        </w:rPr>
        <w:t>may differ between Black populations and Asian populations.</w:t>
      </w:r>
      <w:r w:rsidR="69CA94B3" w:rsidRPr="06A5C420">
        <w:rPr>
          <w:rFonts w:ascii="Calibri" w:hAnsi="Calibri" w:cs="Calibri"/>
        </w:rPr>
        <w:t xml:space="preserve"> </w:t>
      </w:r>
      <w:r w:rsidR="00811DD0" w:rsidRPr="06A5C420" w:rsidDel="7290E817">
        <w:rPr>
          <w:rFonts w:ascii="Calibri" w:hAnsi="Calibri" w:cs="Calibri"/>
        </w:rPr>
        <w:t>The BAME/BME clustering of racial and ethnic minorities not only obscures the historical and sociological difference</w:t>
      </w:r>
      <w:r w:rsidR="00811DD0" w:rsidRPr="06A5C420" w:rsidDel="748E9143">
        <w:rPr>
          <w:rFonts w:ascii="Calibri" w:hAnsi="Calibri" w:cs="Calibri"/>
        </w:rPr>
        <w:t xml:space="preserve">s between </w:t>
      </w:r>
      <w:r w:rsidR="00811DD0" w:rsidRPr="06A5C420" w:rsidDel="7290E817">
        <w:rPr>
          <w:rFonts w:ascii="Calibri" w:hAnsi="Calibri" w:cs="Calibri"/>
        </w:rPr>
        <w:t xml:space="preserve">groups but </w:t>
      </w:r>
      <w:r w:rsidR="00811DD0" w:rsidRPr="06A5C420" w:rsidDel="748E9143">
        <w:rPr>
          <w:rFonts w:ascii="Calibri" w:hAnsi="Calibri" w:cs="Calibri"/>
        </w:rPr>
        <w:t xml:space="preserve">also </w:t>
      </w:r>
      <w:r w:rsidR="00811DD0" w:rsidRPr="06A5C420" w:rsidDel="7290E817">
        <w:rPr>
          <w:rFonts w:ascii="Calibri" w:hAnsi="Calibri" w:cs="Calibri"/>
        </w:rPr>
        <w:t>gives the illusion that all white populations can be</w:t>
      </w:r>
      <w:r w:rsidR="7290E817" w:rsidRPr="0080140C">
        <w:rPr>
          <w:rFonts w:ascii="Calibri" w:hAnsi="Calibri" w:cs="Calibri"/>
        </w:rPr>
        <w:t xml:space="preserve"> un</w:t>
      </w:r>
      <w:r w:rsidR="6F8D6ECD" w:rsidRPr="06A5C420">
        <w:rPr>
          <w:rFonts w:ascii="Calibri" w:hAnsi="Calibri" w:cs="Calibri"/>
        </w:rPr>
        <w:t xml:space="preserve">derstood </w:t>
      </w:r>
      <w:r w:rsidR="00811DD0" w:rsidRPr="06A5C420" w:rsidDel="7290E817">
        <w:rPr>
          <w:rFonts w:ascii="Calibri" w:hAnsi="Calibri" w:cs="Calibri"/>
        </w:rPr>
        <w:t xml:space="preserve">from the </w:t>
      </w:r>
      <w:r w:rsidR="00811DD0" w:rsidRPr="06A5C420" w:rsidDel="748E9143">
        <w:rPr>
          <w:rFonts w:ascii="Calibri" w:hAnsi="Calibri" w:cs="Calibri"/>
        </w:rPr>
        <w:t xml:space="preserve">perspective </w:t>
      </w:r>
      <w:r w:rsidR="00811DD0" w:rsidRPr="06A5C420" w:rsidDel="7290E817">
        <w:rPr>
          <w:rFonts w:ascii="Calibri" w:hAnsi="Calibri" w:cs="Calibri"/>
        </w:rPr>
        <w:t xml:space="preserve">of </w:t>
      </w:r>
      <w:r w:rsidR="7290E817" w:rsidRPr="0080140C">
        <w:rPr>
          <w:rFonts w:ascii="Calibri" w:hAnsi="Calibri" w:cs="Calibri"/>
        </w:rPr>
        <w:t>whites who hold positions of power (numerically, culturally and institutionally)</w:t>
      </w:r>
      <w:r w:rsidR="00811DD0" w:rsidRPr="06A5C420" w:rsidDel="7290E817">
        <w:rPr>
          <w:rFonts w:ascii="Calibri" w:hAnsi="Calibri" w:cs="Calibri"/>
        </w:rPr>
        <w:t xml:space="preserve"> and non-whites who do not. This distinction not only dictates interpretations of data</w:t>
      </w:r>
      <w:r w:rsidR="00811DD0" w:rsidRPr="06A5C420" w:rsidDel="329EC4F2">
        <w:rPr>
          <w:rFonts w:ascii="Calibri" w:hAnsi="Calibri" w:cs="Calibri"/>
        </w:rPr>
        <w:t>; it also</w:t>
      </w:r>
      <w:r w:rsidR="00811DD0" w:rsidRPr="06A5C420" w:rsidDel="7290E817">
        <w:rPr>
          <w:rFonts w:ascii="Calibri" w:hAnsi="Calibri" w:cs="Calibri"/>
        </w:rPr>
        <w:t xml:space="preserve"> perpetuates the idea that</w:t>
      </w:r>
      <w:r w:rsidR="7290E817" w:rsidRPr="0080140C">
        <w:rPr>
          <w:rFonts w:ascii="Calibri" w:hAnsi="Calibri" w:cs="Calibri"/>
        </w:rPr>
        <w:t xml:space="preserve"> racial and ethnic difference</w:t>
      </w:r>
      <w:r w:rsidR="00811DD0" w:rsidRPr="06A5C420" w:rsidDel="7290E817">
        <w:rPr>
          <w:rFonts w:ascii="Calibri" w:hAnsi="Calibri" w:cs="Calibri"/>
        </w:rPr>
        <w:t xml:space="preserve"> should not be defined from theperspective</w:t>
      </w:r>
      <w:r w:rsidR="00811DD0" w:rsidRPr="06A5C420" w:rsidDel="329EC4F2">
        <w:rPr>
          <w:rFonts w:ascii="Calibri" w:hAnsi="Calibri" w:cs="Calibri"/>
        </w:rPr>
        <w:t>s</w:t>
      </w:r>
      <w:r w:rsidR="00811DD0" w:rsidRPr="06A5C420" w:rsidDel="7290E817">
        <w:rPr>
          <w:rFonts w:ascii="Calibri" w:hAnsi="Calibri" w:cs="Calibri"/>
        </w:rPr>
        <w:t xml:space="preserve"> of Black, Asian and other non-white populations, but </w:t>
      </w:r>
      <w:r w:rsidR="00811DD0" w:rsidRPr="06A5C420" w:rsidDel="6F1DDBAE">
        <w:rPr>
          <w:rFonts w:ascii="Calibri" w:hAnsi="Calibri" w:cs="Calibri"/>
        </w:rPr>
        <w:t xml:space="preserve">rather from the way </w:t>
      </w:r>
      <w:r w:rsidR="00811DD0" w:rsidRPr="06A5C420" w:rsidDel="6F1DDBAE">
        <w:rPr>
          <w:rFonts w:ascii="Calibri" w:hAnsi="Calibri" w:cs="Calibri"/>
        </w:rPr>
        <w:lastRenderedPageBreak/>
        <w:t>that</w:t>
      </w:r>
      <w:r w:rsidR="00811DD0" w:rsidRPr="06A5C420" w:rsidDel="7290E817">
        <w:rPr>
          <w:rFonts w:ascii="Calibri" w:hAnsi="Calibri" w:cs="Calibri"/>
        </w:rPr>
        <w:t xml:space="preserve"> white majority </w:t>
      </w:r>
      <w:r w:rsidR="00811DD0" w:rsidRPr="06A5C420" w:rsidDel="6F1DDBAE">
        <w:rPr>
          <w:rFonts w:ascii="Calibri" w:hAnsi="Calibri" w:cs="Calibri"/>
        </w:rPr>
        <w:t>staff</w:t>
      </w:r>
      <w:r w:rsidR="00811DD0" w:rsidRPr="06A5C420" w:rsidDel="7290E817">
        <w:rPr>
          <w:rFonts w:ascii="Calibri" w:hAnsi="Calibri" w:cs="Calibri"/>
        </w:rPr>
        <w:t xml:space="preserve"> and administrators perceive </w:t>
      </w:r>
      <w:r w:rsidR="00811DD0" w:rsidRPr="06A5C420" w:rsidDel="7290E817">
        <w:rPr>
          <w:rFonts w:ascii="Calibri" w:hAnsi="Calibri" w:cs="Calibri"/>
          <w:i/>
          <w:iCs/>
        </w:rPr>
        <w:t>those others</w:t>
      </w:r>
      <w:r w:rsidR="00811DD0" w:rsidRPr="06A5C420" w:rsidDel="7290E817">
        <w:rPr>
          <w:rFonts w:ascii="Calibri" w:hAnsi="Calibri" w:cs="Calibri"/>
        </w:rPr>
        <w:t xml:space="preserve"> who are not white. </w:t>
      </w:r>
      <w:r w:rsidR="28813458">
        <w:rPr>
          <w:rFonts w:ascii="Calibri" w:hAnsi="Calibri" w:cs="Calibri"/>
        </w:rPr>
        <w:t xml:space="preserve">In other words, BAME/BME designates </w:t>
      </w:r>
      <w:r w:rsidR="2654D68D">
        <w:rPr>
          <w:rFonts w:ascii="Calibri" w:hAnsi="Calibri" w:cs="Calibri"/>
        </w:rPr>
        <w:t>all racial and ethnic minorities as different in a similar way</w:t>
      </w:r>
      <w:r w:rsidR="05D75A9D">
        <w:rPr>
          <w:rFonts w:ascii="Calibri" w:hAnsi="Calibri" w:cs="Calibri"/>
        </w:rPr>
        <w:t>, i.e.</w:t>
      </w:r>
      <w:r w:rsidR="2654D68D">
        <w:rPr>
          <w:rFonts w:ascii="Calibri" w:hAnsi="Calibri" w:cs="Calibri"/>
        </w:rPr>
        <w:t xml:space="preserve"> not </w:t>
      </w:r>
      <w:r w:rsidR="05D75A9D">
        <w:rPr>
          <w:rFonts w:ascii="Calibri" w:hAnsi="Calibri" w:cs="Calibri"/>
        </w:rPr>
        <w:t xml:space="preserve">being </w:t>
      </w:r>
      <w:r w:rsidR="2654D68D">
        <w:rPr>
          <w:rFonts w:ascii="Calibri" w:hAnsi="Calibri" w:cs="Calibri"/>
        </w:rPr>
        <w:t xml:space="preserve">white. </w:t>
      </w:r>
      <w:r w:rsidR="4C768B95">
        <w:rPr>
          <w:rFonts w:ascii="Calibri" w:hAnsi="Calibri" w:cs="Calibri"/>
        </w:rPr>
        <w:t xml:space="preserve">Making these </w:t>
      </w:r>
      <w:r w:rsidR="58801F06">
        <w:rPr>
          <w:rFonts w:ascii="Calibri" w:hAnsi="Calibri" w:cs="Calibri"/>
        </w:rPr>
        <w:t>groups known</w:t>
      </w:r>
      <w:r w:rsidR="00811DD0" w:rsidRPr="06A5C420" w:rsidDel="1E669CDE">
        <w:rPr>
          <w:rFonts w:ascii="Calibri" w:hAnsi="Calibri" w:cs="Calibri"/>
        </w:rPr>
        <w:t xml:space="preserve"> </w:t>
      </w:r>
      <w:r w:rsidR="25E88276" w:rsidRPr="06A5C420">
        <w:rPr>
          <w:rFonts w:ascii="Calibri" w:hAnsi="Calibri" w:cs="Calibri"/>
        </w:rPr>
        <w:t xml:space="preserve">solely </w:t>
      </w:r>
      <w:r w:rsidR="1E669CDE">
        <w:rPr>
          <w:rFonts w:ascii="Calibri" w:hAnsi="Calibri" w:cs="Calibri"/>
        </w:rPr>
        <w:t xml:space="preserve">through their difference with </w:t>
      </w:r>
      <w:r w:rsidR="3F236256">
        <w:rPr>
          <w:rFonts w:ascii="Calibri" w:hAnsi="Calibri" w:cs="Calibri"/>
        </w:rPr>
        <w:t xml:space="preserve">the white majority </w:t>
      </w:r>
      <w:r w:rsidR="27E615E4">
        <w:rPr>
          <w:rFonts w:ascii="Calibri" w:hAnsi="Calibri" w:cs="Calibri"/>
        </w:rPr>
        <w:t xml:space="preserve">numbs </w:t>
      </w:r>
      <w:r w:rsidR="5ECAAF3E">
        <w:rPr>
          <w:rFonts w:ascii="Calibri" w:hAnsi="Calibri" w:cs="Calibri"/>
        </w:rPr>
        <w:t xml:space="preserve">our ability to see how racism operates beyond </w:t>
      </w:r>
      <w:r w:rsidR="31DE87D0">
        <w:rPr>
          <w:rFonts w:ascii="Calibri" w:hAnsi="Calibri" w:cs="Calibri"/>
        </w:rPr>
        <w:t>these group</w:t>
      </w:r>
      <w:r w:rsidR="0B1F8B8A" w:rsidRPr="06A5C420">
        <w:rPr>
          <w:rFonts w:ascii="Calibri" w:hAnsi="Calibri" w:cs="Calibri"/>
        </w:rPr>
        <w:t>ing</w:t>
      </w:r>
      <w:r w:rsidR="31DE87D0">
        <w:rPr>
          <w:rFonts w:ascii="Calibri" w:hAnsi="Calibri" w:cs="Calibri"/>
        </w:rPr>
        <w:t>s.</w:t>
      </w:r>
    </w:p>
    <w:p w14:paraId="53C69BE1" w14:textId="3C7FCE62" w:rsidR="008E03CE" w:rsidRDefault="00811DD0" w:rsidP="00FE31C9">
      <w:pPr>
        <w:spacing w:after="160" w:line="259" w:lineRule="auto"/>
        <w:ind w:firstLine="720"/>
        <w:rPr>
          <w:rFonts w:ascii="Calibri" w:hAnsi="Calibri" w:cs="Calibri"/>
        </w:rPr>
      </w:pPr>
      <w:r w:rsidRPr="0080140C">
        <w:rPr>
          <w:rFonts w:ascii="Calibri" w:hAnsi="Calibri" w:cs="Calibri"/>
        </w:rPr>
        <w:t xml:space="preserve">This report aims to achieve more concrete understandings of racial and ethnic minority under-representation at the </w:t>
      </w:r>
      <w:r w:rsidR="00A27530">
        <w:rPr>
          <w:rFonts w:ascii="Calibri" w:hAnsi="Calibri" w:cs="Calibri"/>
        </w:rPr>
        <w:t>University of Edinburgh</w:t>
      </w:r>
      <w:r w:rsidRPr="0080140C">
        <w:rPr>
          <w:rFonts w:ascii="Calibri" w:hAnsi="Calibri" w:cs="Calibri"/>
        </w:rPr>
        <w:t>. As an</w:t>
      </w:r>
      <w:r w:rsidR="00C117AA">
        <w:rPr>
          <w:rFonts w:ascii="Calibri" w:hAnsi="Calibri" w:cs="Calibri"/>
        </w:rPr>
        <w:t xml:space="preserve"> institution that prides itself on</w:t>
      </w:r>
      <w:r w:rsidRPr="0080140C">
        <w:rPr>
          <w:rFonts w:ascii="Calibri" w:hAnsi="Calibri" w:cs="Calibri"/>
        </w:rPr>
        <w:t xml:space="preserve"> </w:t>
      </w:r>
      <w:r w:rsidR="00C117AA">
        <w:rPr>
          <w:rFonts w:ascii="Calibri" w:hAnsi="Calibri" w:cs="Calibri"/>
        </w:rPr>
        <w:t xml:space="preserve">its </w:t>
      </w:r>
      <w:r w:rsidRPr="0080140C">
        <w:rPr>
          <w:rFonts w:ascii="Calibri" w:hAnsi="Calibri" w:cs="Calibri"/>
        </w:rPr>
        <w:t xml:space="preserve">international </w:t>
      </w:r>
      <w:r w:rsidR="00C117AA">
        <w:rPr>
          <w:rFonts w:ascii="Calibri" w:hAnsi="Calibri" w:cs="Calibri"/>
        </w:rPr>
        <w:t>reputation</w:t>
      </w:r>
      <w:r w:rsidRPr="0080140C">
        <w:rPr>
          <w:rFonts w:ascii="Calibri" w:hAnsi="Calibri" w:cs="Calibri"/>
        </w:rPr>
        <w:t>, the</w:t>
      </w:r>
      <w:r w:rsidRPr="0080140C" w:rsidDel="004333BC">
        <w:rPr>
          <w:rFonts w:ascii="Calibri" w:hAnsi="Calibri" w:cs="Calibri"/>
        </w:rPr>
        <w:t xml:space="preserve"> </w:t>
      </w:r>
      <w:r w:rsidR="004333BC">
        <w:rPr>
          <w:rFonts w:ascii="Calibri" w:hAnsi="Calibri" w:cs="Calibri"/>
        </w:rPr>
        <w:t>staff</w:t>
      </w:r>
      <w:r w:rsidR="004333BC" w:rsidRPr="0080140C">
        <w:rPr>
          <w:rFonts w:ascii="Calibri" w:hAnsi="Calibri" w:cs="Calibri"/>
        </w:rPr>
        <w:t xml:space="preserve"> </w:t>
      </w:r>
      <w:r w:rsidRPr="0080140C">
        <w:rPr>
          <w:rFonts w:ascii="Calibri" w:hAnsi="Calibri" w:cs="Calibri"/>
        </w:rPr>
        <w:t xml:space="preserve">and student populations are indicators of how well the </w:t>
      </w:r>
      <w:r w:rsidR="00A27530">
        <w:rPr>
          <w:rFonts w:ascii="Calibri" w:hAnsi="Calibri" w:cs="Calibri"/>
        </w:rPr>
        <w:t>University of Edinburgh</w:t>
      </w:r>
      <w:r w:rsidRPr="0080140C">
        <w:rPr>
          <w:rFonts w:ascii="Calibri" w:hAnsi="Calibri" w:cs="Calibri"/>
        </w:rPr>
        <w:t xml:space="preserve"> is progressing towards it</w:t>
      </w:r>
      <w:r w:rsidR="004E473A">
        <w:rPr>
          <w:rFonts w:ascii="Calibri" w:hAnsi="Calibri" w:cs="Calibri"/>
        </w:rPr>
        <w:t>s</w:t>
      </w:r>
      <w:r w:rsidRPr="0080140C">
        <w:rPr>
          <w:rFonts w:ascii="Calibri" w:hAnsi="Calibri" w:cs="Calibri"/>
        </w:rPr>
        <w:t xml:space="preserve"> vision as a global institution. This section uses staff and student data to reflect on the progress made and obstacles towards achieving </w:t>
      </w:r>
      <w:r w:rsidR="00ED743C">
        <w:rPr>
          <w:rFonts w:ascii="Calibri" w:hAnsi="Calibri" w:cs="Calibri"/>
        </w:rPr>
        <w:t xml:space="preserve">a </w:t>
      </w:r>
      <w:r w:rsidRPr="0080140C">
        <w:rPr>
          <w:rFonts w:ascii="Calibri" w:hAnsi="Calibri" w:cs="Calibri"/>
        </w:rPr>
        <w:t>racially and ethnic</w:t>
      </w:r>
      <w:r w:rsidR="00ED743C">
        <w:rPr>
          <w:rFonts w:ascii="Calibri" w:hAnsi="Calibri" w:cs="Calibri"/>
        </w:rPr>
        <w:t>ally</w:t>
      </w:r>
      <w:r w:rsidRPr="0080140C">
        <w:rPr>
          <w:rFonts w:ascii="Calibri" w:hAnsi="Calibri" w:cs="Calibri"/>
        </w:rPr>
        <w:t xml:space="preserve"> diverse staff and student population.</w:t>
      </w:r>
    </w:p>
    <w:p w14:paraId="71071262" w14:textId="77777777" w:rsidR="00C25526" w:rsidRDefault="00C25526" w:rsidP="00C25526">
      <w:pPr>
        <w:spacing w:line="259" w:lineRule="auto"/>
        <w:rPr>
          <w:rFonts w:ascii="Calibri" w:hAnsi="Calibri" w:cs="Calibri"/>
          <w:b/>
          <w:bCs/>
        </w:rPr>
      </w:pPr>
    </w:p>
    <w:p w14:paraId="6219D845" w14:textId="1381AE44" w:rsidR="00C25526" w:rsidRPr="0080140C" w:rsidRDefault="00C25526" w:rsidP="00C25526">
      <w:pPr>
        <w:pStyle w:val="Heading2"/>
      </w:pPr>
      <w:bookmarkStart w:id="56" w:name="_Toc190939418"/>
      <w:bookmarkStart w:id="57" w:name="_Toc202627101"/>
      <w:r w:rsidRPr="0080140C">
        <w:t>Baseline of Comparisons</w:t>
      </w:r>
      <w:bookmarkEnd w:id="56"/>
      <w:bookmarkEnd w:id="57"/>
    </w:p>
    <w:p w14:paraId="516367F0" w14:textId="52E5554D" w:rsidR="004422AA" w:rsidRPr="0080140C" w:rsidRDefault="004422AA" w:rsidP="00FE31C9">
      <w:pPr>
        <w:spacing w:line="259" w:lineRule="auto"/>
        <w:rPr>
          <w:rFonts w:ascii="Calibri" w:hAnsi="Calibri" w:cs="Calibri"/>
        </w:rPr>
      </w:pPr>
      <w:r w:rsidRPr="0080140C">
        <w:rPr>
          <w:rFonts w:ascii="Calibri" w:hAnsi="Calibri" w:cs="Calibri"/>
        </w:rPr>
        <w:t>National racial and ethnic under-representation throughout higher education is a concerning problem for the sector. According to 2021</w:t>
      </w:r>
      <w:r w:rsidR="00463A32">
        <w:rPr>
          <w:rFonts w:ascii="Calibri" w:hAnsi="Calibri" w:cs="Calibri"/>
        </w:rPr>
        <w:t>/</w:t>
      </w:r>
      <w:r w:rsidRPr="0080140C">
        <w:rPr>
          <w:rFonts w:ascii="Calibri" w:hAnsi="Calibri" w:cs="Calibri"/>
        </w:rPr>
        <w:t>22 census data for England and Wales, Black, Asian, Mixed</w:t>
      </w:r>
      <w:r>
        <w:rPr>
          <w:rFonts w:ascii="Calibri" w:hAnsi="Calibri" w:cs="Calibri"/>
        </w:rPr>
        <w:t xml:space="preserve"> </w:t>
      </w:r>
      <w:r w:rsidRPr="0080140C">
        <w:rPr>
          <w:rFonts w:ascii="Calibri" w:hAnsi="Calibri" w:cs="Calibri"/>
        </w:rPr>
        <w:t xml:space="preserve">or </w:t>
      </w:r>
      <w:r w:rsidR="00463A32">
        <w:rPr>
          <w:rFonts w:ascii="Calibri" w:hAnsi="Calibri" w:cs="Calibri"/>
        </w:rPr>
        <w:t>O</w:t>
      </w:r>
      <w:r w:rsidRPr="0080140C">
        <w:rPr>
          <w:rFonts w:ascii="Calibri" w:hAnsi="Calibri" w:cs="Calibri"/>
        </w:rPr>
        <w:t xml:space="preserve">ther </w:t>
      </w:r>
      <w:r w:rsidR="00463A32">
        <w:rPr>
          <w:rFonts w:ascii="Calibri" w:hAnsi="Calibri" w:cs="Calibri"/>
        </w:rPr>
        <w:t>N</w:t>
      </w:r>
      <w:r w:rsidRPr="0080140C">
        <w:rPr>
          <w:rFonts w:ascii="Calibri" w:hAnsi="Calibri" w:cs="Calibri"/>
        </w:rPr>
        <w:t>on-</w:t>
      </w:r>
      <w:r w:rsidR="00463A32">
        <w:rPr>
          <w:rFonts w:ascii="Calibri" w:hAnsi="Calibri" w:cs="Calibri"/>
        </w:rPr>
        <w:t>W</w:t>
      </w:r>
      <w:r w:rsidRPr="0080140C">
        <w:rPr>
          <w:rFonts w:ascii="Calibri" w:hAnsi="Calibri" w:cs="Calibri"/>
        </w:rPr>
        <w:t>hite ethnic groups account for 18% of the population.</w:t>
      </w:r>
      <w:r w:rsidRPr="0080140C">
        <w:rPr>
          <w:rStyle w:val="FootnoteReference"/>
          <w:rFonts w:ascii="Calibri" w:hAnsi="Calibri" w:cs="Calibri"/>
        </w:rPr>
        <w:footnoteReference w:id="163"/>
      </w:r>
      <w:r w:rsidRPr="0080140C">
        <w:rPr>
          <w:rFonts w:ascii="Calibri" w:hAnsi="Calibri" w:cs="Calibri"/>
        </w:rPr>
        <w:t xml:space="preserve"> The British population is comprised of 4% of Black</w:t>
      </w:r>
      <w:r w:rsidR="4E757C37" w:rsidRPr="3C6D1E23">
        <w:rPr>
          <w:rFonts w:ascii="Calibri" w:hAnsi="Calibri" w:cs="Calibri"/>
        </w:rPr>
        <w:t xml:space="preserve"> people</w:t>
      </w:r>
      <w:r w:rsidRPr="0080140C">
        <w:rPr>
          <w:rFonts w:ascii="Calibri" w:hAnsi="Calibri" w:cs="Calibri"/>
        </w:rPr>
        <w:t xml:space="preserve">, 9.3% of Asian </w:t>
      </w:r>
      <w:r w:rsidR="00FE1580">
        <w:rPr>
          <w:rFonts w:ascii="Calibri" w:hAnsi="Calibri" w:cs="Calibri"/>
        </w:rPr>
        <w:t>people</w:t>
      </w:r>
      <w:r w:rsidRPr="0080140C">
        <w:rPr>
          <w:rFonts w:ascii="Calibri" w:hAnsi="Calibri" w:cs="Calibri"/>
        </w:rPr>
        <w:t xml:space="preserve"> and 2.9% of Mixed ethnic groups.</w:t>
      </w:r>
      <w:r w:rsidRPr="0080140C">
        <w:rPr>
          <w:rStyle w:val="FootnoteReference"/>
          <w:rFonts w:ascii="Calibri" w:hAnsi="Calibri" w:cs="Calibri"/>
        </w:rPr>
        <w:footnoteReference w:id="164"/>
      </w:r>
      <w:r w:rsidRPr="0080140C">
        <w:rPr>
          <w:rFonts w:ascii="Calibri" w:hAnsi="Calibri" w:cs="Calibri"/>
        </w:rPr>
        <w:t xml:space="preserve"> The 202</w:t>
      </w:r>
      <w:r w:rsidR="00463A32">
        <w:rPr>
          <w:rFonts w:ascii="Calibri" w:hAnsi="Calibri" w:cs="Calibri"/>
        </w:rPr>
        <w:t>1/</w:t>
      </w:r>
      <w:r w:rsidRPr="0080140C">
        <w:rPr>
          <w:rFonts w:ascii="Calibri" w:hAnsi="Calibri" w:cs="Calibri"/>
        </w:rPr>
        <w:t>22 census data from Scotland indicates that roughly 7.1% of the population identify as Black, Asian or other ethnic minorities.</w:t>
      </w:r>
      <w:r w:rsidRPr="0080140C">
        <w:rPr>
          <w:rStyle w:val="FootnoteReference"/>
          <w:rFonts w:ascii="Calibri" w:hAnsi="Calibri" w:cs="Calibri"/>
        </w:rPr>
        <w:footnoteReference w:id="165"/>
      </w:r>
      <w:r w:rsidRPr="0080140C">
        <w:rPr>
          <w:rFonts w:ascii="Calibri" w:hAnsi="Calibri" w:cs="Calibri"/>
        </w:rPr>
        <w:t xml:space="preserve"> Scotland’s 2021</w:t>
      </w:r>
      <w:r w:rsidR="00463A32">
        <w:rPr>
          <w:rFonts w:ascii="Calibri" w:hAnsi="Calibri" w:cs="Calibri"/>
        </w:rPr>
        <w:t>/</w:t>
      </w:r>
      <w:r w:rsidRPr="0080140C">
        <w:rPr>
          <w:rFonts w:ascii="Calibri" w:hAnsi="Calibri" w:cs="Calibri"/>
        </w:rPr>
        <w:t>22 census data has not been fully integrated with the England and Wales 2021</w:t>
      </w:r>
      <w:r w:rsidR="00463A32">
        <w:rPr>
          <w:rFonts w:ascii="Calibri" w:hAnsi="Calibri" w:cs="Calibri"/>
        </w:rPr>
        <w:t>/</w:t>
      </w:r>
      <w:r w:rsidRPr="0080140C">
        <w:rPr>
          <w:rFonts w:ascii="Calibri" w:hAnsi="Calibri" w:cs="Calibri"/>
        </w:rPr>
        <w:t xml:space="preserve">22 census data, so the respective percentages are used as guidelines of proportional representation for these groups. </w:t>
      </w:r>
      <w:r w:rsidR="0082055A">
        <w:rPr>
          <w:rFonts w:ascii="Calibri" w:hAnsi="Calibri" w:cs="Calibri"/>
        </w:rPr>
        <w:t xml:space="preserve">However, </w:t>
      </w:r>
      <w:r w:rsidR="00997B6B">
        <w:rPr>
          <w:rFonts w:ascii="Calibri" w:hAnsi="Calibri" w:cs="Calibri"/>
        </w:rPr>
        <w:t xml:space="preserve">it is important to emphasise that </w:t>
      </w:r>
      <w:r w:rsidR="0082055A">
        <w:rPr>
          <w:rFonts w:ascii="Calibri" w:hAnsi="Calibri" w:cs="Calibri"/>
        </w:rPr>
        <w:t>t</w:t>
      </w:r>
      <w:r w:rsidRPr="0080140C">
        <w:rPr>
          <w:rFonts w:ascii="Calibri" w:hAnsi="Calibri" w:cs="Calibri"/>
        </w:rPr>
        <w:t xml:space="preserve">he </w:t>
      </w:r>
      <w:r w:rsidR="00A27530" w:rsidRPr="3C6D1E23">
        <w:rPr>
          <w:rFonts w:ascii="Calibri" w:hAnsi="Calibri" w:cs="Calibri"/>
        </w:rPr>
        <w:t>University of Edinburgh</w:t>
      </w:r>
      <w:r w:rsidRPr="0080140C">
        <w:rPr>
          <w:rFonts w:ascii="Calibri" w:hAnsi="Calibri" w:cs="Calibri"/>
        </w:rPr>
        <w:t xml:space="preserve"> is</w:t>
      </w:r>
      <w:r w:rsidR="0082055A">
        <w:rPr>
          <w:rFonts w:ascii="Calibri" w:hAnsi="Calibri" w:cs="Calibri"/>
        </w:rPr>
        <w:t xml:space="preserve"> also</w:t>
      </w:r>
      <w:r w:rsidRPr="0080140C">
        <w:rPr>
          <w:rFonts w:ascii="Calibri" w:hAnsi="Calibri" w:cs="Calibri"/>
        </w:rPr>
        <w:t xml:space="preserve"> a global institution</w:t>
      </w:r>
      <w:r w:rsidR="00997B6B">
        <w:rPr>
          <w:rFonts w:ascii="Calibri" w:hAnsi="Calibri" w:cs="Calibri"/>
        </w:rPr>
        <w:t xml:space="preserve"> with</w:t>
      </w:r>
      <w:r w:rsidRPr="0080140C">
        <w:rPr>
          <w:rFonts w:ascii="Calibri" w:hAnsi="Calibri" w:cs="Calibri"/>
        </w:rPr>
        <w:t xml:space="preserve"> staff and student populations </w:t>
      </w:r>
      <w:r w:rsidR="00997B6B">
        <w:rPr>
          <w:rFonts w:ascii="Calibri" w:hAnsi="Calibri" w:cs="Calibri"/>
        </w:rPr>
        <w:t xml:space="preserve">who </w:t>
      </w:r>
      <w:r w:rsidRPr="0080140C">
        <w:rPr>
          <w:rFonts w:ascii="Calibri" w:hAnsi="Calibri" w:cs="Calibri"/>
        </w:rPr>
        <w:t xml:space="preserve">come from all corners of the globe. While there is a dominant </w:t>
      </w:r>
      <w:r w:rsidR="00463A32">
        <w:rPr>
          <w:rFonts w:ascii="Calibri" w:hAnsi="Calibri" w:cs="Calibri"/>
        </w:rPr>
        <w:t>W</w:t>
      </w:r>
      <w:r w:rsidRPr="0080140C">
        <w:rPr>
          <w:rFonts w:ascii="Calibri" w:hAnsi="Calibri" w:cs="Calibri"/>
        </w:rPr>
        <w:t xml:space="preserve">hite racial majority in the UK, and especially </w:t>
      </w:r>
      <w:r w:rsidR="0082055A">
        <w:rPr>
          <w:rFonts w:ascii="Calibri" w:hAnsi="Calibri" w:cs="Calibri"/>
        </w:rPr>
        <w:t xml:space="preserve">in </w:t>
      </w:r>
      <w:r w:rsidRPr="0080140C">
        <w:rPr>
          <w:rFonts w:ascii="Calibri" w:hAnsi="Calibri" w:cs="Calibri"/>
        </w:rPr>
        <w:t xml:space="preserve">Scotland, the basis of comparison must not presume that small numbers of </w:t>
      </w:r>
      <w:r w:rsidR="00463A32">
        <w:rPr>
          <w:rFonts w:ascii="Calibri" w:hAnsi="Calibri" w:cs="Calibri"/>
        </w:rPr>
        <w:t>N</w:t>
      </w:r>
      <w:r w:rsidRPr="0080140C">
        <w:rPr>
          <w:rFonts w:ascii="Calibri" w:hAnsi="Calibri" w:cs="Calibri"/>
        </w:rPr>
        <w:t>on-</w:t>
      </w:r>
      <w:r w:rsidR="00463A32">
        <w:rPr>
          <w:rFonts w:ascii="Calibri" w:hAnsi="Calibri" w:cs="Calibri"/>
        </w:rPr>
        <w:t>W</w:t>
      </w:r>
      <w:r w:rsidRPr="0080140C">
        <w:rPr>
          <w:rFonts w:ascii="Calibri" w:hAnsi="Calibri" w:cs="Calibri"/>
        </w:rPr>
        <w:t>hite racial and ethnic minorit</w:t>
      </w:r>
      <w:r w:rsidR="0082055A">
        <w:rPr>
          <w:rFonts w:ascii="Calibri" w:hAnsi="Calibri" w:cs="Calibri"/>
        </w:rPr>
        <w:t>ies</w:t>
      </w:r>
      <w:r w:rsidRPr="0080140C">
        <w:rPr>
          <w:rFonts w:ascii="Calibri" w:hAnsi="Calibri" w:cs="Calibri"/>
        </w:rPr>
        <w:t xml:space="preserve"> in Scotland </w:t>
      </w:r>
      <w:r w:rsidR="0082055A">
        <w:rPr>
          <w:rFonts w:ascii="Calibri" w:hAnsi="Calibri" w:cs="Calibri"/>
        </w:rPr>
        <w:t>offer an</w:t>
      </w:r>
      <w:r w:rsidRPr="0080140C">
        <w:rPr>
          <w:rFonts w:ascii="Calibri" w:hAnsi="Calibri" w:cs="Calibri"/>
        </w:rPr>
        <w:t xml:space="preserve"> appropriate baseline for comparison. </w:t>
      </w:r>
    </w:p>
    <w:p w14:paraId="3CA63BFA" w14:textId="77777777" w:rsidR="004422AA" w:rsidRPr="0017357E" w:rsidRDefault="004422AA" w:rsidP="00C25526">
      <w:pPr>
        <w:spacing w:after="160" w:line="259" w:lineRule="auto"/>
        <w:jc w:val="both"/>
        <w:rPr>
          <w:rFonts w:ascii="Calibri" w:eastAsia="Times New Roman" w:hAnsi="Calibri" w:cs="Calibri"/>
          <w:color w:val="000000" w:themeColor="text1"/>
        </w:rPr>
      </w:pPr>
    </w:p>
    <w:p w14:paraId="0556D664" w14:textId="77777777" w:rsidR="008E03CE" w:rsidRPr="0017357E" w:rsidRDefault="008E03CE" w:rsidP="008E03CE">
      <w:pPr>
        <w:pStyle w:val="Heading2"/>
      </w:pPr>
      <w:bookmarkStart w:id="58" w:name="_Toc190939419"/>
      <w:bookmarkStart w:id="59" w:name="_Toc202627102"/>
      <w:r w:rsidRPr="0017357E">
        <w:t xml:space="preserve">Staff </w:t>
      </w:r>
      <w:r>
        <w:t>F</w:t>
      </w:r>
      <w:r w:rsidRPr="0017357E">
        <w:t xml:space="preserve">requency </w:t>
      </w:r>
      <w:r>
        <w:t>D</w:t>
      </w:r>
      <w:r w:rsidRPr="0017357E">
        <w:t xml:space="preserve">istribution and </w:t>
      </w:r>
      <w:r>
        <w:t>C</w:t>
      </w:r>
      <w:r w:rsidRPr="0017357E">
        <w:t>ross-</w:t>
      </w:r>
      <w:r>
        <w:t>T</w:t>
      </w:r>
      <w:r w:rsidRPr="0017357E">
        <w:t>abulation</w:t>
      </w:r>
      <w:bookmarkEnd w:id="58"/>
      <w:bookmarkEnd w:id="59"/>
      <w:r w:rsidRPr="0017357E">
        <w:t xml:space="preserve"> </w:t>
      </w:r>
    </w:p>
    <w:p w14:paraId="77ECA042" w14:textId="33A2B4C9" w:rsidR="00E60968" w:rsidRPr="00B343F3" w:rsidRDefault="00E60968" w:rsidP="00FE31C9">
      <w:pPr>
        <w:rPr>
          <w:rFonts w:ascii="Calibri" w:hAnsi="Calibri" w:cs="Calibri"/>
        </w:rPr>
      </w:pPr>
      <w:r w:rsidRPr="00B343F3">
        <w:rPr>
          <w:rFonts w:ascii="Calibri" w:hAnsi="Calibri" w:cs="Calibri"/>
        </w:rPr>
        <w:t>Figure 1 and Table 1 show that the total number of staff members has steadily increased over the years, growing from 14,900 (7,970 female staff and 6</w:t>
      </w:r>
      <w:r w:rsidR="00F96E2D">
        <w:rPr>
          <w:rFonts w:ascii="Calibri" w:hAnsi="Calibri" w:cs="Calibri"/>
        </w:rPr>
        <w:t>,</w:t>
      </w:r>
      <w:r w:rsidRPr="00B343F3">
        <w:rPr>
          <w:rFonts w:ascii="Calibri" w:hAnsi="Calibri" w:cs="Calibri"/>
        </w:rPr>
        <w:t>930 male staff) in 2018/19 to 17,270 (9</w:t>
      </w:r>
      <w:r w:rsidR="00F96E2D">
        <w:rPr>
          <w:rFonts w:ascii="Calibri" w:hAnsi="Calibri" w:cs="Calibri"/>
        </w:rPr>
        <w:t>,</w:t>
      </w:r>
      <w:r w:rsidRPr="00B343F3">
        <w:rPr>
          <w:rFonts w:ascii="Calibri" w:hAnsi="Calibri" w:cs="Calibri"/>
        </w:rPr>
        <w:t>530 female staff and 7</w:t>
      </w:r>
      <w:r w:rsidR="00F96E2D">
        <w:rPr>
          <w:rFonts w:ascii="Calibri" w:hAnsi="Calibri" w:cs="Calibri"/>
        </w:rPr>
        <w:t>,</w:t>
      </w:r>
      <w:r w:rsidRPr="00B343F3">
        <w:rPr>
          <w:rFonts w:ascii="Calibri" w:hAnsi="Calibri" w:cs="Calibri"/>
        </w:rPr>
        <w:t xml:space="preserve">740 male staff) in 2022/23. Each year, there have been more female staff members than male staff members. The percentage of female staff has </w:t>
      </w:r>
      <w:r w:rsidRPr="00B343F3">
        <w:rPr>
          <w:rFonts w:ascii="Calibri" w:hAnsi="Calibri" w:cs="Calibri"/>
        </w:rPr>
        <w:lastRenderedPageBreak/>
        <w:t>risen slightly, going from 53% in 2018/19 to 55% in 2022/23. While the number of male staff members has also grown each year, it has done so at a slower pace than the increase in female staff. As a result, the percentage of male staff decreased from 47% in 2018/19 to 45% in 2022/23.</w:t>
      </w:r>
    </w:p>
    <w:p w14:paraId="4FE3FD61" w14:textId="77777777" w:rsidR="00E60968" w:rsidRPr="00B343F3" w:rsidRDefault="00E60968" w:rsidP="00E60968">
      <w:pPr>
        <w:jc w:val="both"/>
        <w:rPr>
          <w:rFonts w:ascii="Calibri" w:hAnsi="Calibri" w:cs="Calibri"/>
        </w:rPr>
      </w:pPr>
    </w:p>
    <w:p w14:paraId="10BF0623" w14:textId="77777777" w:rsidR="00E60968" w:rsidRPr="00B343F3" w:rsidRDefault="00E60968" w:rsidP="00B343F3">
      <w:pPr>
        <w:jc w:val="center"/>
        <w:rPr>
          <w:rFonts w:ascii="Calibri" w:hAnsi="Calibri" w:cs="Calibri"/>
        </w:rPr>
      </w:pPr>
      <w:r w:rsidRPr="00B343F3">
        <w:rPr>
          <w:rFonts w:ascii="Calibri" w:hAnsi="Calibri" w:cs="Calibri"/>
          <w:noProof/>
        </w:rPr>
        <w:drawing>
          <wp:inline distT="0" distB="0" distL="0" distR="0" wp14:anchorId="1FA384FC" wp14:editId="5F317297">
            <wp:extent cx="4895850" cy="1924754"/>
            <wp:effectExtent l="0" t="0" r="0" b="0"/>
            <wp:docPr id="12979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07485" cy="1929328"/>
                    </a:xfrm>
                    <a:prstGeom prst="rect">
                      <a:avLst/>
                    </a:prstGeom>
                    <a:noFill/>
                    <a:ln>
                      <a:noFill/>
                    </a:ln>
                  </pic:spPr>
                </pic:pic>
              </a:graphicData>
            </a:graphic>
          </wp:inline>
        </w:drawing>
      </w:r>
    </w:p>
    <w:p w14:paraId="072FC884" w14:textId="77777777" w:rsidR="00B343F3" w:rsidRPr="00B343F3" w:rsidRDefault="00B343F3" w:rsidP="00B343F3">
      <w:pPr>
        <w:jc w:val="center"/>
        <w:rPr>
          <w:rFonts w:ascii="Calibri" w:hAnsi="Calibri" w:cs="Calibri"/>
        </w:rPr>
      </w:pPr>
      <w:r w:rsidRPr="00B343F3">
        <w:rPr>
          <w:rFonts w:ascii="Calibri" w:hAnsi="Calibri" w:cs="Calibri"/>
          <w:u w:val="single"/>
        </w:rPr>
        <w:t>Table 1</w:t>
      </w:r>
      <w:r w:rsidRPr="00B343F3">
        <w:rPr>
          <w:rFonts w:ascii="Calibri" w:hAnsi="Calibri" w:cs="Calibri"/>
        </w:rPr>
        <w:t>: University of Edinburgh staff gender by academic year</w:t>
      </w:r>
    </w:p>
    <w:p w14:paraId="0B5B2643" w14:textId="77777777" w:rsidR="00E60968" w:rsidRPr="00B343F3" w:rsidRDefault="00E60968" w:rsidP="00E60968">
      <w:pPr>
        <w:jc w:val="both"/>
        <w:rPr>
          <w:rFonts w:ascii="Calibri" w:hAnsi="Calibri" w:cs="Calibri"/>
        </w:rPr>
      </w:pPr>
    </w:p>
    <w:p w14:paraId="42D79EFF" w14:textId="4BE2A5AB" w:rsidR="00E60968" w:rsidRPr="00B343F3" w:rsidRDefault="00E60968" w:rsidP="00E60968">
      <w:pPr>
        <w:jc w:val="both"/>
        <w:rPr>
          <w:rFonts w:ascii="Calibri" w:hAnsi="Calibri" w:cs="Calibri"/>
        </w:rPr>
      </w:pPr>
      <w:r w:rsidRPr="00B343F3">
        <w:rPr>
          <w:rFonts w:ascii="Calibri" w:hAnsi="Calibri" w:cs="Calibri"/>
        </w:rPr>
        <w:t xml:space="preserve">**Guaranteed </w:t>
      </w:r>
      <w:r w:rsidR="00B343F3">
        <w:rPr>
          <w:rFonts w:ascii="Calibri" w:hAnsi="Calibri" w:cs="Calibri"/>
        </w:rPr>
        <w:t>and</w:t>
      </w:r>
      <w:r w:rsidRPr="00B343F3">
        <w:rPr>
          <w:rFonts w:ascii="Calibri" w:hAnsi="Calibri" w:cs="Calibri"/>
        </w:rPr>
        <w:t xml:space="preserve"> not guaranteed hours merged</w:t>
      </w:r>
    </w:p>
    <w:p w14:paraId="64FB817D" w14:textId="77777777" w:rsidR="00E60968" w:rsidRPr="00B343F3" w:rsidRDefault="00E60968" w:rsidP="00E60968">
      <w:pPr>
        <w:jc w:val="both"/>
        <w:rPr>
          <w:rFonts w:ascii="Calibri" w:hAnsi="Calibri" w:cs="Calibri"/>
        </w:rPr>
      </w:pPr>
      <w:r w:rsidRPr="00B343F3">
        <w:rPr>
          <w:rFonts w:ascii="Calibri" w:hAnsi="Calibri" w:cs="Calibri"/>
        </w:rPr>
        <w:t>**40 “unknown” for headcount was dropped</w:t>
      </w:r>
    </w:p>
    <w:p w14:paraId="18BDB2CF" w14:textId="77777777" w:rsidR="00E60968" w:rsidRDefault="00E60968" w:rsidP="00E60968">
      <w:pPr>
        <w:jc w:val="both"/>
        <w:rPr>
          <w:rFonts w:ascii="Arial" w:hAnsi="Arial" w:cs="Arial"/>
        </w:rPr>
      </w:pPr>
    </w:p>
    <w:p w14:paraId="07FD7015" w14:textId="77777777" w:rsidR="00E60968" w:rsidRPr="00120153" w:rsidRDefault="00E60968" w:rsidP="00B343F3">
      <w:pPr>
        <w:jc w:val="center"/>
        <w:rPr>
          <w:rFonts w:ascii="Arial" w:hAnsi="Arial" w:cs="Arial"/>
        </w:rPr>
      </w:pPr>
      <w:r w:rsidRPr="00120153">
        <w:rPr>
          <w:rFonts w:ascii="Arial" w:hAnsi="Arial" w:cs="Arial"/>
          <w:noProof/>
        </w:rPr>
        <w:drawing>
          <wp:inline distT="0" distB="0" distL="0" distR="0" wp14:anchorId="3EBADFB1" wp14:editId="222466AA">
            <wp:extent cx="5139708" cy="2884805"/>
            <wp:effectExtent l="0" t="0" r="3810" b="0"/>
            <wp:docPr id="300767222"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413627" name="Picture 1" descr="A graph of a number of people&#10;&#10;Description automatically generated"/>
                    <pic:cNvPicPr/>
                  </pic:nvPicPr>
                  <pic:blipFill rotWithShape="1">
                    <a:blip r:embed="rId70"/>
                    <a:srcRect l="7212" t="1350" r="1924" b="3078"/>
                    <a:stretch/>
                  </pic:blipFill>
                  <pic:spPr bwMode="auto">
                    <a:xfrm>
                      <a:off x="0" y="0"/>
                      <a:ext cx="5181093" cy="2908034"/>
                    </a:xfrm>
                    <a:prstGeom prst="rect">
                      <a:avLst/>
                    </a:prstGeom>
                    <a:ln>
                      <a:noFill/>
                    </a:ln>
                    <a:extLst>
                      <a:ext uri="{53640926-AAD7-44D8-BBD7-CCE9431645EC}">
                        <a14:shadowObscured xmlns:a14="http://schemas.microsoft.com/office/drawing/2010/main"/>
                      </a:ext>
                    </a:extLst>
                  </pic:spPr>
                </pic:pic>
              </a:graphicData>
            </a:graphic>
          </wp:inline>
        </w:drawing>
      </w:r>
    </w:p>
    <w:p w14:paraId="20C19D43" w14:textId="77777777" w:rsidR="00E60968" w:rsidRPr="00B343F3" w:rsidRDefault="00E60968" w:rsidP="00B343F3">
      <w:pPr>
        <w:jc w:val="center"/>
        <w:rPr>
          <w:rFonts w:cstheme="minorHAnsi"/>
        </w:rPr>
      </w:pPr>
      <w:r w:rsidRPr="00B343F3">
        <w:rPr>
          <w:rFonts w:cstheme="minorHAnsi"/>
          <w:u w:val="single"/>
        </w:rPr>
        <w:t>Figure 1</w:t>
      </w:r>
      <w:r w:rsidRPr="00B343F3">
        <w:rPr>
          <w:rFonts w:cstheme="minorHAnsi"/>
        </w:rPr>
        <w:t>: Staff academic year &amp; gender</w:t>
      </w:r>
    </w:p>
    <w:p w14:paraId="2C7739AE" w14:textId="77777777" w:rsidR="00E60968" w:rsidRPr="00120153" w:rsidRDefault="00E60968" w:rsidP="00E60968">
      <w:pPr>
        <w:jc w:val="both"/>
        <w:rPr>
          <w:rFonts w:ascii="Arial" w:hAnsi="Arial" w:cs="Arial"/>
        </w:rPr>
      </w:pPr>
    </w:p>
    <w:p w14:paraId="04F171E6" w14:textId="77777777" w:rsidR="008E03CE" w:rsidRPr="0017357E" w:rsidRDefault="008E03CE" w:rsidP="008E03CE">
      <w:pPr>
        <w:spacing w:line="259" w:lineRule="auto"/>
        <w:jc w:val="both"/>
        <w:rPr>
          <w:rFonts w:cstheme="minorHAnsi"/>
        </w:rPr>
      </w:pPr>
    </w:p>
    <w:p w14:paraId="65F0DD30" w14:textId="77777777" w:rsidR="00612A51" w:rsidRPr="00B343F3" w:rsidRDefault="00612A51" w:rsidP="00FE31C9">
      <w:pPr>
        <w:rPr>
          <w:rFonts w:ascii="Calibri" w:hAnsi="Calibri" w:cs="Calibri"/>
        </w:rPr>
      </w:pPr>
      <w:r w:rsidRPr="00B343F3">
        <w:rPr>
          <w:rFonts w:ascii="Calibri" w:hAnsi="Calibri" w:cs="Calibri"/>
        </w:rPr>
        <w:t>Figure 2 shows that the White ethnic group consistently makes up the majority across all academic years, with a slight decline from 87% in 2018/19 to 84% in 2022/23. There is a modest increase in Asian representation, rising from 7% to 9% in recent years. Other ethnic groups, including Black, Mixed, and Other, remain low and relatively stable.</w:t>
      </w:r>
    </w:p>
    <w:p w14:paraId="64625506" w14:textId="77777777" w:rsidR="00612A51" w:rsidRPr="00120153" w:rsidRDefault="00612A51" w:rsidP="00612A51">
      <w:pPr>
        <w:jc w:val="both"/>
        <w:rPr>
          <w:rFonts w:ascii="Arial" w:hAnsi="Arial" w:cs="Arial"/>
        </w:rPr>
      </w:pPr>
    </w:p>
    <w:p w14:paraId="2B64B82C" w14:textId="77777777" w:rsidR="00612A51" w:rsidRPr="00120153" w:rsidRDefault="00612A51" w:rsidP="00B343F3">
      <w:pPr>
        <w:jc w:val="center"/>
        <w:rPr>
          <w:rFonts w:ascii="Arial" w:hAnsi="Arial" w:cs="Arial"/>
        </w:rPr>
      </w:pPr>
      <w:r>
        <w:rPr>
          <w:rFonts w:ascii="Arial" w:hAnsi="Arial" w:cs="Arial"/>
          <w:noProof/>
        </w:rPr>
        <w:lastRenderedPageBreak/>
        <w:drawing>
          <wp:inline distT="0" distB="0" distL="0" distR="0" wp14:anchorId="3B2C175A" wp14:editId="148CA978">
            <wp:extent cx="5492969" cy="2338387"/>
            <wp:effectExtent l="0" t="0" r="0" b="5080"/>
            <wp:docPr id="2036172468" name="Picture 1" descr="A graph of a number of stud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72468" name="Picture 1" descr="A graph of a number of students&#10;&#10;AI-generated content may be incorrec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06179" cy="2344011"/>
                    </a:xfrm>
                    <a:prstGeom prst="rect">
                      <a:avLst/>
                    </a:prstGeom>
                    <a:noFill/>
                  </pic:spPr>
                </pic:pic>
              </a:graphicData>
            </a:graphic>
          </wp:inline>
        </w:drawing>
      </w:r>
    </w:p>
    <w:p w14:paraId="409B4263" w14:textId="2F27FB2B" w:rsidR="00B343F3" w:rsidRDefault="00612A51" w:rsidP="00B343F3">
      <w:pPr>
        <w:jc w:val="center"/>
        <w:rPr>
          <w:rFonts w:ascii="Calibri" w:hAnsi="Calibri" w:cs="Calibri"/>
          <w:i/>
          <w:iCs/>
        </w:rPr>
      </w:pPr>
      <w:r w:rsidRPr="00B343F3">
        <w:rPr>
          <w:rFonts w:ascii="Calibri" w:hAnsi="Calibri" w:cs="Calibri"/>
          <w:u w:val="single"/>
        </w:rPr>
        <w:t>Figure 2</w:t>
      </w:r>
      <w:r w:rsidRPr="00B343F3">
        <w:rPr>
          <w:rFonts w:ascii="Calibri" w:hAnsi="Calibri" w:cs="Calibri"/>
        </w:rPr>
        <w:t>: Staff academic year &amp; ethnicity</w:t>
      </w:r>
    </w:p>
    <w:p w14:paraId="4FB6DB3E" w14:textId="77777777" w:rsidR="00B343F3" w:rsidRPr="00B343F3" w:rsidRDefault="00B343F3" w:rsidP="00B343F3">
      <w:pPr>
        <w:rPr>
          <w:rFonts w:ascii="Calibri" w:hAnsi="Calibri" w:cs="Calibri"/>
        </w:rPr>
      </w:pPr>
    </w:p>
    <w:p w14:paraId="09707B05" w14:textId="74C62310" w:rsidR="00612A51" w:rsidRPr="00B343F3" w:rsidRDefault="00612A51" w:rsidP="00B343F3">
      <w:pPr>
        <w:rPr>
          <w:rFonts w:ascii="Calibri" w:hAnsi="Calibri" w:cs="Calibri"/>
          <w:i/>
          <w:iCs/>
        </w:rPr>
      </w:pPr>
      <w:r w:rsidRPr="00B343F3">
        <w:rPr>
          <w:rFonts w:ascii="Calibri" w:hAnsi="Calibri" w:cs="Calibri"/>
          <w:i/>
          <w:iCs/>
        </w:rPr>
        <w:t xml:space="preserve">This information is also available in Table 2 </w:t>
      </w:r>
      <w:r w:rsidRPr="00FE31C9">
        <w:rPr>
          <w:rFonts w:ascii="Calibri" w:hAnsi="Calibri" w:cs="Calibri"/>
          <w:i/>
          <w:iCs/>
        </w:rPr>
        <w:t xml:space="preserve">in </w:t>
      </w:r>
      <w:r w:rsidR="009728EF">
        <w:rPr>
          <w:rFonts w:ascii="Calibri" w:hAnsi="Calibri" w:cs="Calibri"/>
          <w:i/>
          <w:iCs/>
        </w:rPr>
        <w:t>A</w:t>
      </w:r>
      <w:r w:rsidRPr="00FE31C9">
        <w:rPr>
          <w:rFonts w:ascii="Calibri" w:hAnsi="Calibri" w:cs="Calibri"/>
          <w:i/>
          <w:iCs/>
        </w:rPr>
        <w:t>ppendix</w:t>
      </w:r>
      <w:r w:rsidR="009728EF">
        <w:rPr>
          <w:rFonts w:ascii="Calibri" w:hAnsi="Calibri" w:cs="Calibri"/>
          <w:i/>
          <w:iCs/>
        </w:rPr>
        <w:t xml:space="preserve"> 4</w:t>
      </w:r>
      <w:r w:rsidRPr="00FE31C9">
        <w:rPr>
          <w:rFonts w:ascii="Calibri" w:hAnsi="Calibri" w:cs="Calibri"/>
          <w:i/>
          <w:iCs/>
        </w:rPr>
        <w:t>.</w:t>
      </w:r>
    </w:p>
    <w:p w14:paraId="6DAB0FE7" w14:textId="77777777" w:rsidR="008E03CE" w:rsidRDefault="008E03CE" w:rsidP="008E03CE">
      <w:pPr>
        <w:spacing w:line="259" w:lineRule="auto"/>
        <w:jc w:val="both"/>
        <w:rPr>
          <w:rFonts w:cstheme="minorHAnsi"/>
        </w:rPr>
      </w:pPr>
    </w:p>
    <w:p w14:paraId="26F39225" w14:textId="77777777" w:rsidR="00612A51" w:rsidRDefault="00612A51" w:rsidP="00FE31C9">
      <w:pPr>
        <w:rPr>
          <w:rFonts w:ascii="Arial" w:hAnsi="Arial" w:cs="Arial"/>
        </w:rPr>
      </w:pPr>
      <w:r w:rsidRPr="00B343F3">
        <w:rPr>
          <w:rFonts w:ascii="Calibri" w:hAnsi="Calibri" w:cs="Calibri"/>
        </w:rPr>
        <w:t>Figure 3 shows that White staff hold the highest numbers across all assignment types and grades, peaking at 4,275 in open-ended UE07–UE10 roles. Asian staff numbers increase with grade and contract type, from 75 in fixed-term roles to 280 in open-ended UE07–UE10 positions. Other ethnic groups, including Black (ranging from 10 to 40), Mixed (10 to 90), and Other (5 to 135), remain consistently lower across categories. Overall, staff numbers tend to rise with seniority and open-ended contracts, with the highest representation observed among White and Asian groups</w:t>
      </w:r>
      <w:r w:rsidRPr="00150CD5">
        <w:rPr>
          <w:rFonts w:ascii="Arial" w:hAnsi="Arial" w:cs="Arial"/>
        </w:rPr>
        <w:t>.</w:t>
      </w:r>
    </w:p>
    <w:p w14:paraId="5A855887" w14:textId="77777777" w:rsidR="00B343F3" w:rsidRDefault="00B343F3" w:rsidP="00B343F3">
      <w:pPr>
        <w:jc w:val="center"/>
        <w:rPr>
          <w:rFonts w:ascii="Arial" w:hAnsi="Arial" w:cs="Arial"/>
        </w:rPr>
      </w:pPr>
    </w:p>
    <w:p w14:paraId="693A68FC" w14:textId="77777777" w:rsidR="00612A51" w:rsidRPr="00120153" w:rsidRDefault="00612A51" w:rsidP="00B343F3">
      <w:pPr>
        <w:jc w:val="center"/>
        <w:rPr>
          <w:rFonts w:ascii="Arial" w:hAnsi="Arial" w:cs="Arial"/>
        </w:rPr>
      </w:pPr>
      <w:r>
        <w:rPr>
          <w:rFonts w:ascii="Arial" w:hAnsi="Arial" w:cs="Arial"/>
          <w:noProof/>
        </w:rPr>
        <w:drawing>
          <wp:inline distT="0" distB="0" distL="0" distR="0" wp14:anchorId="587B5597" wp14:editId="29D28C33">
            <wp:extent cx="5876925" cy="3532667"/>
            <wp:effectExtent l="0" t="0" r="0" b="0"/>
            <wp:docPr id="1267735748" name="Picture 4"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735748" name="Picture 4" descr="A graph of different colored bars&#10;&#10;AI-generated content may be incorrec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87464" cy="3539002"/>
                    </a:xfrm>
                    <a:prstGeom prst="rect">
                      <a:avLst/>
                    </a:prstGeom>
                    <a:noFill/>
                  </pic:spPr>
                </pic:pic>
              </a:graphicData>
            </a:graphic>
          </wp:inline>
        </w:drawing>
      </w:r>
    </w:p>
    <w:p w14:paraId="00DA79B2" w14:textId="77777777" w:rsidR="00612A51" w:rsidRPr="00B343F3" w:rsidRDefault="00612A51" w:rsidP="00B343F3">
      <w:pPr>
        <w:jc w:val="center"/>
        <w:rPr>
          <w:rFonts w:ascii="Calibri" w:hAnsi="Calibri" w:cs="Calibri"/>
        </w:rPr>
      </w:pPr>
      <w:r w:rsidRPr="00B343F3">
        <w:rPr>
          <w:rFonts w:ascii="Calibri" w:hAnsi="Calibri" w:cs="Calibri"/>
          <w:u w:val="single"/>
        </w:rPr>
        <w:t>Figure 3</w:t>
      </w:r>
      <w:r w:rsidRPr="00B343F3">
        <w:rPr>
          <w:rFonts w:ascii="Calibri" w:hAnsi="Calibri" w:cs="Calibri"/>
        </w:rPr>
        <w:t>: Staff assignment type, grade, and ethnicity for 2022/2023</w:t>
      </w:r>
    </w:p>
    <w:p w14:paraId="70565293" w14:textId="77777777" w:rsidR="007F03F0" w:rsidRPr="00B343F3" w:rsidRDefault="007F03F0" w:rsidP="00B343F3">
      <w:pPr>
        <w:jc w:val="center"/>
        <w:rPr>
          <w:rFonts w:cstheme="minorHAnsi"/>
        </w:rPr>
      </w:pPr>
    </w:p>
    <w:p w14:paraId="6DCAB4F9" w14:textId="77777777" w:rsidR="00D831E8" w:rsidRPr="0017357E" w:rsidRDefault="00D831E8" w:rsidP="008E03CE">
      <w:pPr>
        <w:spacing w:line="259" w:lineRule="auto"/>
        <w:jc w:val="both"/>
        <w:rPr>
          <w:rFonts w:cstheme="minorHAnsi"/>
        </w:rPr>
      </w:pPr>
    </w:p>
    <w:p w14:paraId="4DE747E5" w14:textId="77777777" w:rsidR="008E03CE" w:rsidRPr="0017357E" w:rsidRDefault="008E03CE" w:rsidP="008E03CE">
      <w:pPr>
        <w:spacing w:line="259" w:lineRule="auto"/>
        <w:jc w:val="center"/>
      </w:pPr>
      <w:r w:rsidRPr="0017357E">
        <w:rPr>
          <w:rFonts w:cstheme="minorHAnsi"/>
          <w:noProof/>
        </w:rPr>
        <w:lastRenderedPageBreak/>
        <w:drawing>
          <wp:inline distT="0" distB="0" distL="0" distR="0" wp14:anchorId="71A6C46A" wp14:editId="25CA0567">
            <wp:extent cx="5564406" cy="2887427"/>
            <wp:effectExtent l="0" t="0" r="0" b="8255"/>
            <wp:docPr id="984946290" name="Picture 1" descr="A graph with different colore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46290" name="Picture 1" descr="A graph with different colored squares"/>
                    <pic:cNvPicPr/>
                  </pic:nvPicPr>
                  <pic:blipFill rotWithShape="1">
                    <a:blip r:embed="rId73"/>
                    <a:srcRect t="4002"/>
                    <a:stretch/>
                  </pic:blipFill>
                  <pic:spPr bwMode="auto">
                    <a:xfrm>
                      <a:off x="0" y="0"/>
                      <a:ext cx="5571731" cy="2891228"/>
                    </a:xfrm>
                    <a:prstGeom prst="rect">
                      <a:avLst/>
                    </a:prstGeom>
                    <a:ln>
                      <a:noFill/>
                    </a:ln>
                    <a:extLst>
                      <a:ext uri="{53640926-AAD7-44D8-BBD7-CCE9431645EC}">
                        <a14:shadowObscured xmlns:a14="http://schemas.microsoft.com/office/drawing/2010/main"/>
                      </a:ext>
                    </a:extLst>
                  </pic:spPr>
                </pic:pic>
              </a:graphicData>
            </a:graphic>
          </wp:inline>
        </w:drawing>
      </w:r>
    </w:p>
    <w:p w14:paraId="5F915732" w14:textId="77777777" w:rsidR="008E03CE" w:rsidRPr="0017357E" w:rsidRDefault="008E03CE" w:rsidP="008E03CE">
      <w:pPr>
        <w:spacing w:line="259" w:lineRule="auto"/>
        <w:jc w:val="both"/>
        <w:rPr>
          <w:rFonts w:cstheme="minorHAnsi"/>
        </w:rPr>
      </w:pPr>
    </w:p>
    <w:p w14:paraId="3E7D9A2E" w14:textId="12E9D9DD" w:rsidR="008E03CE" w:rsidRPr="0017357E" w:rsidRDefault="0050618F" w:rsidP="00FE31C9">
      <w:pPr>
        <w:rPr>
          <w:rFonts w:cstheme="minorHAnsi"/>
        </w:rPr>
      </w:pPr>
      <w:r w:rsidRPr="00B343F3">
        <w:rPr>
          <w:rFonts w:ascii="Calibri" w:hAnsi="Calibri" w:cs="Calibri"/>
        </w:rPr>
        <w:t>Figure 4 shows the distribution of staff by gender, grade and ethnicity in 2022/2023. In every grade level, for both male and female staff, White employees make up the largest group, accounting for over 80% in most categories. Asian and Mixed ethnic groups have smaller but visible proportions, while Black and Other ethnicities are present in very low percentages, usually below 5%, though Asian staff have slightly higher representation in some male categories. Non-White groups are somewhat more represented in the lower grades (UE01-03), especially among male staff. Despite this, the overall staff composition across all grades remains predominantly White.</w:t>
      </w:r>
    </w:p>
    <w:p w14:paraId="73909C9E" w14:textId="77777777" w:rsidR="008E03CE" w:rsidRPr="0017357E" w:rsidRDefault="008E03CE" w:rsidP="008E03CE">
      <w:pPr>
        <w:spacing w:line="259" w:lineRule="auto"/>
        <w:jc w:val="both"/>
        <w:rPr>
          <w:rFonts w:cstheme="minorHAnsi"/>
        </w:rPr>
      </w:pPr>
    </w:p>
    <w:p w14:paraId="2102CF95" w14:textId="418D4436" w:rsidR="0050618F" w:rsidRPr="00120153" w:rsidRDefault="0050618F" w:rsidP="0050618F">
      <w:pPr>
        <w:jc w:val="both"/>
        <w:rPr>
          <w:rFonts w:ascii="Arial" w:hAnsi="Arial" w:cs="Arial"/>
        </w:rPr>
      </w:pPr>
      <w:r w:rsidRPr="0050618F">
        <w:rPr>
          <w:rFonts w:ascii="Arial" w:hAnsi="Arial" w:cs="Arial"/>
          <w:noProof/>
        </w:rPr>
        <w:t xml:space="preserve"> </w:t>
      </w:r>
      <w:r w:rsidRPr="00120153">
        <w:rPr>
          <w:rFonts w:ascii="Arial" w:hAnsi="Arial" w:cs="Arial"/>
          <w:noProof/>
        </w:rPr>
        <w:drawing>
          <wp:inline distT="0" distB="0" distL="0" distR="0" wp14:anchorId="01D32C40" wp14:editId="1D5539FE">
            <wp:extent cx="5943600" cy="3084556"/>
            <wp:effectExtent l="0" t="0" r="0" b="1905"/>
            <wp:docPr id="1238543862" name="Picture 1" descr="A graph with different colored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833539" name="Picture 1" descr="A graph with different colored rectangles&#10;&#10;Description automatically generated"/>
                    <pic:cNvPicPr/>
                  </pic:nvPicPr>
                  <pic:blipFill rotWithShape="1">
                    <a:blip r:embed="rId74"/>
                    <a:srcRect t="3996"/>
                    <a:stretch/>
                  </pic:blipFill>
                  <pic:spPr bwMode="auto">
                    <a:xfrm>
                      <a:off x="0" y="0"/>
                      <a:ext cx="5943600" cy="3084556"/>
                    </a:xfrm>
                    <a:prstGeom prst="rect">
                      <a:avLst/>
                    </a:prstGeom>
                    <a:ln>
                      <a:noFill/>
                    </a:ln>
                    <a:extLst>
                      <a:ext uri="{53640926-AAD7-44D8-BBD7-CCE9431645EC}">
                        <a14:shadowObscured xmlns:a14="http://schemas.microsoft.com/office/drawing/2010/main"/>
                      </a:ext>
                    </a:extLst>
                  </pic:spPr>
                </pic:pic>
              </a:graphicData>
            </a:graphic>
          </wp:inline>
        </w:drawing>
      </w:r>
    </w:p>
    <w:p w14:paraId="03E2543C" w14:textId="77777777" w:rsidR="0050618F" w:rsidRPr="00B343F3" w:rsidRDefault="0050618F" w:rsidP="00B343F3">
      <w:pPr>
        <w:jc w:val="center"/>
        <w:rPr>
          <w:rFonts w:cstheme="minorHAnsi"/>
        </w:rPr>
      </w:pPr>
      <w:r w:rsidRPr="00B343F3">
        <w:rPr>
          <w:rFonts w:cstheme="minorHAnsi"/>
          <w:u w:val="single"/>
        </w:rPr>
        <w:t>Figure 4</w:t>
      </w:r>
      <w:r w:rsidRPr="00B343F3">
        <w:rPr>
          <w:rFonts w:cstheme="minorHAnsi"/>
        </w:rPr>
        <w:t>: Staff grades recategorised by gender and ethnicity for 2022/2023</w:t>
      </w:r>
    </w:p>
    <w:p w14:paraId="358915F4" w14:textId="77777777" w:rsidR="0050618F" w:rsidRPr="00B343F3" w:rsidRDefault="0050618F" w:rsidP="0050618F">
      <w:pPr>
        <w:jc w:val="both"/>
        <w:rPr>
          <w:rFonts w:cstheme="minorHAnsi"/>
        </w:rPr>
      </w:pPr>
    </w:p>
    <w:p w14:paraId="1CC631C1" w14:textId="4DE9EBEC" w:rsidR="0050618F" w:rsidRPr="00B343F3" w:rsidRDefault="0050618F" w:rsidP="0050618F">
      <w:pPr>
        <w:jc w:val="both"/>
        <w:rPr>
          <w:rFonts w:cstheme="minorHAnsi"/>
          <w:i/>
          <w:iCs/>
        </w:rPr>
      </w:pPr>
      <w:r w:rsidRPr="00B343F3">
        <w:rPr>
          <w:rFonts w:cstheme="minorHAnsi"/>
          <w:i/>
          <w:iCs/>
        </w:rPr>
        <w:t xml:space="preserve">This information is also available in Table 17 in </w:t>
      </w:r>
      <w:r w:rsidR="009728EF">
        <w:rPr>
          <w:rFonts w:cstheme="minorHAnsi"/>
          <w:i/>
          <w:iCs/>
        </w:rPr>
        <w:t>Appendix 4.</w:t>
      </w:r>
    </w:p>
    <w:p w14:paraId="7A6F762D" w14:textId="77777777" w:rsidR="0050618F" w:rsidRPr="00B343F3" w:rsidRDefault="0050618F" w:rsidP="0050618F">
      <w:pPr>
        <w:jc w:val="both"/>
        <w:rPr>
          <w:rFonts w:cstheme="minorHAnsi"/>
        </w:rPr>
      </w:pPr>
    </w:p>
    <w:p w14:paraId="49D03DAA" w14:textId="729AE0FB" w:rsidR="008E03CE" w:rsidRDefault="0050618F" w:rsidP="00B343F3">
      <w:pPr>
        <w:jc w:val="both"/>
        <w:rPr>
          <w:rFonts w:cstheme="minorHAnsi"/>
        </w:rPr>
      </w:pPr>
      <w:r w:rsidRPr="00B343F3">
        <w:rPr>
          <w:rFonts w:ascii="Calibri" w:hAnsi="Calibri" w:cs="Calibri"/>
        </w:rPr>
        <w:lastRenderedPageBreak/>
        <w:t>The 2022/23 staff demographics reveal that the workforce is still mainly White, making up 84%. Asian staff account for 9%, while Black staff remain under</w:t>
      </w:r>
      <w:r w:rsidR="00347E19">
        <w:rPr>
          <w:rFonts w:ascii="Calibri" w:hAnsi="Calibri" w:cs="Calibri"/>
        </w:rPr>
        <w:t>-</w:t>
      </w:r>
      <w:r w:rsidRPr="00B343F3">
        <w:rPr>
          <w:rFonts w:ascii="Calibri" w:hAnsi="Calibri" w:cs="Calibri"/>
        </w:rPr>
        <w:t>represented at just 1%. Diversity continues to drop at higher grade levels, with White staff being more common in these roles (Table 8).</w:t>
      </w:r>
    </w:p>
    <w:p w14:paraId="321FDA27" w14:textId="77777777" w:rsidR="00F86DBA" w:rsidRDefault="00F86DBA" w:rsidP="00F86DBA">
      <w:pPr>
        <w:spacing w:line="259" w:lineRule="auto"/>
        <w:jc w:val="both"/>
        <w:rPr>
          <w:rFonts w:cstheme="minorHAnsi"/>
        </w:rPr>
      </w:pPr>
    </w:p>
    <w:p w14:paraId="74C3B7DF" w14:textId="77777777" w:rsidR="00F86DBA" w:rsidRPr="00120153" w:rsidRDefault="00F86DBA" w:rsidP="00F86DBA">
      <w:pPr>
        <w:jc w:val="both"/>
        <w:rPr>
          <w:rFonts w:ascii="Arial" w:hAnsi="Arial" w:cs="Arial"/>
        </w:rPr>
      </w:pPr>
      <w:r w:rsidRPr="00150CD5">
        <w:rPr>
          <w:noProof/>
        </w:rPr>
        <w:drawing>
          <wp:inline distT="0" distB="0" distL="0" distR="0" wp14:anchorId="763DDAB1" wp14:editId="3DFBA912">
            <wp:extent cx="5943600" cy="2393315"/>
            <wp:effectExtent l="0" t="0" r="0" b="6985"/>
            <wp:docPr id="757839253"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39253" name="Picture 1" descr="A table with numbers and symbols&#10;&#10;AI-generated content may be incorrect."/>
                    <pic:cNvPicPr/>
                  </pic:nvPicPr>
                  <pic:blipFill>
                    <a:blip r:embed="rId75"/>
                    <a:stretch>
                      <a:fillRect/>
                    </a:stretch>
                  </pic:blipFill>
                  <pic:spPr>
                    <a:xfrm>
                      <a:off x="0" y="0"/>
                      <a:ext cx="5943600" cy="2393315"/>
                    </a:xfrm>
                    <a:prstGeom prst="rect">
                      <a:avLst/>
                    </a:prstGeom>
                  </pic:spPr>
                </pic:pic>
              </a:graphicData>
            </a:graphic>
          </wp:inline>
        </w:drawing>
      </w:r>
    </w:p>
    <w:p w14:paraId="573686C6" w14:textId="77777777" w:rsidR="00B343F3" w:rsidRPr="001233C9" w:rsidRDefault="00B343F3" w:rsidP="00B343F3">
      <w:pPr>
        <w:jc w:val="center"/>
        <w:rPr>
          <w:rFonts w:ascii="Calibri" w:hAnsi="Calibri" w:cs="Calibri"/>
        </w:rPr>
      </w:pPr>
      <w:r w:rsidRPr="00B343F3">
        <w:rPr>
          <w:rFonts w:ascii="Calibri" w:hAnsi="Calibri" w:cs="Calibri"/>
          <w:u w:val="single"/>
        </w:rPr>
        <w:t>Table 8</w:t>
      </w:r>
      <w:r w:rsidRPr="001233C9">
        <w:rPr>
          <w:rFonts w:ascii="Calibri" w:hAnsi="Calibri" w:cs="Calibri"/>
        </w:rPr>
        <w:t>: 2022/2023 Staff ethnicity and grade code</w:t>
      </w:r>
    </w:p>
    <w:p w14:paraId="1371D7FB" w14:textId="77777777" w:rsidR="00F86DBA" w:rsidRPr="00120153" w:rsidRDefault="00F86DBA" w:rsidP="00B343F3">
      <w:pPr>
        <w:jc w:val="center"/>
        <w:rPr>
          <w:rFonts w:ascii="Arial" w:hAnsi="Arial" w:cs="Arial"/>
        </w:rPr>
      </w:pPr>
    </w:p>
    <w:p w14:paraId="2F0231B4" w14:textId="1D0D3657" w:rsidR="00F86DBA" w:rsidRPr="00D72A0F" w:rsidRDefault="00F86DBA" w:rsidP="00AE3304">
      <w:pPr>
        <w:rPr>
          <w:rFonts w:cstheme="minorHAnsi"/>
        </w:rPr>
      </w:pPr>
      <w:r w:rsidRPr="00D72A0F">
        <w:rPr>
          <w:rFonts w:cstheme="minorHAnsi"/>
        </w:rPr>
        <w:t>Table 14 (</w:t>
      </w:r>
      <w:r w:rsidR="0003698A">
        <w:rPr>
          <w:rFonts w:cstheme="minorHAnsi"/>
        </w:rPr>
        <w:t>Appendix 4)</w:t>
      </w:r>
      <w:r w:rsidRPr="00D72A0F">
        <w:rPr>
          <w:rFonts w:cstheme="minorHAnsi"/>
        </w:rPr>
        <w:t>shows that White staff consistently make up the majority of the workforce, with numbers ranging between 7,015 and 7,600 in the UE06</w:t>
      </w:r>
      <w:r w:rsidR="00B343F3" w:rsidRPr="00D72A0F">
        <w:rPr>
          <w:rFonts w:ascii="Calibri" w:hAnsi="Calibri" w:cs="Calibri"/>
        </w:rPr>
        <w:t>–</w:t>
      </w:r>
      <w:r w:rsidRPr="00D72A0F">
        <w:rPr>
          <w:rFonts w:cstheme="minorHAnsi"/>
        </w:rPr>
        <w:t xml:space="preserve">10 grade levels over the </w:t>
      </w:r>
      <w:r w:rsidR="00347E19">
        <w:rPr>
          <w:rFonts w:cstheme="minorHAnsi"/>
        </w:rPr>
        <w:t>p</w:t>
      </w:r>
      <w:r w:rsidRPr="00D72A0F">
        <w:rPr>
          <w:rFonts w:cstheme="minorHAnsi"/>
        </w:rPr>
        <w:t>ast five years. Asian staff have seen some growth in these grades, rising from 690 in 2018/19 to 865 in 2022/23. Black and mixed-ethnicity staff remain under</w:t>
      </w:r>
      <w:r w:rsidR="00347E19">
        <w:rPr>
          <w:rFonts w:cstheme="minorHAnsi"/>
        </w:rPr>
        <w:t>-</w:t>
      </w:r>
      <w:r w:rsidRPr="00D72A0F">
        <w:rPr>
          <w:rFonts w:cstheme="minorHAnsi"/>
        </w:rPr>
        <w:t>represented, with Black staff in UE06</w:t>
      </w:r>
      <w:r w:rsidR="00B343F3" w:rsidRPr="00D72A0F">
        <w:rPr>
          <w:rFonts w:ascii="Calibri" w:hAnsi="Calibri" w:cs="Calibri"/>
        </w:rPr>
        <w:t>–</w:t>
      </w:r>
      <w:r w:rsidRPr="00D72A0F">
        <w:rPr>
          <w:rFonts w:cstheme="minorHAnsi"/>
        </w:rPr>
        <w:t xml:space="preserve">10 reaching a peak of 105  in 2022/23. Mixed-ethnicity staff peak at 245 in 2021/22, showing a slight decrease in 2022/23. In terms of gender, males are more common in higher grades, while females are more frequently in lower grades, with White females in UE06-10 numbering between 3,540 and 3,970 over the </w:t>
      </w:r>
      <w:r w:rsidR="00CE72D4" w:rsidRPr="00D72A0F">
        <w:rPr>
          <w:rFonts w:cstheme="minorHAnsi"/>
        </w:rPr>
        <w:t xml:space="preserve">last five </w:t>
      </w:r>
      <w:r w:rsidRPr="00D72A0F">
        <w:rPr>
          <w:rFonts w:cstheme="minorHAnsi"/>
        </w:rPr>
        <w:t>years. Although there have been some increases in diversity,</w:t>
      </w:r>
      <w:r w:rsidR="00CE72D4" w:rsidRPr="00D72A0F">
        <w:rPr>
          <w:rFonts w:cstheme="minorHAnsi"/>
        </w:rPr>
        <w:t xml:space="preserve"> most notably among Asian staff in grades UE06-10,</w:t>
      </w:r>
      <w:r w:rsidRPr="00D72A0F">
        <w:rPr>
          <w:rFonts w:cstheme="minorHAnsi"/>
        </w:rPr>
        <w:t xml:space="preserve"> the workforce remains predominantly White.</w:t>
      </w:r>
    </w:p>
    <w:p w14:paraId="0239960B" w14:textId="0D5D2CAD" w:rsidR="00F86DBA" w:rsidRPr="00D72A0F" w:rsidRDefault="00F86DBA" w:rsidP="00AE3304">
      <w:pPr>
        <w:ind w:firstLine="720"/>
        <w:rPr>
          <w:rFonts w:cstheme="minorHAnsi"/>
        </w:rPr>
      </w:pPr>
      <w:r w:rsidRPr="00D72A0F">
        <w:rPr>
          <w:rFonts w:cstheme="minorHAnsi"/>
        </w:rPr>
        <w:t xml:space="preserve">Table 16 in </w:t>
      </w:r>
      <w:r w:rsidR="00AE3304" w:rsidRPr="00057638">
        <w:rPr>
          <w:rFonts w:cstheme="minorHAnsi"/>
        </w:rPr>
        <w:t>A</w:t>
      </w:r>
      <w:r w:rsidRPr="00057638">
        <w:rPr>
          <w:rFonts w:cstheme="minorHAnsi"/>
        </w:rPr>
        <w:t>ppendix</w:t>
      </w:r>
      <w:r w:rsidR="00AE3304" w:rsidRPr="00AE3304">
        <w:rPr>
          <w:rFonts w:cstheme="minorHAnsi"/>
        </w:rPr>
        <w:t xml:space="preserve"> 4</w:t>
      </w:r>
      <w:r w:rsidRPr="00D72A0F">
        <w:rPr>
          <w:rFonts w:cstheme="minorHAnsi"/>
        </w:rPr>
        <w:t xml:space="preserve"> shows the nationality breakdown of staff by ethnicity 2022/ 23. Non-UK staff make up 30% of the workforce, with most being White, followed by smaller numbers of Asian, Mixed, and Black staff. UK staff make up 62%, with a higher proportion of White staff and very few from other ethnicities. The </w:t>
      </w:r>
      <w:r w:rsidR="00B343F3" w:rsidRPr="00D72A0F">
        <w:rPr>
          <w:rFonts w:cstheme="minorHAnsi"/>
        </w:rPr>
        <w:t>“</w:t>
      </w:r>
      <w:r w:rsidRPr="00D72A0F">
        <w:rPr>
          <w:rFonts w:cstheme="minorHAnsi"/>
        </w:rPr>
        <w:t>Unknown</w:t>
      </w:r>
      <w:r w:rsidR="00B343F3" w:rsidRPr="00D72A0F">
        <w:rPr>
          <w:rFonts w:cstheme="minorHAnsi"/>
        </w:rPr>
        <w:t>”</w:t>
      </w:r>
      <w:r w:rsidRPr="00D72A0F">
        <w:rPr>
          <w:rFonts w:cstheme="minorHAnsi"/>
        </w:rPr>
        <w:t xml:space="preserve"> category is 4% of the total, mostly White, with small percentages of Asian, Black, Mixed, and Other groups.</w:t>
      </w:r>
    </w:p>
    <w:p w14:paraId="547EFEE0" w14:textId="77777777" w:rsidR="008E03CE" w:rsidRPr="00D72A0F" w:rsidRDefault="008E03CE" w:rsidP="008E03CE">
      <w:pPr>
        <w:spacing w:line="259" w:lineRule="auto"/>
        <w:jc w:val="both"/>
        <w:rPr>
          <w:rFonts w:cstheme="minorHAnsi"/>
        </w:rPr>
      </w:pPr>
    </w:p>
    <w:p w14:paraId="2704CB11" w14:textId="77777777" w:rsidR="008E03CE" w:rsidRPr="00D72A0F" w:rsidRDefault="008E03CE" w:rsidP="008E03CE">
      <w:pPr>
        <w:pStyle w:val="Heading2"/>
      </w:pPr>
      <w:bookmarkStart w:id="60" w:name="_Toc190939420"/>
      <w:bookmarkStart w:id="61" w:name="_Toc202627103"/>
      <w:r w:rsidRPr="00D72A0F">
        <w:t>Staff Regression Analysis Results</w:t>
      </w:r>
      <w:bookmarkEnd w:id="60"/>
      <w:bookmarkEnd w:id="61"/>
    </w:p>
    <w:p w14:paraId="7DEF1008" w14:textId="5B2CE06D" w:rsidR="008E03CE" w:rsidRDefault="008E03CE" w:rsidP="00AE3304">
      <w:pPr>
        <w:spacing w:line="259" w:lineRule="auto"/>
      </w:pPr>
      <w:r w:rsidRPr="00D72A0F">
        <w:t>The regression analysis in Table 18 (</w:t>
      </w:r>
      <w:r w:rsidR="00DB6682" w:rsidRPr="00D72A0F">
        <w:t>A</w:t>
      </w:r>
      <w:r w:rsidRPr="00D72A0F">
        <w:t>ppendix</w:t>
      </w:r>
      <w:r w:rsidR="00DB6682" w:rsidRPr="00D72A0F">
        <w:t xml:space="preserve"> 4</w:t>
      </w:r>
      <w:r w:rsidRPr="00D72A0F">
        <w:t>) looks at the connection between staff</w:t>
      </w:r>
      <w:r w:rsidRPr="19D534DB">
        <w:t xml:space="preserve"> ethnicity and the likelihood of working part</w:t>
      </w:r>
      <w:r w:rsidR="00F96E2D">
        <w:t xml:space="preserve"> </w:t>
      </w:r>
      <w:r w:rsidRPr="19D534DB">
        <w:t xml:space="preserve">time, using </w:t>
      </w:r>
      <w:r w:rsidR="00F96E2D">
        <w:t>W</w:t>
      </w:r>
      <w:r w:rsidRPr="19D534DB">
        <w:t>hite staff as the baseline for comparison.</w:t>
      </w:r>
      <w:r w:rsidR="000A57C9">
        <w:rPr>
          <w:rStyle w:val="FootnoteReference"/>
        </w:rPr>
        <w:footnoteReference w:id="166"/>
      </w:r>
      <w:r w:rsidRPr="19D534DB">
        <w:t xml:space="preserve"> The results show that Asian staff and staff from Othe</w:t>
      </w:r>
      <w:r w:rsidR="003732BF">
        <w:t>r</w:t>
      </w:r>
      <w:r w:rsidRPr="19D534DB">
        <w:t xml:space="preserve"> ethnic backgrounds </w:t>
      </w:r>
      <w:r w:rsidRPr="19D534DB">
        <w:lastRenderedPageBreak/>
        <w:t xml:space="preserve">are much less likely than </w:t>
      </w:r>
      <w:r w:rsidR="00F96E2D">
        <w:t>W</w:t>
      </w:r>
      <w:r w:rsidRPr="19D534DB">
        <w:t>hite staff to have part-time contracts, with odds ratios of 0.68 and 0.72. This means they have a lower chance of working part</w:t>
      </w:r>
      <w:r w:rsidR="00F96E2D">
        <w:t xml:space="preserve"> </w:t>
      </w:r>
      <w:r w:rsidRPr="19D534DB">
        <w:t>time, and the results are strong and reliable. For Black and Mixed-ethnicity staff, there</w:t>
      </w:r>
      <w:r w:rsidR="00A16DD9">
        <w:t xml:space="preserve"> is</w:t>
      </w:r>
      <w:r w:rsidRPr="19D534DB">
        <w:t xml:space="preserve"> no meaningful difference compared to </w:t>
      </w:r>
      <w:r w:rsidR="00F96E2D">
        <w:t>W</w:t>
      </w:r>
      <w:r w:rsidRPr="19D534DB">
        <w:t>hite staff when it comes to having a part-time contract. Their odds ratios are close to 1, indicating that ethnicity does</w:t>
      </w:r>
      <w:r w:rsidR="00A16DD9">
        <w:t xml:space="preserve"> not</w:t>
      </w:r>
      <w:r w:rsidRPr="19D534DB">
        <w:t xml:space="preserve"> significantly affect the likelihood of part-time work for these groups.</w:t>
      </w:r>
    </w:p>
    <w:p w14:paraId="57470056" w14:textId="24C8FA19" w:rsidR="008E03CE" w:rsidRDefault="008E03CE" w:rsidP="00F50D56">
      <w:pPr>
        <w:spacing w:line="259" w:lineRule="auto"/>
        <w:ind w:firstLine="720"/>
        <w:rPr>
          <w:rFonts w:cstheme="minorHAnsi"/>
        </w:rPr>
      </w:pPr>
      <w:r w:rsidRPr="0017357E">
        <w:rPr>
          <w:rFonts w:cstheme="minorHAnsi"/>
        </w:rPr>
        <w:t xml:space="preserve">The regression analysis in Table </w:t>
      </w:r>
      <w:r w:rsidR="00C10CF2">
        <w:rPr>
          <w:rFonts w:cstheme="minorHAnsi"/>
        </w:rPr>
        <w:t>19</w:t>
      </w:r>
      <w:r w:rsidRPr="0017357E">
        <w:rPr>
          <w:rFonts w:cstheme="minorHAnsi"/>
        </w:rPr>
        <w:t xml:space="preserve"> below looks at the relationship between staff ethnicity and gender, using </w:t>
      </w:r>
      <w:r w:rsidR="00F96E2D">
        <w:rPr>
          <w:rFonts w:cstheme="minorHAnsi"/>
        </w:rPr>
        <w:t>W</w:t>
      </w:r>
      <w:r w:rsidRPr="0017357E">
        <w:rPr>
          <w:rFonts w:cstheme="minorHAnsi"/>
        </w:rPr>
        <w:t xml:space="preserve">hite staff as the baseline group and focusing on the likelihood of being male. The results show that Asian staff are 21% more likely than </w:t>
      </w:r>
      <w:r w:rsidR="00F96E2D">
        <w:rPr>
          <w:rFonts w:cstheme="minorHAnsi"/>
        </w:rPr>
        <w:t>W</w:t>
      </w:r>
      <w:r w:rsidR="00F96E2D" w:rsidRPr="0017357E">
        <w:rPr>
          <w:rFonts w:cstheme="minorHAnsi"/>
        </w:rPr>
        <w:t xml:space="preserve">hite </w:t>
      </w:r>
      <w:r w:rsidRPr="0017357E">
        <w:rPr>
          <w:rFonts w:cstheme="minorHAnsi"/>
        </w:rPr>
        <w:t xml:space="preserve">staff to be male, and this difference is statistically significant. Similarly, Black staff are 65% more likely than </w:t>
      </w:r>
      <w:r w:rsidR="00F96E2D">
        <w:rPr>
          <w:rFonts w:cstheme="minorHAnsi"/>
        </w:rPr>
        <w:t>W</w:t>
      </w:r>
      <w:r w:rsidRPr="0017357E">
        <w:rPr>
          <w:rFonts w:cstheme="minorHAnsi"/>
        </w:rPr>
        <w:t>hite staff to be male, with this result also</w:t>
      </w:r>
      <w:r>
        <w:rPr>
          <w:rFonts w:cstheme="minorHAnsi"/>
        </w:rPr>
        <w:t xml:space="preserve"> being</w:t>
      </w:r>
      <w:r w:rsidRPr="0017357E">
        <w:rPr>
          <w:rFonts w:cstheme="minorHAnsi"/>
        </w:rPr>
        <w:t xml:space="preserve"> statistically significant. Both findings are supported by confidence intervals that indicate a reliable association. For Mixed-ethnicity staff and those from Other ethnicities, there is no significant difference in the likelihood of being male when compared to </w:t>
      </w:r>
      <w:r w:rsidR="007B2EEF">
        <w:rPr>
          <w:rFonts w:cstheme="minorHAnsi"/>
        </w:rPr>
        <w:t>w</w:t>
      </w:r>
      <w:r w:rsidRPr="0017357E">
        <w:rPr>
          <w:rFonts w:cstheme="minorHAnsi"/>
        </w:rPr>
        <w:t xml:space="preserve">hite staff. In these groups, the odds ratio is close to 1, and the confidence interval includes 1, indicating no meaningful gender difference compared to </w:t>
      </w:r>
      <w:r w:rsidR="00F96E2D">
        <w:rPr>
          <w:rFonts w:cstheme="minorHAnsi"/>
        </w:rPr>
        <w:t>W</w:t>
      </w:r>
      <w:r w:rsidRPr="0017357E">
        <w:rPr>
          <w:rFonts w:cstheme="minorHAnsi"/>
        </w:rPr>
        <w:t xml:space="preserve">hite staff. This aligns with a general hiring trend where, if a </w:t>
      </w:r>
      <w:r w:rsidR="007B2EEF">
        <w:rPr>
          <w:rFonts w:cstheme="minorHAnsi"/>
        </w:rPr>
        <w:t>w</w:t>
      </w:r>
      <w:r w:rsidRPr="0017357E">
        <w:rPr>
          <w:rFonts w:cstheme="minorHAnsi"/>
        </w:rPr>
        <w:t xml:space="preserve">hite person is hired, </w:t>
      </w:r>
      <w:r>
        <w:rPr>
          <w:rFonts w:cstheme="minorHAnsi"/>
        </w:rPr>
        <w:t xml:space="preserve">they are </w:t>
      </w:r>
      <w:r w:rsidRPr="0017357E">
        <w:rPr>
          <w:rFonts w:cstheme="minorHAnsi"/>
        </w:rPr>
        <w:t>more likely to be a female, whereas this pattern does not appear as strongly in other minority groups.</w:t>
      </w:r>
    </w:p>
    <w:p w14:paraId="59E4BFA1" w14:textId="77777777" w:rsidR="008E03CE" w:rsidRPr="0017357E" w:rsidRDefault="008E03CE" w:rsidP="008E03CE">
      <w:pPr>
        <w:spacing w:line="259" w:lineRule="auto"/>
        <w:ind w:firstLine="720"/>
        <w:jc w:val="both"/>
        <w:rPr>
          <w:rFonts w:cstheme="minorHAnsi"/>
        </w:rPr>
      </w:pPr>
    </w:p>
    <w:p w14:paraId="2D744FC3" w14:textId="77777777" w:rsidR="00E3658A" w:rsidRPr="000203D1" w:rsidRDefault="00E3658A" w:rsidP="008E03CE">
      <w:pPr>
        <w:spacing w:line="259" w:lineRule="auto"/>
        <w:jc w:val="both"/>
        <w:rPr>
          <w:rFonts w:cstheme="minorHAnsi"/>
        </w:rPr>
      </w:pPr>
    </w:p>
    <w:tbl>
      <w:tblPr>
        <w:tblStyle w:val="TableGrid"/>
        <w:tblW w:w="9501" w:type="dxa"/>
        <w:tblLook w:val="04A0" w:firstRow="1" w:lastRow="0" w:firstColumn="1" w:lastColumn="0" w:noHBand="0" w:noVBand="1"/>
      </w:tblPr>
      <w:tblGrid>
        <w:gridCol w:w="2464"/>
        <w:gridCol w:w="2351"/>
        <w:gridCol w:w="2354"/>
        <w:gridCol w:w="2332"/>
      </w:tblGrid>
      <w:tr w:rsidR="008E03CE" w:rsidRPr="0017357E" w14:paraId="1D75148D" w14:textId="77777777" w:rsidTr="00A7403D">
        <w:tc>
          <w:tcPr>
            <w:tcW w:w="2464" w:type="dxa"/>
          </w:tcPr>
          <w:p w14:paraId="6B0A93A4" w14:textId="77777777" w:rsidR="008E03CE" w:rsidRPr="0017357E" w:rsidRDefault="008E03CE" w:rsidP="00A7403D">
            <w:pPr>
              <w:spacing w:line="259" w:lineRule="auto"/>
              <w:jc w:val="both"/>
              <w:rPr>
                <w:rFonts w:cstheme="minorHAnsi"/>
                <w:b/>
                <w:bCs/>
              </w:rPr>
            </w:pPr>
            <w:r w:rsidRPr="0017357E">
              <w:rPr>
                <w:rFonts w:cstheme="minorHAnsi"/>
                <w:b/>
                <w:bCs/>
              </w:rPr>
              <w:t>Ethnicity</w:t>
            </w:r>
          </w:p>
        </w:tc>
        <w:tc>
          <w:tcPr>
            <w:tcW w:w="2351" w:type="dxa"/>
          </w:tcPr>
          <w:p w14:paraId="0FCEFBE8" w14:textId="77777777" w:rsidR="008E03CE" w:rsidRPr="0017357E" w:rsidRDefault="008E03CE" w:rsidP="00A7403D">
            <w:pPr>
              <w:spacing w:line="259" w:lineRule="auto"/>
              <w:jc w:val="both"/>
              <w:rPr>
                <w:rFonts w:cstheme="minorHAnsi"/>
                <w:b/>
                <w:bCs/>
              </w:rPr>
            </w:pPr>
            <w:r w:rsidRPr="0017357E">
              <w:rPr>
                <w:rFonts w:cstheme="minorHAnsi"/>
                <w:b/>
                <w:bCs/>
              </w:rPr>
              <w:t>Odds ratio</w:t>
            </w:r>
          </w:p>
        </w:tc>
        <w:tc>
          <w:tcPr>
            <w:tcW w:w="2354" w:type="dxa"/>
          </w:tcPr>
          <w:p w14:paraId="12A2BA64" w14:textId="77777777" w:rsidR="008E03CE" w:rsidRPr="0017357E" w:rsidRDefault="008E03CE" w:rsidP="00A7403D">
            <w:pPr>
              <w:spacing w:line="259" w:lineRule="auto"/>
              <w:jc w:val="both"/>
              <w:rPr>
                <w:rFonts w:cstheme="minorHAnsi"/>
                <w:b/>
                <w:bCs/>
              </w:rPr>
            </w:pPr>
            <w:r w:rsidRPr="0017357E">
              <w:rPr>
                <w:rFonts w:cstheme="minorHAnsi"/>
                <w:b/>
                <w:bCs/>
              </w:rPr>
              <w:t>P-value</w:t>
            </w:r>
          </w:p>
        </w:tc>
        <w:tc>
          <w:tcPr>
            <w:tcW w:w="2332" w:type="dxa"/>
          </w:tcPr>
          <w:p w14:paraId="07D55045" w14:textId="77777777" w:rsidR="008E03CE" w:rsidRPr="0017357E" w:rsidRDefault="008E03CE" w:rsidP="00A7403D">
            <w:pPr>
              <w:spacing w:line="259" w:lineRule="auto"/>
              <w:jc w:val="both"/>
              <w:rPr>
                <w:rFonts w:cstheme="minorHAnsi"/>
                <w:b/>
                <w:bCs/>
              </w:rPr>
            </w:pPr>
            <w:r w:rsidRPr="0017357E">
              <w:rPr>
                <w:rFonts w:cstheme="minorHAnsi"/>
                <w:b/>
                <w:bCs/>
              </w:rPr>
              <w:t>Confidence interval</w:t>
            </w:r>
          </w:p>
        </w:tc>
      </w:tr>
      <w:tr w:rsidR="008E03CE" w:rsidRPr="0017357E" w14:paraId="57C8B32C" w14:textId="77777777" w:rsidTr="00A7403D">
        <w:tc>
          <w:tcPr>
            <w:tcW w:w="2464" w:type="dxa"/>
          </w:tcPr>
          <w:p w14:paraId="2FA22284" w14:textId="77777777" w:rsidR="008E03CE" w:rsidRPr="0017357E" w:rsidRDefault="008E03CE" w:rsidP="00A7403D">
            <w:pPr>
              <w:spacing w:line="259" w:lineRule="auto"/>
              <w:jc w:val="both"/>
              <w:rPr>
                <w:rFonts w:cstheme="minorHAnsi"/>
              </w:rPr>
            </w:pPr>
            <w:r w:rsidRPr="0017357E">
              <w:rPr>
                <w:rFonts w:cstheme="minorHAnsi"/>
              </w:rPr>
              <w:t>White</w:t>
            </w:r>
          </w:p>
        </w:tc>
        <w:tc>
          <w:tcPr>
            <w:tcW w:w="2351" w:type="dxa"/>
          </w:tcPr>
          <w:p w14:paraId="7A12EBC1" w14:textId="77777777" w:rsidR="008E03CE" w:rsidRPr="0017357E" w:rsidRDefault="008E03CE" w:rsidP="00A7403D">
            <w:pPr>
              <w:spacing w:line="259" w:lineRule="auto"/>
              <w:jc w:val="both"/>
              <w:rPr>
                <w:rFonts w:cstheme="minorHAnsi"/>
              </w:rPr>
            </w:pPr>
            <w:r w:rsidRPr="0017357E">
              <w:rPr>
                <w:rFonts w:cstheme="minorHAnsi"/>
              </w:rPr>
              <w:t>Reference</w:t>
            </w:r>
          </w:p>
        </w:tc>
        <w:tc>
          <w:tcPr>
            <w:tcW w:w="2354" w:type="dxa"/>
          </w:tcPr>
          <w:p w14:paraId="42EB4818" w14:textId="77777777" w:rsidR="008E03CE" w:rsidRPr="0017357E" w:rsidRDefault="008E03CE" w:rsidP="00A7403D">
            <w:pPr>
              <w:spacing w:line="259" w:lineRule="auto"/>
              <w:jc w:val="both"/>
              <w:rPr>
                <w:rFonts w:cstheme="minorHAnsi"/>
              </w:rPr>
            </w:pPr>
            <w:r w:rsidRPr="0017357E">
              <w:rPr>
                <w:rFonts w:cstheme="minorHAnsi"/>
              </w:rPr>
              <w:t>Reference</w:t>
            </w:r>
          </w:p>
        </w:tc>
        <w:tc>
          <w:tcPr>
            <w:tcW w:w="2332" w:type="dxa"/>
          </w:tcPr>
          <w:p w14:paraId="573999A8" w14:textId="77777777" w:rsidR="008E03CE" w:rsidRPr="0017357E" w:rsidRDefault="008E03CE" w:rsidP="00A7403D">
            <w:pPr>
              <w:spacing w:line="259" w:lineRule="auto"/>
              <w:jc w:val="both"/>
              <w:rPr>
                <w:rFonts w:cstheme="minorHAnsi"/>
              </w:rPr>
            </w:pPr>
            <w:r w:rsidRPr="0017357E">
              <w:rPr>
                <w:rFonts w:cstheme="minorHAnsi"/>
              </w:rPr>
              <w:t>Reference</w:t>
            </w:r>
          </w:p>
        </w:tc>
      </w:tr>
      <w:tr w:rsidR="008E03CE" w:rsidRPr="0017357E" w14:paraId="795C2E39" w14:textId="77777777" w:rsidTr="00A7403D">
        <w:tc>
          <w:tcPr>
            <w:tcW w:w="2464" w:type="dxa"/>
          </w:tcPr>
          <w:p w14:paraId="498E8377" w14:textId="77777777" w:rsidR="008E03CE" w:rsidRPr="0017357E" w:rsidRDefault="008E03CE" w:rsidP="00A7403D">
            <w:pPr>
              <w:spacing w:line="259" w:lineRule="auto"/>
              <w:jc w:val="both"/>
              <w:rPr>
                <w:rFonts w:cstheme="minorHAnsi"/>
              </w:rPr>
            </w:pPr>
            <w:r w:rsidRPr="0017357E">
              <w:rPr>
                <w:rFonts w:cstheme="minorHAnsi"/>
              </w:rPr>
              <w:t>Asian</w:t>
            </w:r>
          </w:p>
        </w:tc>
        <w:tc>
          <w:tcPr>
            <w:tcW w:w="2351" w:type="dxa"/>
          </w:tcPr>
          <w:p w14:paraId="7B5635F5" w14:textId="77777777" w:rsidR="008E03CE" w:rsidRPr="0017357E" w:rsidRDefault="008E03CE" w:rsidP="00A7403D">
            <w:pPr>
              <w:spacing w:line="259" w:lineRule="auto"/>
              <w:jc w:val="both"/>
              <w:rPr>
                <w:rFonts w:cstheme="minorHAnsi"/>
              </w:rPr>
            </w:pPr>
            <w:r w:rsidRPr="0017357E">
              <w:rPr>
                <w:rFonts w:cstheme="minorHAnsi"/>
              </w:rPr>
              <w:t>1.21</w:t>
            </w:r>
          </w:p>
        </w:tc>
        <w:tc>
          <w:tcPr>
            <w:tcW w:w="2354" w:type="dxa"/>
          </w:tcPr>
          <w:p w14:paraId="3560EE04" w14:textId="77777777" w:rsidR="008E03CE" w:rsidRPr="0017357E" w:rsidRDefault="008E03CE" w:rsidP="00A7403D">
            <w:pPr>
              <w:spacing w:line="259" w:lineRule="auto"/>
              <w:jc w:val="both"/>
              <w:rPr>
                <w:rFonts w:cstheme="minorHAnsi"/>
              </w:rPr>
            </w:pPr>
            <w:r w:rsidRPr="0017357E">
              <w:rPr>
                <w:rFonts w:cstheme="minorHAnsi"/>
              </w:rPr>
              <w:t>0.003</w:t>
            </w:r>
          </w:p>
        </w:tc>
        <w:tc>
          <w:tcPr>
            <w:tcW w:w="2332" w:type="dxa"/>
          </w:tcPr>
          <w:p w14:paraId="6297EC96" w14:textId="77777777" w:rsidR="008E03CE" w:rsidRPr="0017357E" w:rsidRDefault="008E03CE" w:rsidP="00A7403D">
            <w:pPr>
              <w:spacing w:line="259" w:lineRule="auto"/>
              <w:jc w:val="both"/>
              <w:rPr>
                <w:rFonts w:cstheme="minorHAnsi"/>
              </w:rPr>
            </w:pPr>
            <w:r w:rsidRPr="0017357E">
              <w:rPr>
                <w:rFonts w:cstheme="minorHAnsi"/>
              </w:rPr>
              <w:t>1.07-1.37</w:t>
            </w:r>
          </w:p>
        </w:tc>
      </w:tr>
      <w:tr w:rsidR="008E03CE" w:rsidRPr="0017357E" w14:paraId="5D0A1791" w14:textId="77777777" w:rsidTr="00A7403D">
        <w:tc>
          <w:tcPr>
            <w:tcW w:w="2464" w:type="dxa"/>
          </w:tcPr>
          <w:p w14:paraId="60664AF3" w14:textId="77777777" w:rsidR="008E03CE" w:rsidRPr="0017357E" w:rsidRDefault="008E03CE" w:rsidP="00A7403D">
            <w:pPr>
              <w:spacing w:line="259" w:lineRule="auto"/>
              <w:jc w:val="both"/>
              <w:rPr>
                <w:rFonts w:cstheme="minorHAnsi"/>
              </w:rPr>
            </w:pPr>
            <w:r w:rsidRPr="0017357E">
              <w:rPr>
                <w:rFonts w:cstheme="minorHAnsi"/>
              </w:rPr>
              <w:t>Black</w:t>
            </w:r>
          </w:p>
        </w:tc>
        <w:tc>
          <w:tcPr>
            <w:tcW w:w="2351" w:type="dxa"/>
          </w:tcPr>
          <w:p w14:paraId="4F562B10" w14:textId="77777777" w:rsidR="008E03CE" w:rsidRPr="0017357E" w:rsidRDefault="008E03CE" w:rsidP="00A7403D">
            <w:pPr>
              <w:spacing w:line="259" w:lineRule="auto"/>
              <w:jc w:val="both"/>
              <w:rPr>
                <w:rFonts w:cstheme="minorHAnsi"/>
              </w:rPr>
            </w:pPr>
            <w:r w:rsidRPr="0017357E">
              <w:rPr>
                <w:rFonts w:cstheme="minorHAnsi"/>
              </w:rPr>
              <w:t>1.65</w:t>
            </w:r>
          </w:p>
        </w:tc>
        <w:tc>
          <w:tcPr>
            <w:tcW w:w="2354" w:type="dxa"/>
          </w:tcPr>
          <w:p w14:paraId="37BED609" w14:textId="77777777" w:rsidR="008E03CE" w:rsidRPr="0017357E" w:rsidRDefault="008E03CE" w:rsidP="00A7403D">
            <w:pPr>
              <w:spacing w:line="259" w:lineRule="auto"/>
              <w:jc w:val="both"/>
              <w:rPr>
                <w:rFonts w:cstheme="minorHAnsi"/>
              </w:rPr>
            </w:pPr>
            <w:r w:rsidRPr="0017357E">
              <w:rPr>
                <w:rFonts w:cstheme="minorHAnsi"/>
              </w:rPr>
              <w:t>0.003</w:t>
            </w:r>
          </w:p>
        </w:tc>
        <w:tc>
          <w:tcPr>
            <w:tcW w:w="2332" w:type="dxa"/>
          </w:tcPr>
          <w:p w14:paraId="2F25ED37" w14:textId="77777777" w:rsidR="008E03CE" w:rsidRPr="0017357E" w:rsidRDefault="008E03CE" w:rsidP="00A7403D">
            <w:pPr>
              <w:spacing w:line="259" w:lineRule="auto"/>
              <w:jc w:val="both"/>
              <w:rPr>
                <w:rFonts w:cstheme="minorHAnsi"/>
              </w:rPr>
            </w:pPr>
            <w:r w:rsidRPr="0017357E">
              <w:rPr>
                <w:rFonts w:cstheme="minorHAnsi"/>
              </w:rPr>
              <w:t>1.19-2.29</w:t>
            </w:r>
          </w:p>
        </w:tc>
      </w:tr>
      <w:tr w:rsidR="008E03CE" w:rsidRPr="0017357E" w14:paraId="2DC34BF3" w14:textId="77777777" w:rsidTr="00A7403D">
        <w:tc>
          <w:tcPr>
            <w:tcW w:w="2464" w:type="dxa"/>
          </w:tcPr>
          <w:p w14:paraId="6737058B" w14:textId="77777777" w:rsidR="008E03CE" w:rsidRPr="0017357E" w:rsidRDefault="008E03CE" w:rsidP="00A7403D">
            <w:pPr>
              <w:spacing w:line="259" w:lineRule="auto"/>
              <w:jc w:val="both"/>
              <w:rPr>
                <w:rFonts w:cstheme="minorHAnsi"/>
              </w:rPr>
            </w:pPr>
            <w:r w:rsidRPr="0017357E">
              <w:rPr>
                <w:rFonts w:cstheme="minorHAnsi"/>
              </w:rPr>
              <w:t>Mixed</w:t>
            </w:r>
          </w:p>
        </w:tc>
        <w:tc>
          <w:tcPr>
            <w:tcW w:w="2351" w:type="dxa"/>
          </w:tcPr>
          <w:p w14:paraId="44DC869A" w14:textId="77777777" w:rsidR="008E03CE" w:rsidRPr="0017357E" w:rsidRDefault="008E03CE" w:rsidP="00A7403D">
            <w:pPr>
              <w:spacing w:line="259" w:lineRule="auto"/>
              <w:jc w:val="both"/>
              <w:rPr>
                <w:rFonts w:cstheme="minorHAnsi"/>
              </w:rPr>
            </w:pPr>
            <w:r w:rsidRPr="0017357E">
              <w:rPr>
                <w:rFonts w:cstheme="minorHAnsi"/>
              </w:rPr>
              <w:t>0.92</w:t>
            </w:r>
          </w:p>
        </w:tc>
        <w:tc>
          <w:tcPr>
            <w:tcW w:w="2354" w:type="dxa"/>
          </w:tcPr>
          <w:p w14:paraId="5B24AB5E" w14:textId="77777777" w:rsidR="008E03CE" w:rsidRPr="0017357E" w:rsidRDefault="008E03CE" w:rsidP="00A7403D">
            <w:pPr>
              <w:spacing w:line="259" w:lineRule="auto"/>
              <w:jc w:val="both"/>
              <w:rPr>
                <w:rFonts w:cstheme="minorHAnsi"/>
              </w:rPr>
            </w:pPr>
            <w:r w:rsidRPr="0017357E">
              <w:rPr>
                <w:rFonts w:cstheme="minorHAnsi"/>
              </w:rPr>
              <w:t>0.472</w:t>
            </w:r>
          </w:p>
        </w:tc>
        <w:tc>
          <w:tcPr>
            <w:tcW w:w="2332" w:type="dxa"/>
          </w:tcPr>
          <w:p w14:paraId="28CF24CB" w14:textId="77777777" w:rsidR="008E03CE" w:rsidRPr="0017357E" w:rsidRDefault="008E03CE" w:rsidP="00A7403D">
            <w:pPr>
              <w:spacing w:line="259" w:lineRule="auto"/>
              <w:jc w:val="both"/>
              <w:rPr>
                <w:rFonts w:cstheme="minorHAnsi"/>
              </w:rPr>
            </w:pPr>
            <w:r w:rsidRPr="0017357E">
              <w:rPr>
                <w:rFonts w:cstheme="minorHAnsi"/>
              </w:rPr>
              <w:t>0.73-1.15</w:t>
            </w:r>
          </w:p>
        </w:tc>
      </w:tr>
      <w:tr w:rsidR="008E03CE" w:rsidRPr="0017357E" w14:paraId="32407BE7" w14:textId="77777777" w:rsidTr="00A7403D">
        <w:tc>
          <w:tcPr>
            <w:tcW w:w="2464" w:type="dxa"/>
          </w:tcPr>
          <w:p w14:paraId="384578B4" w14:textId="77777777" w:rsidR="008E03CE" w:rsidRPr="0017357E" w:rsidRDefault="008E03CE" w:rsidP="00A7403D">
            <w:pPr>
              <w:spacing w:line="259" w:lineRule="auto"/>
              <w:jc w:val="both"/>
              <w:rPr>
                <w:rFonts w:cstheme="minorHAnsi"/>
              </w:rPr>
            </w:pPr>
            <w:r w:rsidRPr="0017357E">
              <w:rPr>
                <w:rFonts w:cstheme="minorHAnsi"/>
              </w:rPr>
              <w:t>Others</w:t>
            </w:r>
          </w:p>
        </w:tc>
        <w:tc>
          <w:tcPr>
            <w:tcW w:w="2351" w:type="dxa"/>
          </w:tcPr>
          <w:p w14:paraId="5C34598C" w14:textId="77777777" w:rsidR="008E03CE" w:rsidRPr="0017357E" w:rsidRDefault="008E03CE" w:rsidP="00A7403D">
            <w:pPr>
              <w:spacing w:line="259" w:lineRule="auto"/>
              <w:jc w:val="both"/>
              <w:rPr>
                <w:rFonts w:cstheme="minorHAnsi"/>
              </w:rPr>
            </w:pPr>
            <w:r w:rsidRPr="0017357E">
              <w:rPr>
                <w:rFonts w:cstheme="minorHAnsi"/>
              </w:rPr>
              <w:t>1.06</w:t>
            </w:r>
          </w:p>
        </w:tc>
        <w:tc>
          <w:tcPr>
            <w:tcW w:w="2354" w:type="dxa"/>
          </w:tcPr>
          <w:p w14:paraId="5F5C26A0" w14:textId="77777777" w:rsidR="008E03CE" w:rsidRPr="0017357E" w:rsidRDefault="008E03CE" w:rsidP="00A7403D">
            <w:pPr>
              <w:spacing w:line="259" w:lineRule="auto"/>
              <w:jc w:val="both"/>
              <w:rPr>
                <w:rFonts w:cstheme="minorHAnsi"/>
              </w:rPr>
            </w:pPr>
            <w:r w:rsidRPr="0017357E">
              <w:rPr>
                <w:rFonts w:cstheme="minorHAnsi"/>
              </w:rPr>
              <w:t>0.592</w:t>
            </w:r>
          </w:p>
        </w:tc>
        <w:tc>
          <w:tcPr>
            <w:tcW w:w="2332" w:type="dxa"/>
          </w:tcPr>
          <w:p w14:paraId="6D42AF00" w14:textId="77777777" w:rsidR="008E03CE" w:rsidRPr="0017357E" w:rsidRDefault="008E03CE" w:rsidP="00A7403D">
            <w:pPr>
              <w:spacing w:line="259" w:lineRule="auto"/>
              <w:jc w:val="both"/>
              <w:rPr>
                <w:rFonts w:cstheme="minorHAnsi"/>
              </w:rPr>
            </w:pPr>
            <w:r w:rsidRPr="0017357E">
              <w:rPr>
                <w:rFonts w:cstheme="minorHAnsi"/>
              </w:rPr>
              <w:t>0.86-1.31</w:t>
            </w:r>
          </w:p>
        </w:tc>
      </w:tr>
    </w:tbl>
    <w:p w14:paraId="746A85DC" w14:textId="1B340EF9" w:rsidR="00B343F3" w:rsidRPr="00B343F3" w:rsidRDefault="00B343F3" w:rsidP="00B343F3">
      <w:pPr>
        <w:jc w:val="center"/>
        <w:rPr>
          <w:rFonts w:ascii="Calibri" w:hAnsi="Calibri" w:cs="Calibri"/>
        </w:rPr>
      </w:pPr>
      <w:r w:rsidRPr="00B343F3">
        <w:rPr>
          <w:rFonts w:ascii="Calibri" w:hAnsi="Calibri" w:cs="Calibri"/>
          <w:u w:val="single"/>
        </w:rPr>
        <w:t>Table 19</w:t>
      </w:r>
      <w:r w:rsidRPr="00B343F3">
        <w:rPr>
          <w:rFonts w:ascii="Calibri" w:hAnsi="Calibri" w:cs="Calibri"/>
        </w:rPr>
        <w:t>: Regression output of staff ethnicity &amp; gender in 2022/23</w:t>
      </w:r>
    </w:p>
    <w:p w14:paraId="6EDE0BC8" w14:textId="77777777" w:rsidR="008E03CE" w:rsidRPr="0017357E" w:rsidRDefault="008E03CE" w:rsidP="008E03CE">
      <w:pPr>
        <w:spacing w:line="259" w:lineRule="auto"/>
        <w:jc w:val="both"/>
        <w:rPr>
          <w:rFonts w:cstheme="minorHAnsi"/>
        </w:rPr>
      </w:pPr>
    </w:p>
    <w:p w14:paraId="5776E0B4" w14:textId="635F0FFF" w:rsidR="008E03CE" w:rsidRDefault="008E03CE" w:rsidP="00AE3304">
      <w:pPr>
        <w:spacing w:line="259" w:lineRule="auto"/>
        <w:rPr>
          <w:rFonts w:cstheme="minorHAnsi"/>
        </w:rPr>
      </w:pPr>
      <w:r w:rsidRPr="0017357E">
        <w:rPr>
          <w:rFonts w:cstheme="minorHAnsi"/>
        </w:rPr>
        <w:t xml:space="preserve">The regression analysis in Table </w:t>
      </w:r>
      <w:r w:rsidR="00C10CF2">
        <w:rPr>
          <w:rFonts w:cstheme="minorHAnsi"/>
        </w:rPr>
        <w:t>20</w:t>
      </w:r>
      <w:r w:rsidRPr="0017357E">
        <w:rPr>
          <w:rFonts w:cstheme="minorHAnsi"/>
        </w:rPr>
        <w:t xml:space="preserve"> below examines how staff ethnicity relates to grade level, specifically looking at the likelihood of being in higher grades (UE07</w:t>
      </w:r>
      <w:r w:rsidR="00805F3F">
        <w:rPr>
          <w:rFonts w:ascii="Calibri" w:hAnsi="Calibri" w:cs="Calibri"/>
        </w:rPr>
        <w:t>–</w:t>
      </w:r>
      <w:r w:rsidRPr="0017357E">
        <w:rPr>
          <w:rFonts w:cstheme="minorHAnsi"/>
        </w:rPr>
        <w:t xml:space="preserve">10) </w:t>
      </w:r>
      <w:r w:rsidR="00023660">
        <w:rPr>
          <w:rFonts w:cstheme="minorHAnsi"/>
        </w:rPr>
        <w:t>and using</w:t>
      </w:r>
      <w:r w:rsidR="00023660" w:rsidRPr="0017357E">
        <w:rPr>
          <w:rFonts w:cstheme="minorHAnsi"/>
        </w:rPr>
        <w:t xml:space="preserve"> </w:t>
      </w:r>
      <w:r w:rsidR="00805F3F">
        <w:rPr>
          <w:rFonts w:cstheme="minorHAnsi"/>
        </w:rPr>
        <w:t>w</w:t>
      </w:r>
      <w:r w:rsidRPr="0017357E">
        <w:rPr>
          <w:rFonts w:cstheme="minorHAnsi"/>
        </w:rPr>
        <w:t xml:space="preserve">hite staff as the baseline group. The results show that Asian staff are 33% less likely than </w:t>
      </w:r>
      <w:r w:rsidR="00F96E2D">
        <w:rPr>
          <w:rFonts w:cstheme="minorHAnsi"/>
        </w:rPr>
        <w:t>W</w:t>
      </w:r>
      <w:r w:rsidRPr="0017357E">
        <w:rPr>
          <w:rFonts w:cstheme="minorHAnsi"/>
        </w:rPr>
        <w:t>hite staff to be in these higher grades, a statistically significant difference. Similarly, Mixed</w:t>
      </w:r>
      <w:r w:rsidR="00023660">
        <w:rPr>
          <w:rFonts w:cstheme="minorHAnsi"/>
        </w:rPr>
        <w:t>-</w:t>
      </w:r>
      <w:r w:rsidRPr="0017357E">
        <w:rPr>
          <w:rFonts w:cstheme="minorHAnsi"/>
        </w:rPr>
        <w:t xml:space="preserve">ethnicity staff are 26% less likely than </w:t>
      </w:r>
      <w:r w:rsidR="00F96E2D">
        <w:rPr>
          <w:rFonts w:cstheme="minorHAnsi"/>
        </w:rPr>
        <w:t>W</w:t>
      </w:r>
      <w:r w:rsidRPr="0017357E">
        <w:rPr>
          <w:rFonts w:cstheme="minorHAnsi"/>
        </w:rPr>
        <w:t xml:space="preserve">hite staff to reach these higher grades, and this difference is also statistically significant. In contrast, Black staff show only a slight reduction (14% less likely) in reaching higher grades compared to </w:t>
      </w:r>
      <w:r w:rsidR="00495C0D">
        <w:rPr>
          <w:rFonts w:cstheme="minorHAnsi"/>
        </w:rPr>
        <w:t>w</w:t>
      </w:r>
      <w:r w:rsidRPr="0017357E">
        <w:rPr>
          <w:rFonts w:cstheme="minorHAnsi"/>
        </w:rPr>
        <w:t xml:space="preserve">hite staff, but this result is not statistically significant, meaning it doesn’t show a clear, reliable difference. For staff from Other ethnic backgrounds, the odds ratio is close to 1, indicating no meaningful difference from </w:t>
      </w:r>
      <w:r w:rsidR="00F96E2D">
        <w:rPr>
          <w:rFonts w:cstheme="minorHAnsi"/>
        </w:rPr>
        <w:t>W</w:t>
      </w:r>
      <w:r w:rsidRPr="0017357E">
        <w:rPr>
          <w:rFonts w:cstheme="minorHAnsi"/>
        </w:rPr>
        <w:t>hite staff regarding grade level, with this finding confirmed by a lack of statistical significance.</w:t>
      </w:r>
    </w:p>
    <w:p w14:paraId="586362B3" w14:textId="77777777" w:rsidR="00101DF7" w:rsidRDefault="00101DF7" w:rsidP="008E03CE">
      <w:pPr>
        <w:spacing w:line="259" w:lineRule="auto"/>
        <w:jc w:val="both"/>
        <w:rPr>
          <w:rFonts w:cstheme="minorHAnsi"/>
        </w:rPr>
      </w:pPr>
    </w:p>
    <w:p w14:paraId="0398F90B" w14:textId="77777777" w:rsidR="00101DF7" w:rsidRDefault="00101DF7" w:rsidP="008E03CE">
      <w:pPr>
        <w:spacing w:line="259" w:lineRule="auto"/>
        <w:jc w:val="both"/>
        <w:rPr>
          <w:rFonts w:cstheme="minorHAnsi"/>
        </w:rPr>
      </w:pPr>
    </w:p>
    <w:p w14:paraId="329DBE39" w14:textId="77777777" w:rsidR="00101DF7" w:rsidRDefault="00101DF7" w:rsidP="008E03CE">
      <w:pPr>
        <w:spacing w:line="259" w:lineRule="auto"/>
        <w:jc w:val="both"/>
        <w:rPr>
          <w:rFonts w:cstheme="minorHAnsi"/>
        </w:rPr>
      </w:pPr>
    </w:p>
    <w:p w14:paraId="00A4628C" w14:textId="77777777" w:rsidR="00101DF7" w:rsidRDefault="00101DF7" w:rsidP="008E03CE">
      <w:pPr>
        <w:spacing w:line="259" w:lineRule="auto"/>
        <w:jc w:val="both"/>
        <w:rPr>
          <w:rFonts w:cstheme="minorHAnsi"/>
        </w:rPr>
      </w:pPr>
    </w:p>
    <w:p w14:paraId="5383EEC4" w14:textId="77777777" w:rsidR="00101DF7" w:rsidRPr="0017357E" w:rsidRDefault="00101DF7" w:rsidP="008E03CE">
      <w:pPr>
        <w:spacing w:line="259" w:lineRule="auto"/>
        <w:jc w:val="both"/>
        <w:rPr>
          <w:rFonts w:cstheme="minorHAnsi"/>
        </w:rPr>
      </w:pPr>
    </w:p>
    <w:p w14:paraId="06974C8F" w14:textId="77777777" w:rsidR="008E03CE" w:rsidRDefault="008E03CE" w:rsidP="008E03CE">
      <w:pPr>
        <w:spacing w:line="259" w:lineRule="auto"/>
        <w:jc w:val="both"/>
        <w:rPr>
          <w:rFonts w:cstheme="minorHAnsi"/>
          <w:b/>
          <w:bCs/>
        </w:rPr>
      </w:pPr>
    </w:p>
    <w:p w14:paraId="3E74D577" w14:textId="77777777" w:rsidR="00F45CF5" w:rsidRPr="00120153" w:rsidRDefault="00F45CF5" w:rsidP="00F45CF5">
      <w:pPr>
        <w:jc w:val="both"/>
        <w:rPr>
          <w:rFonts w:ascii="Arial" w:hAnsi="Arial" w:cs="Arial"/>
          <w:b/>
          <w:bCs/>
        </w:rPr>
      </w:pPr>
    </w:p>
    <w:tbl>
      <w:tblPr>
        <w:tblStyle w:val="TableGrid"/>
        <w:tblW w:w="0" w:type="auto"/>
        <w:jc w:val="center"/>
        <w:tblLook w:val="04A0" w:firstRow="1" w:lastRow="0" w:firstColumn="1" w:lastColumn="0" w:noHBand="0" w:noVBand="1"/>
      </w:tblPr>
      <w:tblGrid>
        <w:gridCol w:w="1435"/>
        <w:gridCol w:w="1890"/>
        <w:gridCol w:w="1710"/>
        <w:gridCol w:w="3150"/>
      </w:tblGrid>
      <w:tr w:rsidR="00F45CF5" w:rsidRPr="00B343F3" w14:paraId="0771B820" w14:textId="77777777" w:rsidTr="00B343F3">
        <w:trPr>
          <w:jc w:val="center"/>
        </w:trPr>
        <w:tc>
          <w:tcPr>
            <w:tcW w:w="1435" w:type="dxa"/>
          </w:tcPr>
          <w:p w14:paraId="4ECF5451" w14:textId="77777777" w:rsidR="00F45CF5" w:rsidRPr="00B343F3" w:rsidRDefault="00F45CF5" w:rsidP="00BF53BE">
            <w:pPr>
              <w:jc w:val="both"/>
              <w:rPr>
                <w:rFonts w:ascii="Calibri" w:hAnsi="Calibri" w:cs="Calibri"/>
                <w:b/>
                <w:bCs/>
              </w:rPr>
            </w:pPr>
            <w:r w:rsidRPr="00B343F3">
              <w:rPr>
                <w:rFonts w:ascii="Calibri" w:hAnsi="Calibri" w:cs="Calibri"/>
                <w:b/>
                <w:bCs/>
              </w:rPr>
              <w:t>Ethnicity</w:t>
            </w:r>
          </w:p>
        </w:tc>
        <w:tc>
          <w:tcPr>
            <w:tcW w:w="1890" w:type="dxa"/>
          </w:tcPr>
          <w:p w14:paraId="02E280F8" w14:textId="77777777" w:rsidR="00F45CF5" w:rsidRPr="00B343F3" w:rsidRDefault="00F45CF5" w:rsidP="00BF53BE">
            <w:pPr>
              <w:jc w:val="both"/>
              <w:rPr>
                <w:rFonts w:ascii="Calibri" w:hAnsi="Calibri" w:cs="Calibri"/>
                <w:b/>
                <w:bCs/>
              </w:rPr>
            </w:pPr>
            <w:r w:rsidRPr="00B343F3">
              <w:rPr>
                <w:rFonts w:ascii="Calibri" w:hAnsi="Calibri" w:cs="Calibri"/>
                <w:b/>
                <w:bCs/>
              </w:rPr>
              <w:t>Odds ratio</w:t>
            </w:r>
          </w:p>
        </w:tc>
        <w:tc>
          <w:tcPr>
            <w:tcW w:w="1710" w:type="dxa"/>
          </w:tcPr>
          <w:p w14:paraId="467A5FE4" w14:textId="77777777" w:rsidR="00F45CF5" w:rsidRPr="00B343F3" w:rsidRDefault="00F45CF5" w:rsidP="00BF53BE">
            <w:pPr>
              <w:jc w:val="both"/>
              <w:rPr>
                <w:rFonts w:ascii="Calibri" w:hAnsi="Calibri" w:cs="Calibri"/>
                <w:b/>
                <w:bCs/>
              </w:rPr>
            </w:pPr>
            <w:r w:rsidRPr="00B343F3">
              <w:rPr>
                <w:rFonts w:ascii="Calibri" w:hAnsi="Calibri" w:cs="Calibri"/>
                <w:b/>
                <w:bCs/>
              </w:rPr>
              <w:t>P-value</w:t>
            </w:r>
          </w:p>
        </w:tc>
        <w:tc>
          <w:tcPr>
            <w:tcW w:w="3150" w:type="dxa"/>
          </w:tcPr>
          <w:p w14:paraId="5FBD97B4" w14:textId="77777777" w:rsidR="00F45CF5" w:rsidRPr="00B343F3" w:rsidRDefault="00F45CF5" w:rsidP="00BF53BE">
            <w:pPr>
              <w:jc w:val="both"/>
              <w:rPr>
                <w:rFonts w:ascii="Calibri" w:hAnsi="Calibri" w:cs="Calibri"/>
                <w:b/>
                <w:bCs/>
              </w:rPr>
            </w:pPr>
            <w:r w:rsidRPr="00B343F3">
              <w:rPr>
                <w:rFonts w:ascii="Calibri" w:hAnsi="Calibri" w:cs="Calibri"/>
                <w:b/>
                <w:bCs/>
              </w:rPr>
              <w:t>Confidence interval</w:t>
            </w:r>
          </w:p>
        </w:tc>
      </w:tr>
      <w:tr w:rsidR="00F45CF5" w:rsidRPr="00B343F3" w14:paraId="79621546" w14:textId="77777777" w:rsidTr="00B343F3">
        <w:trPr>
          <w:jc w:val="center"/>
        </w:trPr>
        <w:tc>
          <w:tcPr>
            <w:tcW w:w="1435" w:type="dxa"/>
          </w:tcPr>
          <w:p w14:paraId="30B14E09" w14:textId="77777777" w:rsidR="00F45CF5" w:rsidRPr="00B343F3" w:rsidRDefault="00F45CF5" w:rsidP="00BF53BE">
            <w:pPr>
              <w:jc w:val="both"/>
              <w:rPr>
                <w:rFonts w:ascii="Calibri" w:hAnsi="Calibri" w:cs="Calibri"/>
              </w:rPr>
            </w:pPr>
            <w:r w:rsidRPr="00B343F3">
              <w:rPr>
                <w:rFonts w:ascii="Calibri" w:hAnsi="Calibri" w:cs="Calibri"/>
              </w:rPr>
              <w:t>White</w:t>
            </w:r>
          </w:p>
        </w:tc>
        <w:tc>
          <w:tcPr>
            <w:tcW w:w="1890" w:type="dxa"/>
          </w:tcPr>
          <w:p w14:paraId="1D0B81C5" w14:textId="77777777" w:rsidR="00F45CF5" w:rsidRPr="00B343F3" w:rsidRDefault="00F45CF5" w:rsidP="00BF53BE">
            <w:pPr>
              <w:jc w:val="both"/>
              <w:rPr>
                <w:rFonts w:ascii="Calibri" w:hAnsi="Calibri" w:cs="Calibri"/>
              </w:rPr>
            </w:pPr>
            <w:r w:rsidRPr="00B343F3">
              <w:rPr>
                <w:rFonts w:ascii="Calibri" w:hAnsi="Calibri" w:cs="Calibri"/>
              </w:rPr>
              <w:t>Reference</w:t>
            </w:r>
          </w:p>
        </w:tc>
        <w:tc>
          <w:tcPr>
            <w:tcW w:w="1710" w:type="dxa"/>
          </w:tcPr>
          <w:p w14:paraId="5D7E1584" w14:textId="77777777" w:rsidR="00F45CF5" w:rsidRPr="00B343F3" w:rsidRDefault="00F45CF5" w:rsidP="00BF53BE">
            <w:pPr>
              <w:jc w:val="both"/>
              <w:rPr>
                <w:rFonts w:ascii="Calibri" w:hAnsi="Calibri" w:cs="Calibri"/>
              </w:rPr>
            </w:pPr>
            <w:r w:rsidRPr="00B343F3">
              <w:rPr>
                <w:rFonts w:ascii="Calibri" w:hAnsi="Calibri" w:cs="Calibri"/>
              </w:rPr>
              <w:t>Reference</w:t>
            </w:r>
          </w:p>
        </w:tc>
        <w:tc>
          <w:tcPr>
            <w:tcW w:w="3150" w:type="dxa"/>
          </w:tcPr>
          <w:p w14:paraId="490C5693" w14:textId="77777777" w:rsidR="00F45CF5" w:rsidRPr="00B343F3" w:rsidRDefault="00F45CF5" w:rsidP="00BF53BE">
            <w:pPr>
              <w:jc w:val="both"/>
              <w:rPr>
                <w:rFonts w:ascii="Calibri" w:hAnsi="Calibri" w:cs="Calibri"/>
              </w:rPr>
            </w:pPr>
            <w:r w:rsidRPr="00B343F3">
              <w:rPr>
                <w:rFonts w:ascii="Calibri" w:hAnsi="Calibri" w:cs="Calibri"/>
              </w:rPr>
              <w:t>Reference</w:t>
            </w:r>
          </w:p>
        </w:tc>
      </w:tr>
      <w:tr w:rsidR="00F45CF5" w:rsidRPr="00B343F3" w14:paraId="2C73F70D" w14:textId="77777777" w:rsidTr="00B343F3">
        <w:trPr>
          <w:jc w:val="center"/>
        </w:trPr>
        <w:tc>
          <w:tcPr>
            <w:tcW w:w="1435" w:type="dxa"/>
          </w:tcPr>
          <w:p w14:paraId="42D71065" w14:textId="77777777" w:rsidR="00F45CF5" w:rsidRPr="00B343F3" w:rsidRDefault="00F45CF5" w:rsidP="00BF53BE">
            <w:pPr>
              <w:jc w:val="both"/>
              <w:rPr>
                <w:rFonts w:ascii="Calibri" w:hAnsi="Calibri" w:cs="Calibri"/>
              </w:rPr>
            </w:pPr>
            <w:r w:rsidRPr="00B343F3">
              <w:rPr>
                <w:rFonts w:ascii="Calibri" w:hAnsi="Calibri" w:cs="Calibri"/>
              </w:rPr>
              <w:t>Asian</w:t>
            </w:r>
          </w:p>
        </w:tc>
        <w:tc>
          <w:tcPr>
            <w:tcW w:w="1890" w:type="dxa"/>
          </w:tcPr>
          <w:p w14:paraId="4F9CD72B" w14:textId="77777777" w:rsidR="00F45CF5" w:rsidRPr="00B343F3" w:rsidRDefault="00F45CF5" w:rsidP="00BF53BE">
            <w:pPr>
              <w:jc w:val="both"/>
              <w:rPr>
                <w:rFonts w:ascii="Calibri" w:hAnsi="Calibri" w:cs="Calibri"/>
              </w:rPr>
            </w:pPr>
            <w:r w:rsidRPr="00B343F3">
              <w:rPr>
                <w:rFonts w:ascii="Calibri" w:hAnsi="Calibri" w:cs="Calibri"/>
              </w:rPr>
              <w:t>0.67</w:t>
            </w:r>
          </w:p>
        </w:tc>
        <w:tc>
          <w:tcPr>
            <w:tcW w:w="1710" w:type="dxa"/>
          </w:tcPr>
          <w:p w14:paraId="4EF77CB7" w14:textId="77777777" w:rsidR="00F45CF5" w:rsidRPr="00B343F3" w:rsidRDefault="00F45CF5" w:rsidP="00BF53BE">
            <w:pPr>
              <w:jc w:val="both"/>
              <w:rPr>
                <w:rFonts w:ascii="Calibri" w:hAnsi="Calibri" w:cs="Calibri"/>
              </w:rPr>
            </w:pPr>
            <w:r w:rsidRPr="00B343F3">
              <w:rPr>
                <w:rFonts w:ascii="Calibri" w:hAnsi="Calibri" w:cs="Calibri"/>
              </w:rPr>
              <w:t>0.000</w:t>
            </w:r>
          </w:p>
        </w:tc>
        <w:tc>
          <w:tcPr>
            <w:tcW w:w="3150" w:type="dxa"/>
          </w:tcPr>
          <w:p w14:paraId="07784822" w14:textId="77777777" w:rsidR="00F45CF5" w:rsidRPr="00B343F3" w:rsidRDefault="00F45CF5" w:rsidP="00BF53BE">
            <w:pPr>
              <w:jc w:val="both"/>
              <w:rPr>
                <w:rFonts w:ascii="Calibri" w:hAnsi="Calibri" w:cs="Calibri"/>
              </w:rPr>
            </w:pPr>
            <w:r w:rsidRPr="00B343F3">
              <w:rPr>
                <w:rFonts w:ascii="Calibri" w:hAnsi="Calibri" w:cs="Calibri"/>
              </w:rPr>
              <w:t>0.59-0.76</w:t>
            </w:r>
          </w:p>
        </w:tc>
      </w:tr>
      <w:tr w:rsidR="00F45CF5" w:rsidRPr="00B343F3" w14:paraId="630C7D1E" w14:textId="77777777" w:rsidTr="00B343F3">
        <w:trPr>
          <w:jc w:val="center"/>
        </w:trPr>
        <w:tc>
          <w:tcPr>
            <w:tcW w:w="1435" w:type="dxa"/>
          </w:tcPr>
          <w:p w14:paraId="77D97820" w14:textId="77777777" w:rsidR="00F45CF5" w:rsidRPr="00B343F3" w:rsidRDefault="00F45CF5" w:rsidP="00BF53BE">
            <w:pPr>
              <w:jc w:val="both"/>
              <w:rPr>
                <w:rFonts w:ascii="Calibri" w:hAnsi="Calibri" w:cs="Calibri"/>
              </w:rPr>
            </w:pPr>
            <w:r w:rsidRPr="00B343F3">
              <w:rPr>
                <w:rFonts w:ascii="Calibri" w:hAnsi="Calibri" w:cs="Calibri"/>
              </w:rPr>
              <w:t>Black</w:t>
            </w:r>
          </w:p>
        </w:tc>
        <w:tc>
          <w:tcPr>
            <w:tcW w:w="1890" w:type="dxa"/>
          </w:tcPr>
          <w:p w14:paraId="6CE24BA0" w14:textId="77777777" w:rsidR="00F45CF5" w:rsidRPr="00B343F3" w:rsidRDefault="00F45CF5" w:rsidP="00BF53BE">
            <w:pPr>
              <w:jc w:val="both"/>
              <w:rPr>
                <w:rFonts w:ascii="Calibri" w:hAnsi="Calibri" w:cs="Calibri"/>
              </w:rPr>
            </w:pPr>
            <w:r w:rsidRPr="00B343F3">
              <w:rPr>
                <w:rFonts w:ascii="Calibri" w:hAnsi="Calibri" w:cs="Calibri"/>
              </w:rPr>
              <w:t>0.86</w:t>
            </w:r>
          </w:p>
        </w:tc>
        <w:tc>
          <w:tcPr>
            <w:tcW w:w="1710" w:type="dxa"/>
          </w:tcPr>
          <w:p w14:paraId="407C1776" w14:textId="77777777" w:rsidR="00F45CF5" w:rsidRPr="00B343F3" w:rsidRDefault="00F45CF5" w:rsidP="00BF53BE">
            <w:pPr>
              <w:jc w:val="both"/>
              <w:rPr>
                <w:rFonts w:ascii="Calibri" w:hAnsi="Calibri" w:cs="Calibri"/>
              </w:rPr>
            </w:pPr>
            <w:r w:rsidRPr="00B343F3">
              <w:rPr>
                <w:rFonts w:ascii="Calibri" w:hAnsi="Calibri" w:cs="Calibri"/>
              </w:rPr>
              <w:t>0.353</w:t>
            </w:r>
          </w:p>
        </w:tc>
        <w:tc>
          <w:tcPr>
            <w:tcW w:w="3150" w:type="dxa"/>
          </w:tcPr>
          <w:p w14:paraId="739CD7B7" w14:textId="77777777" w:rsidR="00F45CF5" w:rsidRPr="00B343F3" w:rsidRDefault="00F45CF5" w:rsidP="00BF53BE">
            <w:pPr>
              <w:jc w:val="both"/>
              <w:rPr>
                <w:rFonts w:ascii="Calibri" w:hAnsi="Calibri" w:cs="Calibri"/>
              </w:rPr>
            </w:pPr>
            <w:r w:rsidRPr="00B343F3">
              <w:rPr>
                <w:rFonts w:ascii="Calibri" w:hAnsi="Calibri" w:cs="Calibri"/>
              </w:rPr>
              <w:t>0.62-1.19</w:t>
            </w:r>
          </w:p>
        </w:tc>
      </w:tr>
      <w:tr w:rsidR="00F45CF5" w:rsidRPr="00B343F3" w14:paraId="7507BEBA" w14:textId="77777777" w:rsidTr="00B343F3">
        <w:trPr>
          <w:jc w:val="center"/>
        </w:trPr>
        <w:tc>
          <w:tcPr>
            <w:tcW w:w="1435" w:type="dxa"/>
          </w:tcPr>
          <w:p w14:paraId="7128C8A1" w14:textId="77777777" w:rsidR="00F45CF5" w:rsidRPr="00B343F3" w:rsidRDefault="00F45CF5" w:rsidP="00BF53BE">
            <w:pPr>
              <w:jc w:val="both"/>
              <w:rPr>
                <w:rFonts w:ascii="Calibri" w:hAnsi="Calibri" w:cs="Calibri"/>
              </w:rPr>
            </w:pPr>
            <w:r w:rsidRPr="00B343F3">
              <w:rPr>
                <w:rFonts w:ascii="Calibri" w:hAnsi="Calibri" w:cs="Calibri"/>
              </w:rPr>
              <w:t>Mixed</w:t>
            </w:r>
          </w:p>
        </w:tc>
        <w:tc>
          <w:tcPr>
            <w:tcW w:w="1890" w:type="dxa"/>
          </w:tcPr>
          <w:p w14:paraId="44A5B56F" w14:textId="77777777" w:rsidR="00F45CF5" w:rsidRPr="00B343F3" w:rsidRDefault="00F45CF5" w:rsidP="00BF53BE">
            <w:pPr>
              <w:jc w:val="both"/>
              <w:rPr>
                <w:rFonts w:ascii="Calibri" w:hAnsi="Calibri" w:cs="Calibri"/>
              </w:rPr>
            </w:pPr>
            <w:r w:rsidRPr="00B343F3">
              <w:rPr>
                <w:rFonts w:ascii="Calibri" w:hAnsi="Calibri" w:cs="Calibri"/>
              </w:rPr>
              <w:t>0.74</w:t>
            </w:r>
          </w:p>
        </w:tc>
        <w:tc>
          <w:tcPr>
            <w:tcW w:w="1710" w:type="dxa"/>
          </w:tcPr>
          <w:p w14:paraId="242E415C" w14:textId="77777777" w:rsidR="00F45CF5" w:rsidRPr="00B343F3" w:rsidRDefault="00F45CF5" w:rsidP="00BF53BE">
            <w:pPr>
              <w:jc w:val="both"/>
              <w:rPr>
                <w:rFonts w:ascii="Calibri" w:hAnsi="Calibri" w:cs="Calibri"/>
              </w:rPr>
            </w:pPr>
            <w:r w:rsidRPr="00B343F3">
              <w:rPr>
                <w:rFonts w:ascii="Calibri" w:hAnsi="Calibri" w:cs="Calibri"/>
              </w:rPr>
              <w:t>0.008</w:t>
            </w:r>
          </w:p>
        </w:tc>
        <w:tc>
          <w:tcPr>
            <w:tcW w:w="3150" w:type="dxa"/>
          </w:tcPr>
          <w:p w14:paraId="1D8E3EB1" w14:textId="77777777" w:rsidR="00F45CF5" w:rsidRPr="00B343F3" w:rsidRDefault="00F45CF5" w:rsidP="00BF53BE">
            <w:pPr>
              <w:jc w:val="both"/>
              <w:rPr>
                <w:rFonts w:ascii="Calibri" w:hAnsi="Calibri" w:cs="Calibri"/>
              </w:rPr>
            </w:pPr>
            <w:r w:rsidRPr="00B343F3">
              <w:rPr>
                <w:rFonts w:ascii="Calibri" w:hAnsi="Calibri" w:cs="Calibri"/>
              </w:rPr>
              <w:t>0.59-0.92</w:t>
            </w:r>
          </w:p>
        </w:tc>
      </w:tr>
      <w:tr w:rsidR="00F45CF5" w:rsidRPr="00B343F3" w14:paraId="5108FB8B" w14:textId="77777777" w:rsidTr="00B343F3">
        <w:trPr>
          <w:jc w:val="center"/>
        </w:trPr>
        <w:tc>
          <w:tcPr>
            <w:tcW w:w="1435" w:type="dxa"/>
          </w:tcPr>
          <w:p w14:paraId="452CC8C6" w14:textId="77777777" w:rsidR="00F45CF5" w:rsidRPr="00B343F3" w:rsidRDefault="00F45CF5" w:rsidP="00BF53BE">
            <w:pPr>
              <w:jc w:val="both"/>
              <w:rPr>
                <w:rFonts w:ascii="Calibri" w:hAnsi="Calibri" w:cs="Calibri"/>
              </w:rPr>
            </w:pPr>
            <w:r w:rsidRPr="00B343F3">
              <w:rPr>
                <w:rFonts w:ascii="Calibri" w:hAnsi="Calibri" w:cs="Calibri"/>
              </w:rPr>
              <w:t>Others</w:t>
            </w:r>
          </w:p>
        </w:tc>
        <w:tc>
          <w:tcPr>
            <w:tcW w:w="1890" w:type="dxa"/>
          </w:tcPr>
          <w:p w14:paraId="621F40A6" w14:textId="77777777" w:rsidR="00F45CF5" w:rsidRPr="00B343F3" w:rsidRDefault="00F45CF5" w:rsidP="00BF53BE">
            <w:pPr>
              <w:jc w:val="both"/>
              <w:rPr>
                <w:rFonts w:ascii="Calibri" w:hAnsi="Calibri" w:cs="Calibri"/>
              </w:rPr>
            </w:pPr>
            <w:r w:rsidRPr="00B343F3">
              <w:rPr>
                <w:rFonts w:ascii="Calibri" w:hAnsi="Calibri" w:cs="Calibri"/>
              </w:rPr>
              <w:t>1.11</w:t>
            </w:r>
          </w:p>
        </w:tc>
        <w:tc>
          <w:tcPr>
            <w:tcW w:w="1710" w:type="dxa"/>
          </w:tcPr>
          <w:p w14:paraId="64000FA5" w14:textId="77777777" w:rsidR="00F45CF5" w:rsidRPr="00B343F3" w:rsidRDefault="00F45CF5" w:rsidP="00BF53BE">
            <w:pPr>
              <w:jc w:val="both"/>
              <w:rPr>
                <w:rFonts w:ascii="Calibri" w:hAnsi="Calibri" w:cs="Calibri"/>
              </w:rPr>
            </w:pPr>
            <w:r w:rsidRPr="00B343F3">
              <w:rPr>
                <w:rFonts w:ascii="Calibri" w:hAnsi="Calibri" w:cs="Calibri"/>
              </w:rPr>
              <w:t>0.337</w:t>
            </w:r>
          </w:p>
        </w:tc>
        <w:tc>
          <w:tcPr>
            <w:tcW w:w="3150" w:type="dxa"/>
          </w:tcPr>
          <w:p w14:paraId="716529FE" w14:textId="77777777" w:rsidR="00F45CF5" w:rsidRPr="00B343F3" w:rsidRDefault="00F45CF5" w:rsidP="00BF53BE">
            <w:pPr>
              <w:jc w:val="both"/>
              <w:rPr>
                <w:rFonts w:ascii="Calibri" w:hAnsi="Calibri" w:cs="Calibri"/>
              </w:rPr>
            </w:pPr>
            <w:r w:rsidRPr="00B343F3">
              <w:rPr>
                <w:rFonts w:ascii="Calibri" w:hAnsi="Calibri" w:cs="Calibri"/>
              </w:rPr>
              <w:t>0.90-1.37</w:t>
            </w:r>
          </w:p>
        </w:tc>
      </w:tr>
    </w:tbl>
    <w:p w14:paraId="1CE5BB06" w14:textId="4ABB6C8F" w:rsidR="00B343F3" w:rsidRPr="00B343F3" w:rsidRDefault="00B343F3" w:rsidP="00B343F3">
      <w:pPr>
        <w:jc w:val="center"/>
        <w:rPr>
          <w:rFonts w:ascii="Calibri" w:hAnsi="Calibri" w:cs="Calibri"/>
        </w:rPr>
      </w:pPr>
      <w:r w:rsidRPr="00B343F3">
        <w:rPr>
          <w:rFonts w:ascii="Calibri" w:hAnsi="Calibri" w:cs="Calibri"/>
          <w:u w:val="single"/>
        </w:rPr>
        <w:t>Table 20</w:t>
      </w:r>
      <w:r w:rsidRPr="00B343F3">
        <w:rPr>
          <w:rFonts w:ascii="Calibri" w:hAnsi="Calibri" w:cs="Calibri"/>
        </w:rPr>
        <w:t>: Regression output of staff ethnicity &amp; grade in 2022/23</w:t>
      </w:r>
    </w:p>
    <w:p w14:paraId="412EF422" w14:textId="77777777" w:rsidR="00F45CF5" w:rsidRDefault="00F45CF5" w:rsidP="00B343F3">
      <w:pPr>
        <w:spacing w:line="259" w:lineRule="auto"/>
        <w:jc w:val="center"/>
        <w:rPr>
          <w:rFonts w:cstheme="minorHAnsi"/>
          <w:b/>
          <w:bCs/>
        </w:rPr>
      </w:pPr>
    </w:p>
    <w:p w14:paraId="212D5B07" w14:textId="77777777" w:rsidR="008E03CE" w:rsidRPr="0017357E" w:rsidRDefault="008E03CE" w:rsidP="008E03CE">
      <w:pPr>
        <w:spacing w:line="259" w:lineRule="auto"/>
        <w:jc w:val="both"/>
        <w:rPr>
          <w:rFonts w:cstheme="minorHAnsi"/>
          <w:i/>
          <w:iCs/>
        </w:rPr>
      </w:pPr>
      <w:r w:rsidRPr="0017357E">
        <w:rPr>
          <w:rFonts w:cstheme="minorHAnsi"/>
          <w:i/>
          <w:iCs/>
        </w:rPr>
        <w:t>Note: Analysis of staff gender and grade by ethnicity could not be conducted using regression analysis due to the high variation in ethnic composition across different grades, which limited the reliability of the results.</w:t>
      </w:r>
    </w:p>
    <w:p w14:paraId="6409DF34" w14:textId="77777777" w:rsidR="008E03CE" w:rsidRPr="0017357E" w:rsidRDefault="008E03CE" w:rsidP="008E03CE">
      <w:pPr>
        <w:spacing w:line="259" w:lineRule="auto"/>
        <w:jc w:val="both"/>
        <w:rPr>
          <w:rFonts w:cstheme="minorHAnsi"/>
          <w:i/>
          <w:iCs/>
        </w:rPr>
      </w:pPr>
    </w:p>
    <w:p w14:paraId="69C4A88D" w14:textId="77777777" w:rsidR="008E03CE" w:rsidRPr="0017357E" w:rsidRDefault="008E03CE" w:rsidP="008E03CE">
      <w:pPr>
        <w:pStyle w:val="Heading2"/>
      </w:pPr>
      <w:bookmarkStart w:id="62" w:name="_Toc190939421"/>
      <w:bookmarkStart w:id="63" w:name="_Toc202627104"/>
      <w:r w:rsidRPr="0017357E">
        <w:t xml:space="preserve">Frequency </w:t>
      </w:r>
      <w:r>
        <w:t>D</w:t>
      </w:r>
      <w:r w:rsidRPr="0017357E">
        <w:t xml:space="preserve">istribution and </w:t>
      </w:r>
      <w:r>
        <w:t>C</w:t>
      </w:r>
      <w:r w:rsidRPr="0017357E">
        <w:t>ross-</w:t>
      </w:r>
      <w:r>
        <w:t>T</w:t>
      </w:r>
      <w:r w:rsidRPr="0017357E">
        <w:t xml:space="preserve">abulation for </w:t>
      </w:r>
      <w:r>
        <w:t>C</w:t>
      </w:r>
      <w:r w:rsidRPr="0017357E">
        <w:t xml:space="preserve">urrent and </w:t>
      </w:r>
      <w:r>
        <w:t>E</w:t>
      </w:r>
      <w:r w:rsidRPr="0017357E">
        <w:t xml:space="preserve">ntrance </w:t>
      </w:r>
      <w:r>
        <w:t>S</w:t>
      </w:r>
      <w:r w:rsidRPr="0017357E">
        <w:t>tudents</w:t>
      </w:r>
      <w:bookmarkEnd w:id="62"/>
      <w:bookmarkEnd w:id="63"/>
      <w:r w:rsidRPr="0017357E">
        <w:t xml:space="preserve"> </w:t>
      </w:r>
    </w:p>
    <w:p w14:paraId="043077F5" w14:textId="2D24C3C9" w:rsidR="00E35AC6" w:rsidRDefault="00E35AC6" w:rsidP="00AE3304">
      <w:pPr>
        <w:rPr>
          <w:rFonts w:cstheme="minorHAnsi"/>
        </w:rPr>
      </w:pPr>
      <w:r w:rsidRPr="00B343F3">
        <w:rPr>
          <w:rFonts w:cstheme="minorHAnsi"/>
        </w:rPr>
        <w:t>Figure 1s shows data on the gender of current students from 2019/20 to 2022/23. Over five academic years, student enrollment has steadily increased, with female students consistently making up the majority. Starting with 43,305 students in the 2018/19 academic year, total enrollment reached 49,430 by 2022/23. Female students represented about 61% for the first three years, rising slightly to 62% in the last two years. Male students made up 39% at first, dropping to 38% in recent years.</w:t>
      </w:r>
      <w:r w:rsidR="00B343F3">
        <w:rPr>
          <w:rFonts w:cstheme="minorHAnsi"/>
        </w:rPr>
        <w:t xml:space="preserve"> </w:t>
      </w:r>
      <w:r w:rsidRPr="00B343F3">
        <w:rPr>
          <w:rFonts w:cstheme="minorHAnsi"/>
        </w:rPr>
        <w:t xml:space="preserve">Over the </w:t>
      </w:r>
      <w:r w:rsidR="00F96E2D">
        <w:rPr>
          <w:rFonts w:cstheme="minorHAnsi"/>
        </w:rPr>
        <w:t>p</w:t>
      </w:r>
      <w:r w:rsidRPr="00B343F3">
        <w:rPr>
          <w:rFonts w:cstheme="minorHAnsi"/>
        </w:rPr>
        <w:t>ast five years, the average student population has been 46,284,</w:t>
      </w:r>
      <w:r w:rsidR="00B343F3">
        <w:rPr>
          <w:rFonts w:cstheme="minorHAnsi"/>
        </w:rPr>
        <w:t xml:space="preserve"> </w:t>
      </w:r>
      <w:r w:rsidRPr="00B343F3">
        <w:rPr>
          <w:rFonts w:cstheme="minorHAnsi"/>
        </w:rPr>
        <w:t>with female students making up slightly more than 61% of the student population, showing a strong female presence. A small number of students fall into an</w:t>
      </w:r>
      <w:r w:rsidR="00B343F3">
        <w:rPr>
          <w:rFonts w:cstheme="minorHAnsi"/>
        </w:rPr>
        <w:t xml:space="preserve"> “</w:t>
      </w:r>
      <w:r w:rsidRPr="00B343F3">
        <w:rPr>
          <w:rFonts w:cstheme="minorHAnsi"/>
        </w:rPr>
        <w:t>Other/Unknown</w:t>
      </w:r>
      <w:r w:rsidR="00B343F3">
        <w:rPr>
          <w:rFonts w:cstheme="minorHAnsi"/>
        </w:rPr>
        <w:t>”</w:t>
      </w:r>
      <w:r w:rsidRPr="00B343F3">
        <w:rPr>
          <w:rFonts w:cstheme="minorHAnsi"/>
        </w:rPr>
        <w:t xml:space="preserve"> category, but this group makes up only a tiny part of the overall population. Overall, the data indicates a growing student body with a consistent gender imbalance, favouring female students.</w:t>
      </w:r>
    </w:p>
    <w:p w14:paraId="008E86D6" w14:textId="77777777" w:rsidR="00E35AC6" w:rsidRPr="00B343F3" w:rsidRDefault="00E35AC6" w:rsidP="00E35AC6">
      <w:pPr>
        <w:jc w:val="both"/>
        <w:rPr>
          <w:rFonts w:cstheme="minorHAnsi"/>
        </w:rPr>
      </w:pPr>
    </w:p>
    <w:p w14:paraId="5276B3DD" w14:textId="77777777" w:rsidR="00E35AC6" w:rsidRPr="00B343F3" w:rsidRDefault="00E35AC6" w:rsidP="00B343F3">
      <w:pPr>
        <w:jc w:val="center"/>
        <w:rPr>
          <w:rFonts w:cstheme="minorHAnsi"/>
        </w:rPr>
      </w:pPr>
      <w:r w:rsidRPr="00B343F3">
        <w:rPr>
          <w:rFonts w:cstheme="minorHAnsi"/>
          <w:noProof/>
        </w:rPr>
        <w:drawing>
          <wp:inline distT="0" distB="0" distL="0" distR="0" wp14:anchorId="4563B5EF" wp14:editId="1D476BF7">
            <wp:extent cx="5123809" cy="2714286"/>
            <wp:effectExtent l="0" t="0" r="1270" b="0"/>
            <wp:docPr id="1517700279" name="Picture 1" descr="A graph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07907" name="Picture 1" descr="A graph with numbers and text&#10;&#10;Description automatically generated"/>
                    <pic:cNvPicPr/>
                  </pic:nvPicPr>
                  <pic:blipFill>
                    <a:blip r:embed="rId76"/>
                    <a:stretch>
                      <a:fillRect/>
                    </a:stretch>
                  </pic:blipFill>
                  <pic:spPr>
                    <a:xfrm>
                      <a:off x="0" y="0"/>
                      <a:ext cx="5123809" cy="2714286"/>
                    </a:xfrm>
                    <a:prstGeom prst="rect">
                      <a:avLst/>
                    </a:prstGeom>
                  </pic:spPr>
                </pic:pic>
              </a:graphicData>
            </a:graphic>
          </wp:inline>
        </w:drawing>
      </w:r>
    </w:p>
    <w:p w14:paraId="2EDF1887" w14:textId="77777777" w:rsidR="00E35AC6" w:rsidRPr="00B343F3" w:rsidRDefault="00E35AC6" w:rsidP="00B343F3">
      <w:pPr>
        <w:jc w:val="center"/>
        <w:rPr>
          <w:rFonts w:cstheme="minorHAnsi"/>
        </w:rPr>
      </w:pPr>
      <w:r w:rsidRPr="00B343F3">
        <w:rPr>
          <w:rFonts w:cstheme="minorHAnsi"/>
          <w:u w:val="single"/>
        </w:rPr>
        <w:t>Figure 1s</w:t>
      </w:r>
      <w:r w:rsidRPr="00B343F3">
        <w:rPr>
          <w:rFonts w:cstheme="minorHAnsi"/>
        </w:rPr>
        <w:t>: Students’ gender and session year</w:t>
      </w:r>
    </w:p>
    <w:p w14:paraId="79761959" w14:textId="77777777" w:rsidR="00E35AC6" w:rsidRPr="00B343F3" w:rsidRDefault="00E35AC6" w:rsidP="00E35AC6">
      <w:pPr>
        <w:jc w:val="both"/>
        <w:rPr>
          <w:rFonts w:cstheme="minorHAnsi"/>
        </w:rPr>
      </w:pPr>
    </w:p>
    <w:p w14:paraId="3FBCB475" w14:textId="509041CC" w:rsidR="00E35AC6" w:rsidRPr="00B343F3" w:rsidRDefault="00E35AC6" w:rsidP="00E35AC6">
      <w:pPr>
        <w:jc w:val="both"/>
        <w:rPr>
          <w:rFonts w:cstheme="minorHAnsi"/>
          <w:i/>
          <w:iCs/>
        </w:rPr>
      </w:pPr>
      <w:r w:rsidRPr="00B343F3">
        <w:rPr>
          <w:rFonts w:cstheme="minorHAnsi"/>
          <w:i/>
          <w:iCs/>
        </w:rPr>
        <w:lastRenderedPageBreak/>
        <w:t xml:space="preserve">This information is also available in </w:t>
      </w:r>
      <w:r w:rsidRPr="00D72A0F">
        <w:rPr>
          <w:rFonts w:cstheme="minorHAnsi"/>
          <w:i/>
          <w:iCs/>
        </w:rPr>
        <w:t xml:space="preserve">Table 1s in </w:t>
      </w:r>
      <w:r w:rsidR="00AE3304" w:rsidRPr="00AE3304">
        <w:rPr>
          <w:rFonts w:cstheme="minorHAnsi"/>
          <w:i/>
          <w:iCs/>
        </w:rPr>
        <w:t>A</w:t>
      </w:r>
      <w:r w:rsidRPr="00057638">
        <w:rPr>
          <w:rFonts w:cstheme="minorHAnsi"/>
          <w:i/>
          <w:iCs/>
        </w:rPr>
        <w:t>ppendix</w:t>
      </w:r>
      <w:r w:rsidR="00AE3304" w:rsidRPr="00AE3304">
        <w:rPr>
          <w:rFonts w:cstheme="minorHAnsi"/>
          <w:i/>
          <w:iCs/>
        </w:rPr>
        <w:t xml:space="preserve"> 4</w:t>
      </w:r>
    </w:p>
    <w:p w14:paraId="44229EBD" w14:textId="77777777" w:rsidR="00E35AC6" w:rsidRPr="00120153" w:rsidRDefault="00E35AC6" w:rsidP="00E35AC6">
      <w:pPr>
        <w:jc w:val="both"/>
        <w:rPr>
          <w:rFonts w:ascii="Arial" w:hAnsi="Arial" w:cs="Arial"/>
          <w:i/>
          <w:iCs/>
        </w:rPr>
      </w:pPr>
    </w:p>
    <w:p w14:paraId="00B1560C" w14:textId="50C75710" w:rsidR="00E35AC6" w:rsidRDefault="00E35AC6" w:rsidP="00AE3304">
      <w:pPr>
        <w:rPr>
          <w:rFonts w:ascii="Calibri" w:hAnsi="Calibri" w:cs="Calibri"/>
        </w:rPr>
      </w:pPr>
      <w:r w:rsidRPr="00B343F3">
        <w:rPr>
          <w:rFonts w:ascii="Calibri" w:hAnsi="Calibri" w:cs="Calibri"/>
        </w:rPr>
        <w:t xml:space="preserve">Figure 2s shows an increasing trend in diversity among the student population from 2018/19 to 2022/23. It highlights a growing diversity, especially with a noticeable rise in the proportion of Asian students, which increased from 24% in 2018/19 to 34% in 2022/23. At the same time, the percentage of White students has dropped from 66% to 57%, although they remain the largest group each year. Other ethnic groups, including Black, Mixed, and Other categories, have remained fairly steady, with only slight changes in their percentages. Black students have increased slightly, from 2% to around 2-3%, while Mixed students have consistently made up about 4-5% of the student body each year. </w:t>
      </w:r>
    </w:p>
    <w:p w14:paraId="1619A8D5" w14:textId="77777777" w:rsidR="00B343F3" w:rsidRPr="00B343F3" w:rsidRDefault="00B343F3" w:rsidP="00E35AC6">
      <w:pPr>
        <w:jc w:val="both"/>
        <w:rPr>
          <w:rFonts w:ascii="Calibri" w:hAnsi="Calibri" w:cs="Calibri"/>
        </w:rPr>
      </w:pPr>
    </w:p>
    <w:p w14:paraId="2E3ECD0C" w14:textId="77777777" w:rsidR="00E35AC6" w:rsidRPr="00120153" w:rsidRDefault="00E35AC6" w:rsidP="00E35AC6">
      <w:pPr>
        <w:jc w:val="both"/>
        <w:rPr>
          <w:rFonts w:ascii="Arial" w:hAnsi="Arial" w:cs="Arial"/>
        </w:rPr>
      </w:pPr>
      <w:r>
        <w:rPr>
          <w:rFonts w:ascii="Arial" w:hAnsi="Arial" w:cs="Arial"/>
          <w:noProof/>
        </w:rPr>
        <w:drawing>
          <wp:inline distT="0" distB="0" distL="0" distR="0" wp14:anchorId="36703A99" wp14:editId="3A514E5B">
            <wp:extent cx="5773420" cy="2731135"/>
            <wp:effectExtent l="0" t="0" r="0" b="0"/>
            <wp:docPr id="1501526389" name="Picture 5"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26389" name="Picture 5" descr="A graph of different colored bars&#10;&#10;AI-generated content may be incorrect."/>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73420" cy="2731135"/>
                    </a:xfrm>
                    <a:prstGeom prst="rect">
                      <a:avLst/>
                    </a:prstGeom>
                    <a:noFill/>
                  </pic:spPr>
                </pic:pic>
              </a:graphicData>
            </a:graphic>
          </wp:inline>
        </w:drawing>
      </w:r>
    </w:p>
    <w:p w14:paraId="39BE9B34" w14:textId="77777777" w:rsidR="00E35AC6" w:rsidRPr="00B343F3" w:rsidRDefault="00E35AC6" w:rsidP="00B343F3">
      <w:pPr>
        <w:jc w:val="center"/>
        <w:rPr>
          <w:rFonts w:ascii="Calibri" w:hAnsi="Calibri" w:cs="Calibri"/>
        </w:rPr>
      </w:pPr>
      <w:r w:rsidRPr="00B343F3">
        <w:rPr>
          <w:rFonts w:ascii="Calibri" w:hAnsi="Calibri" w:cs="Calibri"/>
          <w:u w:val="single"/>
        </w:rPr>
        <w:t>Figure 2s</w:t>
      </w:r>
      <w:r w:rsidRPr="00B343F3">
        <w:rPr>
          <w:rFonts w:ascii="Calibri" w:hAnsi="Calibri" w:cs="Calibri"/>
        </w:rPr>
        <w:t>:</w:t>
      </w:r>
      <w:r w:rsidRPr="00B343F3">
        <w:rPr>
          <w:rFonts w:ascii="Calibri" w:hAnsi="Calibri" w:cs="Calibri"/>
          <w:b/>
          <w:bCs/>
        </w:rPr>
        <w:t xml:space="preserve"> </w:t>
      </w:r>
      <w:r w:rsidRPr="00B343F3">
        <w:rPr>
          <w:rFonts w:ascii="Calibri" w:hAnsi="Calibri" w:cs="Calibri"/>
        </w:rPr>
        <w:t>Current student ethnicity distribution</w:t>
      </w:r>
    </w:p>
    <w:p w14:paraId="5E163C61" w14:textId="77777777" w:rsidR="00E35AC6" w:rsidRPr="00B343F3" w:rsidRDefault="00E35AC6" w:rsidP="00E35AC6">
      <w:pPr>
        <w:jc w:val="both"/>
        <w:rPr>
          <w:rFonts w:ascii="Calibri" w:hAnsi="Calibri" w:cs="Calibri"/>
        </w:rPr>
      </w:pPr>
    </w:p>
    <w:p w14:paraId="6054F60D" w14:textId="493908E0" w:rsidR="00E35AC6" w:rsidRPr="00B343F3" w:rsidRDefault="00E35AC6" w:rsidP="00E35AC6">
      <w:pPr>
        <w:jc w:val="both"/>
        <w:rPr>
          <w:rFonts w:ascii="Calibri" w:hAnsi="Calibri" w:cs="Calibri"/>
          <w:i/>
          <w:iCs/>
        </w:rPr>
      </w:pPr>
      <w:r w:rsidRPr="00D72A0F">
        <w:rPr>
          <w:rFonts w:ascii="Calibri" w:hAnsi="Calibri" w:cs="Calibri"/>
          <w:i/>
          <w:iCs/>
        </w:rPr>
        <w:t xml:space="preserve">This information is also available in Table 2s in </w:t>
      </w:r>
      <w:r w:rsidR="009728EF">
        <w:rPr>
          <w:rFonts w:ascii="Calibri" w:hAnsi="Calibri" w:cs="Calibri"/>
          <w:i/>
          <w:iCs/>
        </w:rPr>
        <w:t>Appendix 4</w:t>
      </w:r>
      <w:r w:rsidRPr="00D72A0F">
        <w:rPr>
          <w:rFonts w:ascii="Calibri" w:hAnsi="Calibri" w:cs="Calibri"/>
          <w:i/>
          <w:iCs/>
        </w:rPr>
        <w:t>.</w:t>
      </w:r>
    </w:p>
    <w:p w14:paraId="09DAD2C0" w14:textId="77777777" w:rsidR="00E35AC6" w:rsidRPr="00120153" w:rsidRDefault="00E35AC6" w:rsidP="00E35AC6">
      <w:pPr>
        <w:jc w:val="both"/>
        <w:rPr>
          <w:rFonts w:ascii="Arial" w:hAnsi="Arial" w:cs="Arial"/>
          <w:i/>
          <w:iCs/>
        </w:rPr>
      </w:pPr>
    </w:p>
    <w:p w14:paraId="57B37B44" w14:textId="77777777" w:rsidR="009727FE" w:rsidRPr="00B343F3" w:rsidRDefault="009727FE" w:rsidP="00AE3304">
      <w:pPr>
        <w:rPr>
          <w:rFonts w:cstheme="minorHAnsi"/>
        </w:rPr>
      </w:pPr>
      <w:r w:rsidRPr="00B343F3">
        <w:rPr>
          <w:rFonts w:cstheme="minorHAnsi"/>
        </w:rPr>
        <w:t xml:space="preserve">Figure 3s shows a steady increase in diversity among students, broken down by gender and ethnicity over five academic years. Both male and female groups have seen a notable rise in the proportion of Asian students, especially among female students, while the proportion of White students has gradually declined. This shift indicates a trend towards a more diverse student body over time. Female students consistently outnumber male students across most ethnic groups, with both genders showing a steady increase in Asian, Black, and Mixed representation and a decline in the percentage of White students. </w:t>
      </w:r>
    </w:p>
    <w:p w14:paraId="6E235777" w14:textId="77777777" w:rsidR="009727FE" w:rsidRPr="00B343F3" w:rsidRDefault="009727FE" w:rsidP="009727FE">
      <w:pPr>
        <w:jc w:val="both"/>
        <w:rPr>
          <w:rFonts w:cstheme="minorHAnsi"/>
        </w:rPr>
      </w:pPr>
    </w:p>
    <w:p w14:paraId="1B8CBB0B" w14:textId="77777777" w:rsidR="009727FE" w:rsidRPr="00B343F3" w:rsidRDefault="009727FE" w:rsidP="00B343F3">
      <w:pPr>
        <w:jc w:val="center"/>
        <w:rPr>
          <w:rFonts w:cstheme="minorHAnsi"/>
        </w:rPr>
      </w:pPr>
      <w:r w:rsidRPr="00B343F3">
        <w:rPr>
          <w:rFonts w:cstheme="minorHAnsi"/>
          <w:noProof/>
        </w:rPr>
        <w:lastRenderedPageBreak/>
        <w:drawing>
          <wp:inline distT="0" distB="0" distL="0" distR="0" wp14:anchorId="0468B760" wp14:editId="3ED6132C">
            <wp:extent cx="5772150" cy="3384575"/>
            <wp:effectExtent l="0" t="0" r="0" b="6350"/>
            <wp:docPr id="348500941" name="Picture 6" descr="A graph of a student pop by ethnicity and ethni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500941" name="Picture 6" descr="A graph of a student pop by ethnicity and ethnicity&#10;&#10;AI-generated content may be incorrect."/>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78875" cy="3388518"/>
                    </a:xfrm>
                    <a:prstGeom prst="rect">
                      <a:avLst/>
                    </a:prstGeom>
                    <a:noFill/>
                  </pic:spPr>
                </pic:pic>
              </a:graphicData>
            </a:graphic>
          </wp:inline>
        </w:drawing>
      </w:r>
    </w:p>
    <w:p w14:paraId="00F05896" w14:textId="77777777" w:rsidR="009727FE" w:rsidRPr="00B343F3" w:rsidRDefault="009727FE" w:rsidP="00B343F3">
      <w:pPr>
        <w:jc w:val="center"/>
        <w:rPr>
          <w:rFonts w:cstheme="minorHAnsi"/>
        </w:rPr>
      </w:pPr>
      <w:r w:rsidRPr="00B343F3">
        <w:rPr>
          <w:rFonts w:cstheme="minorHAnsi"/>
          <w:u w:val="single"/>
        </w:rPr>
        <w:t>Figure 3s</w:t>
      </w:r>
      <w:r w:rsidRPr="00B343F3">
        <w:rPr>
          <w:rFonts w:cstheme="minorHAnsi"/>
          <w:b/>
          <w:bCs/>
        </w:rPr>
        <w:t xml:space="preserve">: </w:t>
      </w:r>
      <w:r w:rsidRPr="00B343F3">
        <w:rPr>
          <w:rFonts w:cstheme="minorHAnsi"/>
        </w:rPr>
        <w:t>Current students mix gender ethnicity by year</w:t>
      </w:r>
    </w:p>
    <w:p w14:paraId="67406579" w14:textId="77777777" w:rsidR="009727FE" w:rsidRPr="00B343F3" w:rsidRDefault="009727FE" w:rsidP="009727FE">
      <w:pPr>
        <w:jc w:val="both"/>
        <w:rPr>
          <w:rFonts w:cstheme="minorHAnsi"/>
          <w:b/>
          <w:bCs/>
        </w:rPr>
      </w:pPr>
    </w:p>
    <w:p w14:paraId="1660506D" w14:textId="2C164414" w:rsidR="009727FE" w:rsidRPr="00120153" w:rsidRDefault="009727FE" w:rsidP="009727FE">
      <w:pPr>
        <w:jc w:val="both"/>
        <w:rPr>
          <w:rFonts w:ascii="Arial" w:hAnsi="Arial" w:cs="Arial"/>
          <w:i/>
          <w:iCs/>
        </w:rPr>
      </w:pPr>
      <w:r w:rsidRPr="00B343F3">
        <w:rPr>
          <w:rFonts w:cstheme="minorHAnsi"/>
          <w:i/>
          <w:iCs/>
        </w:rPr>
        <w:t xml:space="preserve">This information is also available in </w:t>
      </w:r>
      <w:r w:rsidRPr="00D72A0F">
        <w:rPr>
          <w:rFonts w:cstheme="minorHAnsi"/>
          <w:i/>
          <w:iCs/>
        </w:rPr>
        <w:t xml:space="preserve">Table 3s in </w:t>
      </w:r>
      <w:r w:rsidR="00AE3304" w:rsidRPr="00057638">
        <w:rPr>
          <w:rFonts w:cstheme="minorHAnsi"/>
          <w:i/>
          <w:iCs/>
        </w:rPr>
        <w:t>A</w:t>
      </w:r>
      <w:r w:rsidRPr="00AE3304">
        <w:rPr>
          <w:rFonts w:cstheme="minorHAnsi"/>
          <w:i/>
          <w:iCs/>
        </w:rPr>
        <w:t>ppendix</w:t>
      </w:r>
      <w:r w:rsidR="00AE3304" w:rsidRPr="00AE3304">
        <w:rPr>
          <w:rFonts w:cstheme="minorHAnsi"/>
          <w:i/>
          <w:iCs/>
        </w:rPr>
        <w:t xml:space="preserve"> 4</w:t>
      </w:r>
    </w:p>
    <w:p w14:paraId="76413293" w14:textId="77777777" w:rsidR="009727FE" w:rsidRPr="00B343F3" w:rsidRDefault="009727FE" w:rsidP="00AE3304">
      <w:pPr>
        <w:pStyle w:val="NormalWeb"/>
        <w:rPr>
          <w:rFonts w:asciiTheme="minorHAnsi" w:hAnsiTheme="minorHAnsi" w:cstheme="minorHAnsi"/>
        </w:rPr>
      </w:pPr>
      <w:r w:rsidRPr="00B343F3">
        <w:rPr>
          <w:rFonts w:asciiTheme="minorHAnsi" w:hAnsiTheme="minorHAnsi" w:cstheme="minorHAnsi"/>
        </w:rPr>
        <w:t>Figure 4s shows the breakdown of undergraduate students by ethnicity across three colleges—HSS (Humanities and Social Sciences), MVM (Medicine and Veterinary Medicine), and SCE (Science and Engineering)—from 2018/19 to 2022/23. Over these years, there has been a gradual shift towards more diversity among undergraduates. The percentage of Asian students has notably increased, reaching 26% of the total by 2022/23, while the percentage of White students has declined from 76% in 2018/19 to 66% in 2022/23, though they are still the largest group each year. Diversity also differs by college. MVM consistently has a higher percentage of Asian students, increasing from 23% in 2018/19 to 33% in 2022/23. HSS, on the other hand, has the highest proportion of White students, averaging over 70% each year. SCE has also seen growth in Asian student numbers, reaching 29% by 2022/23.</w:t>
      </w:r>
    </w:p>
    <w:p w14:paraId="3E3E2BC3" w14:textId="77777777" w:rsidR="009727FE" w:rsidRPr="00B343F3" w:rsidRDefault="009727FE" w:rsidP="00B343F3">
      <w:pPr>
        <w:jc w:val="center"/>
        <w:rPr>
          <w:rFonts w:cstheme="minorHAnsi"/>
          <w:i/>
          <w:iCs/>
        </w:rPr>
      </w:pPr>
      <w:r w:rsidRPr="00B343F3">
        <w:rPr>
          <w:rFonts w:cstheme="minorHAnsi"/>
          <w:noProof/>
        </w:rPr>
        <w:lastRenderedPageBreak/>
        <w:drawing>
          <wp:inline distT="0" distB="0" distL="0" distR="0" wp14:anchorId="0E47F905" wp14:editId="7A28DBA0">
            <wp:extent cx="5943600" cy="3336290"/>
            <wp:effectExtent l="0" t="0" r="0" b="0"/>
            <wp:docPr id="26406420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43013" name="Picture 1" descr="A graph of different colored lines&#10;&#10;Description automatically generated"/>
                    <pic:cNvPicPr/>
                  </pic:nvPicPr>
                  <pic:blipFill>
                    <a:blip r:embed="rId79"/>
                    <a:stretch>
                      <a:fillRect/>
                    </a:stretch>
                  </pic:blipFill>
                  <pic:spPr>
                    <a:xfrm>
                      <a:off x="0" y="0"/>
                      <a:ext cx="5943600" cy="3336290"/>
                    </a:xfrm>
                    <a:prstGeom prst="rect">
                      <a:avLst/>
                    </a:prstGeom>
                  </pic:spPr>
                </pic:pic>
              </a:graphicData>
            </a:graphic>
          </wp:inline>
        </w:drawing>
      </w:r>
    </w:p>
    <w:p w14:paraId="7221AEAE" w14:textId="77777777" w:rsidR="009727FE" w:rsidRPr="00B343F3" w:rsidRDefault="009727FE" w:rsidP="00B343F3">
      <w:pPr>
        <w:jc w:val="center"/>
        <w:rPr>
          <w:rFonts w:cstheme="minorHAnsi"/>
        </w:rPr>
      </w:pPr>
      <w:r w:rsidRPr="00B343F3">
        <w:rPr>
          <w:rFonts w:cstheme="minorHAnsi"/>
          <w:u w:val="single"/>
        </w:rPr>
        <w:t>Figure 4s</w:t>
      </w:r>
      <w:r w:rsidRPr="00B343F3">
        <w:rPr>
          <w:rFonts w:cstheme="minorHAnsi"/>
        </w:rPr>
        <w:t>: Current undergraduate population distribution</w:t>
      </w:r>
    </w:p>
    <w:p w14:paraId="0C6E4B67" w14:textId="77777777" w:rsidR="009727FE" w:rsidRPr="00B343F3" w:rsidRDefault="009727FE" w:rsidP="009727FE">
      <w:pPr>
        <w:jc w:val="both"/>
        <w:rPr>
          <w:rFonts w:cstheme="minorHAnsi"/>
        </w:rPr>
      </w:pPr>
    </w:p>
    <w:p w14:paraId="333104D1" w14:textId="6D3E90C6" w:rsidR="009727FE" w:rsidRPr="00B343F3" w:rsidRDefault="009727FE" w:rsidP="009727FE">
      <w:pPr>
        <w:pStyle w:val="NormalWeb"/>
        <w:spacing w:before="0" w:beforeAutospacing="0" w:after="0" w:afterAutospacing="0" w:line="259" w:lineRule="auto"/>
        <w:jc w:val="both"/>
        <w:rPr>
          <w:rFonts w:asciiTheme="minorHAnsi" w:hAnsiTheme="minorHAnsi" w:cstheme="minorHAnsi"/>
          <w:i/>
          <w:iCs/>
        </w:rPr>
      </w:pPr>
      <w:r w:rsidRPr="00B343F3">
        <w:rPr>
          <w:rFonts w:asciiTheme="minorHAnsi" w:hAnsiTheme="minorHAnsi" w:cstheme="minorHAnsi"/>
          <w:i/>
          <w:iCs/>
        </w:rPr>
        <w:t xml:space="preserve">This information is also available in Table 4s </w:t>
      </w:r>
      <w:r w:rsidRPr="00AE3304">
        <w:rPr>
          <w:rFonts w:asciiTheme="minorHAnsi" w:hAnsiTheme="minorHAnsi" w:cstheme="minorHAnsi"/>
          <w:i/>
          <w:iCs/>
        </w:rPr>
        <w:t xml:space="preserve">in </w:t>
      </w:r>
      <w:r w:rsidR="00AE3304" w:rsidRPr="00057638">
        <w:rPr>
          <w:rFonts w:asciiTheme="minorHAnsi" w:hAnsiTheme="minorHAnsi" w:cstheme="minorHAnsi"/>
          <w:i/>
          <w:iCs/>
        </w:rPr>
        <w:t>A</w:t>
      </w:r>
      <w:r w:rsidRPr="00AE3304">
        <w:rPr>
          <w:rFonts w:asciiTheme="minorHAnsi" w:hAnsiTheme="minorHAnsi" w:cstheme="minorHAnsi"/>
          <w:i/>
          <w:iCs/>
        </w:rPr>
        <w:t>ppendix</w:t>
      </w:r>
      <w:r w:rsidR="00AE3304" w:rsidRPr="00AE3304">
        <w:rPr>
          <w:rFonts w:asciiTheme="minorHAnsi" w:hAnsiTheme="minorHAnsi" w:cstheme="minorHAnsi"/>
          <w:i/>
          <w:iCs/>
        </w:rPr>
        <w:t xml:space="preserve"> 4</w:t>
      </w:r>
      <w:r w:rsidRPr="00AE3304">
        <w:rPr>
          <w:rFonts w:asciiTheme="minorHAnsi" w:hAnsiTheme="minorHAnsi" w:cstheme="minorHAnsi"/>
          <w:i/>
          <w:iCs/>
        </w:rPr>
        <w:t>.</w:t>
      </w:r>
    </w:p>
    <w:p w14:paraId="421AD90C" w14:textId="3662A874" w:rsidR="009727FE" w:rsidRDefault="009727FE" w:rsidP="009727FE">
      <w:pPr>
        <w:pStyle w:val="NormalWeb"/>
        <w:spacing w:before="0" w:beforeAutospacing="0" w:after="0" w:afterAutospacing="0" w:line="259" w:lineRule="auto"/>
        <w:jc w:val="both"/>
        <w:rPr>
          <w:rFonts w:ascii="Arial" w:hAnsi="Arial" w:cs="Arial"/>
          <w:i/>
          <w:iCs/>
        </w:rPr>
      </w:pPr>
    </w:p>
    <w:p w14:paraId="194C6D41" w14:textId="77777777" w:rsidR="009727FE" w:rsidRPr="00B343F3" w:rsidRDefault="009727FE" w:rsidP="00AE3304">
      <w:pPr>
        <w:rPr>
          <w:rFonts w:cstheme="minorHAnsi"/>
        </w:rPr>
      </w:pPr>
      <w:r w:rsidRPr="00B343F3">
        <w:rPr>
          <w:rFonts w:cstheme="minorHAnsi"/>
        </w:rPr>
        <w:t>Figure 5s shows the ethnic makeup of postgraduate taught students in three colleges—HSS (Humanities and Social Sciences), MVM (Medicine and Veterinary Medicine), and SCE (Science and Engineering)—from 2018/19 to 2022/23. During this period, there has been a significant increase in the percentage of Asian students, rising from 32% in 2018/19 to 44% in 2022/23. At the same time, the percentage of White students has gradually decreased, dropping from 56% to 45%. This trend suggests a growing diversity among postgraduate-taught students, with Asian students becoming more prominent and White students making up a smaller portion over time.</w:t>
      </w:r>
    </w:p>
    <w:p w14:paraId="240814BB" w14:textId="77777777" w:rsidR="009727FE" w:rsidRPr="00B343F3" w:rsidRDefault="009727FE" w:rsidP="009727FE">
      <w:pPr>
        <w:jc w:val="both"/>
        <w:rPr>
          <w:rFonts w:cstheme="minorHAnsi"/>
        </w:rPr>
      </w:pPr>
    </w:p>
    <w:p w14:paraId="651013A9" w14:textId="77777777" w:rsidR="009727FE" w:rsidRPr="00B343F3" w:rsidRDefault="009727FE" w:rsidP="009727FE">
      <w:pPr>
        <w:jc w:val="both"/>
        <w:rPr>
          <w:rFonts w:cstheme="minorHAnsi"/>
        </w:rPr>
      </w:pPr>
    </w:p>
    <w:p w14:paraId="34CF3068" w14:textId="77777777" w:rsidR="009727FE" w:rsidRPr="00B343F3" w:rsidRDefault="009727FE" w:rsidP="00B343F3">
      <w:pPr>
        <w:jc w:val="center"/>
        <w:rPr>
          <w:rFonts w:cstheme="minorHAnsi"/>
          <w:b/>
          <w:bCs/>
          <w:i/>
          <w:iCs/>
          <w:u w:val="single"/>
        </w:rPr>
      </w:pPr>
      <w:r w:rsidRPr="00B343F3">
        <w:rPr>
          <w:rFonts w:cstheme="minorHAnsi"/>
          <w:noProof/>
        </w:rPr>
        <w:lastRenderedPageBreak/>
        <w:drawing>
          <wp:inline distT="0" distB="0" distL="0" distR="0" wp14:anchorId="7B914D02" wp14:editId="10444A6E">
            <wp:extent cx="5943600" cy="3184525"/>
            <wp:effectExtent l="0" t="0" r="0" b="0"/>
            <wp:docPr id="983503583"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670445" name="Picture 1" descr="A graph of different colored lines&#10;&#10;Description automatically generated"/>
                    <pic:cNvPicPr/>
                  </pic:nvPicPr>
                  <pic:blipFill>
                    <a:blip r:embed="rId80"/>
                    <a:stretch>
                      <a:fillRect/>
                    </a:stretch>
                  </pic:blipFill>
                  <pic:spPr>
                    <a:xfrm>
                      <a:off x="0" y="0"/>
                      <a:ext cx="5943600" cy="3184525"/>
                    </a:xfrm>
                    <a:prstGeom prst="rect">
                      <a:avLst/>
                    </a:prstGeom>
                  </pic:spPr>
                </pic:pic>
              </a:graphicData>
            </a:graphic>
          </wp:inline>
        </w:drawing>
      </w:r>
    </w:p>
    <w:p w14:paraId="0B80E2D9" w14:textId="77777777" w:rsidR="009727FE" w:rsidRPr="00B343F3" w:rsidRDefault="009727FE" w:rsidP="00B343F3">
      <w:pPr>
        <w:jc w:val="center"/>
        <w:rPr>
          <w:rFonts w:cstheme="minorHAnsi"/>
        </w:rPr>
      </w:pPr>
      <w:r w:rsidRPr="00B343F3">
        <w:rPr>
          <w:rFonts w:cstheme="minorHAnsi"/>
          <w:u w:val="single"/>
        </w:rPr>
        <w:t>Figure 5s</w:t>
      </w:r>
      <w:r w:rsidRPr="00B343F3">
        <w:rPr>
          <w:rFonts w:cstheme="minorHAnsi"/>
        </w:rPr>
        <w:t>:</w:t>
      </w:r>
      <w:r w:rsidRPr="00B343F3">
        <w:rPr>
          <w:rFonts w:cstheme="minorHAnsi"/>
          <w:b/>
          <w:bCs/>
        </w:rPr>
        <w:t xml:space="preserve"> </w:t>
      </w:r>
      <w:r w:rsidRPr="00B343F3">
        <w:rPr>
          <w:rFonts w:cstheme="minorHAnsi"/>
        </w:rPr>
        <w:t>Current postgraduate taught students program distributions</w:t>
      </w:r>
    </w:p>
    <w:p w14:paraId="775903AC" w14:textId="77777777" w:rsidR="00B343F3" w:rsidRDefault="00B343F3" w:rsidP="009727FE">
      <w:pPr>
        <w:jc w:val="both"/>
        <w:rPr>
          <w:rFonts w:cstheme="minorHAnsi"/>
          <w:i/>
          <w:iCs/>
        </w:rPr>
      </w:pPr>
    </w:p>
    <w:p w14:paraId="6A8B42DF" w14:textId="1444F025" w:rsidR="009727FE" w:rsidRDefault="009727FE" w:rsidP="009727FE">
      <w:pPr>
        <w:jc w:val="both"/>
        <w:rPr>
          <w:rFonts w:cstheme="minorHAnsi"/>
          <w:i/>
          <w:iCs/>
        </w:rPr>
      </w:pPr>
      <w:r w:rsidRPr="00B343F3">
        <w:rPr>
          <w:rFonts w:cstheme="minorHAnsi"/>
          <w:i/>
          <w:iCs/>
        </w:rPr>
        <w:t xml:space="preserve">This information is also available in Table 5s in </w:t>
      </w:r>
      <w:r w:rsidR="00AE3304" w:rsidRPr="00057638">
        <w:rPr>
          <w:rFonts w:cstheme="minorHAnsi"/>
          <w:i/>
          <w:iCs/>
        </w:rPr>
        <w:t>A</w:t>
      </w:r>
      <w:r w:rsidRPr="00AE3304">
        <w:rPr>
          <w:rFonts w:cstheme="minorHAnsi"/>
          <w:i/>
          <w:iCs/>
        </w:rPr>
        <w:t>ppendix</w:t>
      </w:r>
      <w:r w:rsidR="00AE3304" w:rsidRPr="00AE3304">
        <w:rPr>
          <w:rFonts w:cstheme="minorHAnsi"/>
          <w:i/>
          <w:iCs/>
        </w:rPr>
        <w:t xml:space="preserve"> 4</w:t>
      </w:r>
      <w:r w:rsidRPr="00AE3304">
        <w:rPr>
          <w:rFonts w:cstheme="minorHAnsi"/>
          <w:i/>
          <w:iCs/>
        </w:rPr>
        <w:t>.</w:t>
      </w:r>
    </w:p>
    <w:p w14:paraId="12FEF534" w14:textId="01E5482E" w:rsidR="009727FE" w:rsidRPr="00120153" w:rsidRDefault="00D72A0F" w:rsidP="009727FE">
      <w:pPr>
        <w:jc w:val="both"/>
        <w:rPr>
          <w:rFonts w:ascii="Arial" w:hAnsi="Arial" w:cs="Arial"/>
          <w:i/>
          <w:iCs/>
        </w:rPr>
      </w:pPr>
      <w:r>
        <w:rPr>
          <w:rFonts w:ascii="Arial" w:hAnsi="Arial" w:cs="Arial"/>
          <w:i/>
          <w:iCs/>
        </w:rPr>
        <w:t xml:space="preserve"> </w:t>
      </w:r>
    </w:p>
    <w:p w14:paraId="7E9ACC1C" w14:textId="77777777" w:rsidR="008E03CE" w:rsidRPr="0017357E" w:rsidRDefault="008E03CE" w:rsidP="00F37F06">
      <w:pPr>
        <w:pStyle w:val="Heading4"/>
      </w:pPr>
      <w:r w:rsidRPr="0017357E">
        <w:t>Entrant</w:t>
      </w:r>
    </w:p>
    <w:p w14:paraId="43593210" w14:textId="401F44FD" w:rsidR="00E35AC6" w:rsidRDefault="00E35AC6" w:rsidP="00AE3304">
      <w:pPr>
        <w:rPr>
          <w:rFonts w:ascii="Calibri" w:hAnsi="Calibri" w:cs="Calibri"/>
        </w:rPr>
      </w:pPr>
      <w:r w:rsidRPr="00B343F3">
        <w:rPr>
          <w:rFonts w:ascii="Calibri" w:hAnsi="Calibri" w:cs="Calibri"/>
        </w:rPr>
        <w:t xml:space="preserve">Figure 7s shows the ethnic makeup of new students from 2018/19 to 2022/23. Over these years, there has been a noticeable increase in the proportion of Asian students, rising from 31% of new entrants in 2018/19 to 41% in 2022/23, indicating a trend towards greater diversity among new students. At the same time, the percentage of </w:t>
      </w:r>
      <w:r w:rsidR="003F4A73">
        <w:rPr>
          <w:rFonts w:ascii="Calibri" w:hAnsi="Calibri" w:cs="Calibri"/>
        </w:rPr>
        <w:t>W</w:t>
      </w:r>
      <w:r w:rsidRPr="00B343F3">
        <w:rPr>
          <w:rFonts w:ascii="Calibri" w:hAnsi="Calibri" w:cs="Calibri"/>
        </w:rPr>
        <w:t>hite students has dropped from 59% to 50%, though they still make up a significant part of the new student population. The representation of Black, Other, and Mixed ethnic groups has stayed relatively stable, each consistently forming a smaller part of the total.</w:t>
      </w:r>
    </w:p>
    <w:p w14:paraId="5A61D30C" w14:textId="77777777" w:rsidR="00B343F3" w:rsidRPr="00B343F3" w:rsidRDefault="00B343F3" w:rsidP="00E35AC6">
      <w:pPr>
        <w:jc w:val="both"/>
        <w:rPr>
          <w:rFonts w:ascii="Calibri" w:hAnsi="Calibri" w:cs="Calibri"/>
        </w:rPr>
      </w:pPr>
    </w:p>
    <w:p w14:paraId="4FE26874" w14:textId="77777777" w:rsidR="00E35AC6" w:rsidRPr="00120153" w:rsidRDefault="00E35AC6" w:rsidP="00B343F3">
      <w:pPr>
        <w:jc w:val="center"/>
        <w:rPr>
          <w:rFonts w:ascii="Arial" w:hAnsi="Arial" w:cs="Arial"/>
        </w:rPr>
      </w:pPr>
      <w:r>
        <w:rPr>
          <w:rFonts w:ascii="Arial" w:hAnsi="Arial" w:cs="Arial"/>
          <w:noProof/>
        </w:rPr>
        <w:lastRenderedPageBreak/>
        <w:drawing>
          <wp:inline distT="0" distB="0" distL="0" distR="0" wp14:anchorId="7C03C09D" wp14:editId="36005AB0">
            <wp:extent cx="5748338" cy="3154816"/>
            <wp:effectExtent l="0" t="0" r="5080" b="7620"/>
            <wp:docPr id="110862788" name="Picture 7"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62788" name="Picture 7" descr="A graph of different colored bars&#10;&#10;AI-generated content may be incorrec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53505" cy="3157652"/>
                    </a:xfrm>
                    <a:prstGeom prst="rect">
                      <a:avLst/>
                    </a:prstGeom>
                    <a:noFill/>
                  </pic:spPr>
                </pic:pic>
              </a:graphicData>
            </a:graphic>
          </wp:inline>
        </w:drawing>
      </w:r>
    </w:p>
    <w:p w14:paraId="3BCDFF69" w14:textId="77777777" w:rsidR="00E35AC6" w:rsidRPr="00B343F3" w:rsidRDefault="00E35AC6" w:rsidP="00B343F3">
      <w:pPr>
        <w:jc w:val="center"/>
        <w:rPr>
          <w:rFonts w:ascii="Calibri" w:hAnsi="Calibri" w:cs="Calibri"/>
        </w:rPr>
      </w:pPr>
      <w:r w:rsidRPr="00B343F3">
        <w:rPr>
          <w:rFonts w:ascii="Calibri" w:hAnsi="Calibri" w:cs="Calibri"/>
          <w:u w:val="single"/>
        </w:rPr>
        <w:t>Figure 7s:</w:t>
      </w:r>
      <w:r w:rsidRPr="00B343F3">
        <w:rPr>
          <w:rFonts w:ascii="Calibri" w:hAnsi="Calibri" w:cs="Calibri"/>
          <w:b/>
          <w:bCs/>
        </w:rPr>
        <w:t xml:space="preserve"> </w:t>
      </w:r>
      <w:r w:rsidRPr="00B343F3">
        <w:rPr>
          <w:rFonts w:ascii="Calibri" w:hAnsi="Calibri" w:cs="Calibri"/>
        </w:rPr>
        <w:t>Entrant student ethnicity distribution</w:t>
      </w:r>
    </w:p>
    <w:p w14:paraId="3C24D33D" w14:textId="77777777" w:rsidR="00E35AC6" w:rsidRPr="00B343F3" w:rsidRDefault="00E35AC6" w:rsidP="00E35AC6">
      <w:pPr>
        <w:jc w:val="both"/>
        <w:rPr>
          <w:rFonts w:ascii="Calibri" w:hAnsi="Calibri" w:cs="Calibri"/>
          <w:b/>
          <w:bCs/>
        </w:rPr>
      </w:pPr>
    </w:p>
    <w:p w14:paraId="54FDF4FC" w14:textId="7795A202" w:rsidR="00F60AD9" w:rsidRDefault="00E35AC6" w:rsidP="00D9372B">
      <w:pPr>
        <w:spacing w:line="259" w:lineRule="auto"/>
        <w:jc w:val="both"/>
        <w:rPr>
          <w:rFonts w:ascii="Calibri" w:eastAsia="Calibri" w:hAnsi="Calibri" w:cs="Calibri"/>
          <w:b/>
          <w:smallCaps/>
          <w:color w:val="000000" w:themeColor="text1"/>
          <w:sz w:val="28"/>
          <w:szCs w:val="32"/>
        </w:rPr>
      </w:pPr>
      <w:r w:rsidRPr="00B343F3">
        <w:rPr>
          <w:rFonts w:ascii="Calibri" w:hAnsi="Calibri" w:cs="Calibri"/>
          <w:i/>
          <w:iCs/>
        </w:rPr>
        <w:t xml:space="preserve">This information is also available in Table 8s in </w:t>
      </w:r>
      <w:r w:rsidR="00AE3304" w:rsidRPr="00057638">
        <w:rPr>
          <w:rFonts w:ascii="Calibri" w:hAnsi="Calibri" w:cs="Calibri"/>
          <w:i/>
          <w:iCs/>
        </w:rPr>
        <w:t>A</w:t>
      </w:r>
      <w:r w:rsidRPr="00AE3304">
        <w:rPr>
          <w:rFonts w:ascii="Calibri" w:hAnsi="Calibri" w:cs="Calibri"/>
          <w:i/>
          <w:iCs/>
        </w:rPr>
        <w:t>ppendix</w:t>
      </w:r>
      <w:r w:rsidR="00AE3304" w:rsidRPr="00AE3304">
        <w:rPr>
          <w:rFonts w:ascii="Calibri" w:hAnsi="Calibri" w:cs="Calibri"/>
          <w:i/>
          <w:iCs/>
        </w:rPr>
        <w:t xml:space="preserve"> 4.</w:t>
      </w:r>
    </w:p>
    <w:p w14:paraId="08627B43" w14:textId="77777777" w:rsidR="00F60AD9" w:rsidRDefault="00F60AD9" w:rsidP="00F60AD9">
      <w:pPr>
        <w:pStyle w:val="Heading2"/>
      </w:pPr>
      <w:bookmarkStart w:id="64" w:name="_Toc190939422"/>
      <w:bookmarkStart w:id="65" w:name="_Toc202627105"/>
      <w:r>
        <w:t>Discussion</w:t>
      </w:r>
      <w:bookmarkEnd w:id="64"/>
      <w:bookmarkEnd w:id="65"/>
    </w:p>
    <w:p w14:paraId="3342E284" w14:textId="7845C77D" w:rsidR="00612A51" w:rsidRPr="00B343F3" w:rsidRDefault="00612A51" w:rsidP="00AE3304">
      <w:pPr>
        <w:rPr>
          <w:rFonts w:ascii="Calibri" w:hAnsi="Calibri" w:cs="Calibri"/>
        </w:rPr>
      </w:pPr>
      <w:r w:rsidRPr="00B343F3">
        <w:rPr>
          <w:rFonts w:ascii="Calibri" w:hAnsi="Calibri" w:cs="Calibri"/>
        </w:rPr>
        <w:t xml:space="preserve">The University of Edinburgh staff and student profiles confirm aspects of severe under-representation for some racial/ethnic minority groups amid trends of growth among staff and student diversification, among others. </w:t>
      </w:r>
    </w:p>
    <w:p w14:paraId="71A5C836" w14:textId="02767B03" w:rsidR="00612A51" w:rsidRPr="00B343F3" w:rsidRDefault="003F4A73" w:rsidP="00AE3304">
      <w:pPr>
        <w:ind w:firstLine="720"/>
        <w:rPr>
          <w:rFonts w:ascii="Calibri" w:hAnsi="Calibri" w:cs="Calibri"/>
        </w:rPr>
      </w:pPr>
      <w:r>
        <w:rPr>
          <w:rFonts w:ascii="Calibri" w:hAnsi="Calibri" w:cs="Calibri"/>
        </w:rPr>
        <w:t>D</w:t>
      </w:r>
      <w:r w:rsidR="00612A51" w:rsidRPr="00B343F3">
        <w:rPr>
          <w:rFonts w:ascii="Calibri" w:hAnsi="Calibri" w:cs="Calibri"/>
        </w:rPr>
        <w:t xml:space="preserve">ata shows that Black staff remain the smallest population across all grades despite the general decrease among White </w:t>
      </w:r>
      <w:r>
        <w:rPr>
          <w:rFonts w:ascii="Calibri" w:hAnsi="Calibri" w:cs="Calibri"/>
        </w:rPr>
        <w:t>staff</w:t>
      </w:r>
      <w:r w:rsidRPr="00B343F3">
        <w:rPr>
          <w:rFonts w:ascii="Calibri" w:hAnsi="Calibri" w:cs="Calibri"/>
        </w:rPr>
        <w:t xml:space="preserve"> </w:t>
      </w:r>
      <w:r w:rsidR="00612A51" w:rsidRPr="00B343F3">
        <w:rPr>
          <w:rFonts w:ascii="Calibri" w:hAnsi="Calibri" w:cs="Calibri"/>
        </w:rPr>
        <w:t xml:space="preserve">between 2018/19 and 2022/23 (see Figure 1). The increase in staff diversity is primarily driven by an increase in Asian </w:t>
      </w:r>
      <w:r>
        <w:rPr>
          <w:rFonts w:ascii="Calibri" w:hAnsi="Calibri" w:cs="Calibri"/>
        </w:rPr>
        <w:t>staff</w:t>
      </w:r>
      <w:r w:rsidRPr="00B343F3">
        <w:rPr>
          <w:rFonts w:ascii="Calibri" w:hAnsi="Calibri" w:cs="Calibri"/>
        </w:rPr>
        <w:t xml:space="preserve"> </w:t>
      </w:r>
      <w:r w:rsidR="00612A51" w:rsidRPr="00B343F3">
        <w:rPr>
          <w:rFonts w:ascii="Calibri" w:hAnsi="Calibri" w:cs="Calibri"/>
        </w:rPr>
        <w:t>presence in fixed and open-ended contracts (see Figure 2).  Within this trend, Black</w:t>
      </w:r>
      <w:r>
        <w:rPr>
          <w:rFonts w:ascii="Calibri" w:hAnsi="Calibri" w:cs="Calibri"/>
        </w:rPr>
        <w:t xml:space="preserve"> staff</w:t>
      </w:r>
      <w:r w:rsidR="00612A51" w:rsidRPr="00B343F3">
        <w:rPr>
          <w:rFonts w:ascii="Calibri" w:hAnsi="Calibri" w:cs="Calibri"/>
        </w:rPr>
        <w:t xml:space="preserve"> remain around 1% in 2022/23</w:t>
      </w:r>
      <w:r>
        <w:rPr>
          <w:rFonts w:ascii="Calibri" w:hAnsi="Calibri" w:cs="Calibri"/>
        </w:rPr>
        <w:t>,</w:t>
      </w:r>
      <w:r w:rsidR="00612A51" w:rsidRPr="00B343F3">
        <w:rPr>
          <w:rFonts w:ascii="Calibri" w:hAnsi="Calibri" w:cs="Calibri"/>
        </w:rPr>
        <w:t xml:space="preserve"> at 150 individuals, while Asian</w:t>
      </w:r>
      <w:r>
        <w:rPr>
          <w:rFonts w:ascii="Calibri" w:hAnsi="Calibri" w:cs="Calibri"/>
        </w:rPr>
        <w:t xml:space="preserve"> staff</w:t>
      </w:r>
      <w:r w:rsidR="00612A51" w:rsidRPr="00B343F3">
        <w:rPr>
          <w:rFonts w:ascii="Calibri" w:hAnsi="Calibri" w:cs="Calibri"/>
        </w:rPr>
        <w:t xml:space="preserve"> </w:t>
      </w:r>
      <w:r>
        <w:rPr>
          <w:rFonts w:ascii="Calibri" w:hAnsi="Calibri" w:cs="Calibri"/>
        </w:rPr>
        <w:t>numbers increased</w:t>
      </w:r>
      <w:r w:rsidRPr="00B343F3">
        <w:rPr>
          <w:rFonts w:ascii="Calibri" w:hAnsi="Calibri" w:cs="Calibri"/>
        </w:rPr>
        <w:t xml:space="preserve"> </w:t>
      </w:r>
      <w:r w:rsidR="00612A51" w:rsidRPr="00B343F3">
        <w:rPr>
          <w:rFonts w:ascii="Calibri" w:hAnsi="Calibri" w:cs="Calibri"/>
        </w:rPr>
        <w:t>from 7% in 2018/19</w:t>
      </w:r>
      <w:r>
        <w:rPr>
          <w:rFonts w:ascii="Calibri" w:hAnsi="Calibri" w:cs="Calibri"/>
        </w:rPr>
        <w:t>,</w:t>
      </w:r>
      <w:r w:rsidR="00612A51" w:rsidRPr="00B343F3">
        <w:rPr>
          <w:rFonts w:ascii="Calibri" w:hAnsi="Calibri" w:cs="Calibri"/>
        </w:rPr>
        <w:t xml:space="preserve"> or 875 individuals</w:t>
      </w:r>
      <w:r>
        <w:rPr>
          <w:rFonts w:ascii="Calibri" w:hAnsi="Calibri" w:cs="Calibri"/>
        </w:rPr>
        <w:t>,</w:t>
      </w:r>
      <w:r w:rsidR="00612A51" w:rsidRPr="00B343F3">
        <w:rPr>
          <w:rFonts w:ascii="Calibri" w:hAnsi="Calibri" w:cs="Calibri"/>
        </w:rPr>
        <w:t xml:space="preserve"> to 9% in 2022/23</w:t>
      </w:r>
      <w:r>
        <w:rPr>
          <w:rFonts w:ascii="Calibri" w:hAnsi="Calibri" w:cs="Calibri"/>
        </w:rPr>
        <w:t>,</w:t>
      </w:r>
      <w:r w:rsidR="00612A51" w:rsidRPr="00B343F3">
        <w:rPr>
          <w:rFonts w:ascii="Calibri" w:hAnsi="Calibri" w:cs="Calibri"/>
        </w:rPr>
        <w:t xml:space="preserve"> at 1,120 individuals (</w:t>
      </w:r>
      <w:r w:rsidR="00612A51" w:rsidRPr="00057638">
        <w:rPr>
          <w:rFonts w:ascii="Calibri" w:hAnsi="Calibri" w:cs="Calibri"/>
        </w:rPr>
        <w:t>Appendix</w:t>
      </w:r>
      <w:r w:rsidR="00AE3304" w:rsidRPr="00AE3304">
        <w:rPr>
          <w:rFonts w:ascii="Calibri" w:hAnsi="Calibri" w:cs="Calibri"/>
        </w:rPr>
        <w:t xml:space="preserve"> 4,</w:t>
      </w:r>
      <w:r w:rsidR="00612A51" w:rsidRPr="00B343F3">
        <w:rPr>
          <w:rFonts w:ascii="Calibri" w:hAnsi="Calibri" w:cs="Calibri"/>
        </w:rPr>
        <w:t xml:space="preserve"> Table 2). </w:t>
      </w:r>
      <w:r w:rsidR="00D72A0F">
        <w:rPr>
          <w:rFonts w:ascii="Calibri" w:hAnsi="Calibri" w:cs="Calibri"/>
        </w:rPr>
        <w:t xml:space="preserve"> </w:t>
      </w:r>
    </w:p>
    <w:p w14:paraId="6C3DCA45" w14:textId="77842556" w:rsidR="00337C21" w:rsidRPr="00B343F3" w:rsidRDefault="00F60AD9" w:rsidP="00AE3304">
      <w:pPr>
        <w:rPr>
          <w:rFonts w:ascii="Calibri" w:hAnsi="Calibri" w:cs="Calibri"/>
        </w:rPr>
      </w:pPr>
      <w:r w:rsidRPr="00337C21">
        <w:rPr>
          <w:rFonts w:ascii="Calibri" w:hAnsi="Calibri" w:cs="Calibri"/>
        </w:rPr>
        <w:tab/>
      </w:r>
      <w:r w:rsidR="00337C21" w:rsidRPr="00B343F3">
        <w:rPr>
          <w:rFonts w:ascii="Calibri" w:hAnsi="Calibri" w:cs="Calibri"/>
        </w:rPr>
        <w:t xml:space="preserve">The majority of University of Edinburgh staff are </w:t>
      </w:r>
      <w:r w:rsidR="003F4A73">
        <w:rPr>
          <w:rFonts w:ascii="Calibri" w:hAnsi="Calibri" w:cs="Calibri"/>
        </w:rPr>
        <w:t>W</w:t>
      </w:r>
      <w:r w:rsidR="003F4A73" w:rsidRPr="00B343F3">
        <w:rPr>
          <w:rFonts w:ascii="Calibri" w:hAnsi="Calibri" w:cs="Calibri"/>
        </w:rPr>
        <w:t xml:space="preserve">hite </w:t>
      </w:r>
      <w:r w:rsidR="00337C21" w:rsidRPr="00B343F3">
        <w:rPr>
          <w:rFonts w:ascii="Calibri" w:hAnsi="Calibri" w:cs="Calibri"/>
        </w:rPr>
        <w:t xml:space="preserve">(84%) (Figure 8). White staff are the majority of </w:t>
      </w:r>
      <w:r w:rsidR="003F4A73">
        <w:rPr>
          <w:rFonts w:ascii="Calibri" w:hAnsi="Calibri" w:cs="Calibri"/>
        </w:rPr>
        <w:t>employee</w:t>
      </w:r>
      <w:r w:rsidR="003F4A73" w:rsidRPr="00B343F3">
        <w:rPr>
          <w:rFonts w:ascii="Calibri" w:hAnsi="Calibri" w:cs="Calibri"/>
        </w:rPr>
        <w:t xml:space="preserve">s </w:t>
      </w:r>
      <w:r w:rsidR="00337C21" w:rsidRPr="00B343F3">
        <w:rPr>
          <w:rFonts w:ascii="Calibri" w:hAnsi="Calibri" w:cs="Calibri"/>
        </w:rPr>
        <w:t xml:space="preserve">regardless of being from the UK or outside the UK. As Table 16 (appendix) shows, </w:t>
      </w:r>
      <w:r w:rsidR="003F4A73">
        <w:rPr>
          <w:rFonts w:ascii="Calibri" w:hAnsi="Calibri" w:cs="Calibri"/>
        </w:rPr>
        <w:t>W</w:t>
      </w:r>
      <w:r w:rsidR="003F4A73" w:rsidRPr="00B343F3">
        <w:rPr>
          <w:rFonts w:ascii="Calibri" w:hAnsi="Calibri" w:cs="Calibri"/>
        </w:rPr>
        <w:t xml:space="preserve">hite </w:t>
      </w:r>
      <w:r w:rsidR="00337C21" w:rsidRPr="00B343F3">
        <w:rPr>
          <w:rFonts w:ascii="Calibri" w:hAnsi="Calibri" w:cs="Calibri"/>
        </w:rPr>
        <w:t xml:space="preserve">UK nationals comprised 94% of UK hires in 2022/23, while </w:t>
      </w:r>
      <w:r w:rsidR="003F4A73">
        <w:rPr>
          <w:rFonts w:ascii="Calibri" w:hAnsi="Calibri" w:cs="Calibri"/>
        </w:rPr>
        <w:t>W</w:t>
      </w:r>
      <w:r w:rsidR="003F4A73" w:rsidRPr="00B343F3">
        <w:rPr>
          <w:rFonts w:ascii="Calibri" w:hAnsi="Calibri" w:cs="Calibri"/>
        </w:rPr>
        <w:t xml:space="preserve">hite </w:t>
      </w:r>
      <w:r w:rsidR="00337C21" w:rsidRPr="00B343F3">
        <w:rPr>
          <w:rFonts w:ascii="Calibri" w:hAnsi="Calibri" w:cs="Calibri"/>
        </w:rPr>
        <w:t>non-UK nationals comprised 68% of hires from outside the UK in that same year.  Asian staff are the second largest group. Asian UK nationals are roughly 3% of those hired from the UK but are 20% of Asian non-UK nationals in 2022/23. Black</w:t>
      </w:r>
      <w:r w:rsidR="003F4A73">
        <w:rPr>
          <w:rFonts w:ascii="Calibri" w:hAnsi="Calibri" w:cs="Calibri"/>
        </w:rPr>
        <w:t xml:space="preserve"> </w:t>
      </w:r>
      <w:r w:rsidR="00337C21" w:rsidRPr="00B343F3">
        <w:rPr>
          <w:rFonts w:ascii="Calibri" w:hAnsi="Calibri" w:cs="Calibri"/>
        </w:rPr>
        <w:t>s</w:t>
      </w:r>
      <w:r w:rsidR="003F4A73">
        <w:rPr>
          <w:rFonts w:ascii="Calibri" w:hAnsi="Calibri" w:cs="Calibri"/>
        </w:rPr>
        <w:t>taff</w:t>
      </w:r>
      <w:r w:rsidR="00337C21" w:rsidRPr="00B343F3">
        <w:rPr>
          <w:rFonts w:ascii="Calibri" w:hAnsi="Calibri" w:cs="Calibri"/>
        </w:rPr>
        <w:t xml:space="preserve"> are the least likely group to be hired, regardless of national origin. Black non-UK nationals are more likely to be represented as staff at the University of Edinburgh at 3%, while Black UK nationals comprise less than 1% of staff at the University of Edinburgh. </w:t>
      </w:r>
    </w:p>
    <w:p w14:paraId="395D3475" w14:textId="560A9E57" w:rsidR="00337C21" w:rsidRPr="00B343F3" w:rsidRDefault="00337C21" w:rsidP="00AE3304">
      <w:pPr>
        <w:ind w:firstLine="720"/>
        <w:rPr>
          <w:rFonts w:ascii="Calibri" w:hAnsi="Calibri" w:cs="Calibri"/>
        </w:rPr>
      </w:pPr>
      <w:r w:rsidRPr="00B343F3">
        <w:rPr>
          <w:rFonts w:ascii="Calibri" w:hAnsi="Calibri" w:cs="Calibri"/>
        </w:rPr>
        <w:t xml:space="preserve">Despite being a global institution, the staff numbers suggest that when hiring staff from the UK, the University of Edinburgh tends to almost exclusively hire </w:t>
      </w:r>
      <w:r w:rsidR="003F4A73">
        <w:rPr>
          <w:rFonts w:ascii="Calibri" w:hAnsi="Calibri" w:cs="Calibri"/>
        </w:rPr>
        <w:t>W</w:t>
      </w:r>
      <w:r w:rsidR="003F4A73" w:rsidRPr="00B343F3">
        <w:rPr>
          <w:rFonts w:ascii="Calibri" w:hAnsi="Calibri" w:cs="Calibri"/>
        </w:rPr>
        <w:t xml:space="preserve">hite </w:t>
      </w:r>
      <w:r w:rsidRPr="00B343F3">
        <w:rPr>
          <w:rFonts w:ascii="Calibri" w:hAnsi="Calibri" w:cs="Calibri"/>
        </w:rPr>
        <w:t>scholars. Non-</w:t>
      </w:r>
      <w:r w:rsidR="00A65A5A">
        <w:rPr>
          <w:rFonts w:ascii="Calibri" w:hAnsi="Calibri" w:cs="Calibri"/>
        </w:rPr>
        <w:t>W</w:t>
      </w:r>
      <w:r w:rsidRPr="00B343F3">
        <w:rPr>
          <w:rFonts w:ascii="Calibri" w:hAnsi="Calibri" w:cs="Calibri"/>
        </w:rPr>
        <w:t>hite minorities of non-UK nationality tend to fare better than their counterparts of UK nationality. This pattern is most pronounced for Asian groups at the University of Edinburgh.</w:t>
      </w:r>
    </w:p>
    <w:p w14:paraId="1C8CA114" w14:textId="2452F7B0" w:rsidR="00337C21" w:rsidRDefault="00F60AD9" w:rsidP="00AE3304">
      <w:pPr>
        <w:rPr>
          <w:rFonts w:ascii="Calibri" w:hAnsi="Calibri" w:cs="Calibri"/>
        </w:rPr>
      </w:pPr>
      <w:r w:rsidRPr="00337C21">
        <w:rPr>
          <w:rFonts w:ascii="Calibri" w:hAnsi="Calibri" w:cs="Calibri"/>
        </w:rPr>
        <w:tab/>
      </w:r>
      <w:r w:rsidR="00337C21" w:rsidRPr="00B343F3">
        <w:rPr>
          <w:rFonts w:ascii="Calibri" w:hAnsi="Calibri" w:cs="Calibri"/>
        </w:rPr>
        <w:t xml:space="preserve">University of Edinburgh student data shows similar patterns in diversification trends. There are greater numbers of </w:t>
      </w:r>
      <w:r w:rsidR="00903E2C">
        <w:rPr>
          <w:rFonts w:ascii="Calibri" w:hAnsi="Calibri" w:cs="Calibri"/>
        </w:rPr>
        <w:t>N</w:t>
      </w:r>
      <w:r w:rsidR="00337C21" w:rsidRPr="00B343F3">
        <w:rPr>
          <w:rFonts w:ascii="Calibri" w:hAnsi="Calibri" w:cs="Calibri"/>
        </w:rPr>
        <w:t>on-</w:t>
      </w:r>
      <w:r w:rsidR="00A65A5A">
        <w:rPr>
          <w:rFonts w:ascii="Calibri" w:hAnsi="Calibri" w:cs="Calibri"/>
        </w:rPr>
        <w:t>W</w:t>
      </w:r>
      <w:r w:rsidR="00337C21" w:rsidRPr="00B343F3">
        <w:rPr>
          <w:rFonts w:ascii="Calibri" w:hAnsi="Calibri" w:cs="Calibri"/>
        </w:rPr>
        <w:t>hite racial and ethnic</w:t>
      </w:r>
      <w:r w:rsidR="00903E2C">
        <w:rPr>
          <w:rFonts w:ascii="Calibri" w:hAnsi="Calibri" w:cs="Calibri"/>
        </w:rPr>
        <w:t>-</w:t>
      </w:r>
      <w:r w:rsidR="00337C21" w:rsidRPr="00B343F3">
        <w:rPr>
          <w:rFonts w:ascii="Calibri" w:hAnsi="Calibri" w:cs="Calibri"/>
        </w:rPr>
        <w:t xml:space="preserve">minority students showing evidence of diversification of the student body, while showing a steady percentage of Black, </w:t>
      </w:r>
      <w:r w:rsidR="00337C21" w:rsidRPr="00B343F3">
        <w:rPr>
          <w:rFonts w:ascii="Calibri" w:hAnsi="Calibri" w:cs="Calibri"/>
        </w:rPr>
        <w:lastRenderedPageBreak/>
        <w:t xml:space="preserve">and to a lesser extent </w:t>
      </w:r>
      <w:r w:rsidR="00903E2C">
        <w:rPr>
          <w:rFonts w:ascii="Calibri" w:hAnsi="Calibri" w:cs="Calibri"/>
        </w:rPr>
        <w:t>M</w:t>
      </w:r>
      <w:r w:rsidR="00337C21" w:rsidRPr="00B343F3">
        <w:rPr>
          <w:rFonts w:ascii="Calibri" w:hAnsi="Calibri" w:cs="Calibri"/>
        </w:rPr>
        <w:t xml:space="preserve">ixed, student populations remaining unchanged. This pattern in student populations shows a need for closer analysis and a greater understanding of how particular student populations are driving changes in student numbers while other groups, as in the case of Black students, are increasing much more slowly. </w:t>
      </w:r>
    </w:p>
    <w:p w14:paraId="0CC6F7C8" w14:textId="684D433A" w:rsidR="005708A8" w:rsidRPr="00B343F3" w:rsidRDefault="005708A8" w:rsidP="00AE3304">
      <w:pPr>
        <w:rPr>
          <w:rFonts w:cstheme="minorHAnsi"/>
        </w:rPr>
      </w:pPr>
      <w:r>
        <w:rPr>
          <w:rFonts w:ascii="Calibri" w:hAnsi="Calibri" w:cs="Calibri"/>
        </w:rPr>
        <w:tab/>
      </w:r>
      <w:r w:rsidRPr="00B343F3">
        <w:rPr>
          <w:rFonts w:cstheme="minorHAnsi"/>
        </w:rPr>
        <w:t>Previous analyses of UK higher education have noted a need to focus on the particular experiences of racial or ethnic groups rather than larger aggregates such as BAME/BME generally because larger group patterns may not apply to all the groups within the aggregate</w:t>
      </w:r>
      <w:r>
        <w:rPr>
          <w:rFonts w:cstheme="minorHAnsi"/>
        </w:rPr>
        <w:t>.</w:t>
      </w:r>
      <w:r>
        <w:rPr>
          <w:rStyle w:val="FootnoteReference"/>
          <w:rFonts w:cstheme="minorHAnsi"/>
        </w:rPr>
        <w:footnoteReference w:id="167"/>
      </w:r>
    </w:p>
    <w:p w14:paraId="4CC9D154" w14:textId="48AF4242" w:rsidR="00F60AD9" w:rsidRPr="00337C21" w:rsidRDefault="00337C21" w:rsidP="00AE3304">
      <w:pPr>
        <w:spacing w:line="259" w:lineRule="auto"/>
        <w:ind w:firstLine="720"/>
        <w:rPr>
          <w:rFonts w:ascii="Calibri" w:hAnsi="Calibri" w:cs="Calibri"/>
        </w:rPr>
      </w:pPr>
      <w:r w:rsidRPr="00B343F3">
        <w:rPr>
          <w:rFonts w:ascii="Calibri" w:hAnsi="Calibri" w:cs="Calibri"/>
        </w:rPr>
        <w:t xml:space="preserve">While White students remain the largest group, their percentage has steadily declined, indicating the institution's broader appeal to students from varied ethnic backgrounds. There has been a decrease from 69% to 59% of </w:t>
      </w:r>
      <w:r w:rsidR="00903E2C">
        <w:rPr>
          <w:rFonts w:ascii="Calibri" w:hAnsi="Calibri" w:cs="Calibri"/>
        </w:rPr>
        <w:t>W</w:t>
      </w:r>
      <w:r w:rsidRPr="00B343F3">
        <w:rPr>
          <w:rFonts w:ascii="Calibri" w:hAnsi="Calibri" w:cs="Calibri"/>
        </w:rPr>
        <w:t>hite students at the University of Edinburgh between 2018/19 and 2022/223 (see Figure 2s). During this same period, there is an increase in Asian students at the University from 21% in 2018/19 to 31% in 2022/23. The data highlights a clear trend of increasing diversity in the student population over recent years, with Asian students consistently growing as a proportion across all academic levels and colleges. Looking specifically at Black student numbers, the student data shows the increased trend of diversification does not greatly benefit Black student numbers since they remain stable.</w:t>
      </w:r>
      <w:r w:rsidR="00F60AD9" w:rsidRPr="00337C21">
        <w:rPr>
          <w:rFonts w:ascii="Calibri" w:hAnsi="Calibri" w:cs="Calibri"/>
        </w:rPr>
        <w:t xml:space="preserve"> </w:t>
      </w:r>
    </w:p>
    <w:p w14:paraId="43B67DDF" w14:textId="35297DC6" w:rsidR="00337C21" w:rsidRPr="00B343F3" w:rsidRDefault="00B343F3" w:rsidP="00AE3304">
      <w:pPr>
        <w:rPr>
          <w:rFonts w:ascii="Calibri" w:hAnsi="Calibri" w:cs="Calibri"/>
        </w:rPr>
      </w:pPr>
      <w:r>
        <w:rPr>
          <w:rFonts w:ascii="Calibri" w:hAnsi="Calibri" w:cs="Calibri"/>
        </w:rPr>
        <w:tab/>
      </w:r>
      <w:r w:rsidR="00337C21" w:rsidRPr="00B343F3">
        <w:rPr>
          <w:rFonts w:ascii="Calibri" w:hAnsi="Calibri" w:cs="Calibri"/>
        </w:rPr>
        <w:t>Postgraduate student numbers indicate higher percentages</w:t>
      </w:r>
      <w:r w:rsidR="00AE3304">
        <w:rPr>
          <w:rFonts w:ascii="Calibri" w:hAnsi="Calibri" w:cs="Calibri"/>
        </w:rPr>
        <w:t xml:space="preserve"> of racial or ethnic groups</w:t>
      </w:r>
      <w:r w:rsidR="00337C21" w:rsidRPr="00B343F3">
        <w:rPr>
          <w:rFonts w:ascii="Calibri" w:hAnsi="Calibri" w:cs="Calibri"/>
        </w:rPr>
        <w:t xml:space="preserve"> compared to their White counterparts than undergraduate student numbers. For example (see Table 5s), Asian postgraduate students comprised 44% throughout the </w:t>
      </w:r>
      <w:r w:rsidR="00903E2C">
        <w:rPr>
          <w:rFonts w:ascii="Calibri" w:hAnsi="Calibri" w:cs="Calibri"/>
        </w:rPr>
        <w:t>U</w:t>
      </w:r>
      <w:r w:rsidR="00903E2C" w:rsidRPr="00B343F3">
        <w:rPr>
          <w:rFonts w:ascii="Calibri" w:hAnsi="Calibri" w:cs="Calibri"/>
        </w:rPr>
        <w:t>niversity</w:t>
      </w:r>
      <w:r w:rsidR="00903E2C">
        <w:rPr>
          <w:rFonts w:ascii="Calibri" w:hAnsi="Calibri" w:cs="Calibri"/>
        </w:rPr>
        <w:t>,</w:t>
      </w:r>
      <w:r w:rsidR="00903E2C" w:rsidRPr="00B343F3">
        <w:rPr>
          <w:rFonts w:ascii="Calibri" w:hAnsi="Calibri" w:cs="Calibri"/>
        </w:rPr>
        <w:t xml:space="preserve"> </w:t>
      </w:r>
      <w:r w:rsidR="00337C21" w:rsidRPr="00B343F3">
        <w:rPr>
          <w:rFonts w:ascii="Calibri" w:hAnsi="Calibri" w:cs="Calibri"/>
        </w:rPr>
        <w:t xml:space="preserve">compared to 45% of White postgraduate students in 2022/23. This is much higher than the undergraduate student population where Asian students comprised 26% compared to 66% of </w:t>
      </w:r>
      <w:r w:rsidR="00903E2C">
        <w:rPr>
          <w:rFonts w:ascii="Calibri" w:hAnsi="Calibri" w:cs="Calibri"/>
        </w:rPr>
        <w:t>W</w:t>
      </w:r>
      <w:r w:rsidR="00903E2C" w:rsidRPr="00B343F3">
        <w:rPr>
          <w:rFonts w:ascii="Calibri" w:hAnsi="Calibri" w:cs="Calibri"/>
        </w:rPr>
        <w:t xml:space="preserve">hite </w:t>
      </w:r>
      <w:r w:rsidR="00337C21" w:rsidRPr="00B343F3">
        <w:rPr>
          <w:rFonts w:ascii="Calibri" w:hAnsi="Calibri" w:cs="Calibri"/>
        </w:rPr>
        <w:t xml:space="preserve">undergraduate students during the 2022/23 term. There is a similar pattern in Black student representation at the postgraduate and undergraduate levels, though the changes are much smaller. Black undergraduate representation in the 2022/23 term was 1% across the </w:t>
      </w:r>
      <w:r w:rsidR="00903E2C">
        <w:rPr>
          <w:rFonts w:ascii="Calibri" w:hAnsi="Calibri" w:cs="Calibri"/>
        </w:rPr>
        <w:t>U</w:t>
      </w:r>
      <w:r w:rsidR="00903E2C" w:rsidRPr="00B343F3">
        <w:rPr>
          <w:rFonts w:ascii="Calibri" w:hAnsi="Calibri" w:cs="Calibri"/>
        </w:rPr>
        <w:t xml:space="preserve">niversity </w:t>
      </w:r>
      <w:r w:rsidR="00337C21" w:rsidRPr="00B343F3">
        <w:rPr>
          <w:rFonts w:ascii="Calibri" w:hAnsi="Calibri" w:cs="Calibri"/>
        </w:rPr>
        <w:t xml:space="preserve">and 5% at the postgraduate level. </w:t>
      </w:r>
    </w:p>
    <w:p w14:paraId="4B07A994" w14:textId="01E99FD8" w:rsidR="00337C21" w:rsidRPr="00B343F3" w:rsidRDefault="00337C21" w:rsidP="00AE3304">
      <w:pPr>
        <w:ind w:firstLine="720"/>
        <w:rPr>
          <w:rFonts w:ascii="Calibri" w:hAnsi="Calibri" w:cs="Calibri"/>
        </w:rPr>
      </w:pPr>
      <w:r w:rsidRPr="00B343F3">
        <w:rPr>
          <w:rFonts w:ascii="Calibri" w:hAnsi="Calibri" w:cs="Calibri"/>
        </w:rPr>
        <w:t xml:space="preserve">Female students consistently outnumber male students across most ethnic groups, further emphasising the strong female representation within the growing student body. More research is needed to understand the effect of this trend within racial/ethnic minority groups who have historically dealt with racism and deficit-based thinking around Black male underachievement. Male under-representation in student numbers among racial and ethnic groups often involves racist assumptions concerning how boys and young men are less intelligent and less capable than other groups. We need more research into both the lower levels of Black students at the University of Edinburgh and the smaller population of males among </w:t>
      </w:r>
      <w:r w:rsidR="00903E2C">
        <w:rPr>
          <w:rFonts w:ascii="Calibri" w:hAnsi="Calibri" w:cs="Calibri"/>
        </w:rPr>
        <w:t>N</w:t>
      </w:r>
      <w:r w:rsidR="00903E2C" w:rsidRPr="00B343F3">
        <w:rPr>
          <w:rFonts w:ascii="Calibri" w:hAnsi="Calibri" w:cs="Calibri"/>
        </w:rPr>
        <w:t>on</w:t>
      </w:r>
      <w:r w:rsidRPr="00B343F3">
        <w:rPr>
          <w:rFonts w:ascii="Calibri" w:hAnsi="Calibri" w:cs="Calibri"/>
        </w:rPr>
        <w:t>-</w:t>
      </w:r>
      <w:r w:rsidR="00A65A5A">
        <w:rPr>
          <w:rFonts w:ascii="Calibri" w:hAnsi="Calibri" w:cs="Calibri"/>
        </w:rPr>
        <w:t>W</w:t>
      </w:r>
      <w:r w:rsidRPr="00B343F3">
        <w:rPr>
          <w:rFonts w:ascii="Calibri" w:hAnsi="Calibri" w:cs="Calibri"/>
        </w:rPr>
        <w:t>hite racial and ethnic populations (see Figure 1 and Table 1s).</w:t>
      </w:r>
    </w:p>
    <w:p w14:paraId="246C4BDE" w14:textId="13CAF24B" w:rsidR="00F831B2" w:rsidRDefault="00337C21" w:rsidP="00D9372B">
      <w:pPr>
        <w:ind w:firstLine="720"/>
        <w:rPr>
          <w:rFonts w:ascii="Calibri" w:hAnsi="Calibri" w:cs="Calibri"/>
        </w:rPr>
      </w:pPr>
      <w:r w:rsidRPr="00B343F3">
        <w:rPr>
          <w:rFonts w:ascii="Calibri" w:hAnsi="Calibri" w:cs="Calibri"/>
        </w:rPr>
        <w:t xml:space="preserve">This report has noted an increased diversification of the staff and student population over the </w:t>
      </w:r>
      <w:r w:rsidR="00903E2C">
        <w:rPr>
          <w:rFonts w:ascii="Calibri" w:hAnsi="Calibri" w:cs="Calibri"/>
        </w:rPr>
        <w:t>p</w:t>
      </w:r>
      <w:r w:rsidRPr="00B343F3">
        <w:rPr>
          <w:rFonts w:ascii="Calibri" w:hAnsi="Calibri" w:cs="Calibri"/>
        </w:rPr>
        <w:t>ast five years. This trend, however, does not benefit Black staff and students to the same extent as Asian staff and students. This finding highlights the need for greater disaggregation among racial and ethnic minority populations at the University of Edinburgh. Although there is positive growth in diversity, the "Unknown" category for gender and ethnicity limits the ability to fully analyse representation, underscoring the need for more comprehensive data collection</w:t>
      </w:r>
      <w:r w:rsidR="00F50D56">
        <w:rPr>
          <w:rFonts w:ascii="Calibri" w:hAnsi="Calibri" w:cs="Calibri"/>
        </w:rPr>
        <w:t>.</w:t>
      </w:r>
    </w:p>
    <w:p w14:paraId="09E36D8C" w14:textId="77777777" w:rsidR="00F831B2" w:rsidRPr="00161ECA" w:rsidRDefault="00F831B2" w:rsidP="00F831B2">
      <w:pPr>
        <w:pStyle w:val="Heading2"/>
      </w:pPr>
      <w:bookmarkStart w:id="66" w:name="_Toc189493427"/>
      <w:bookmarkStart w:id="67" w:name="_Toc190939423"/>
      <w:bookmarkStart w:id="68" w:name="_Toc202627106"/>
      <w:r w:rsidRPr="00161ECA">
        <w:lastRenderedPageBreak/>
        <w:t>Under-Representation and the Cost to Institutional Progress on Diversification and Decolonisation</w:t>
      </w:r>
      <w:bookmarkEnd w:id="66"/>
      <w:bookmarkEnd w:id="67"/>
      <w:bookmarkEnd w:id="68"/>
    </w:p>
    <w:p w14:paraId="74EE3DAB" w14:textId="6BBDE728" w:rsidR="00F831B2" w:rsidRPr="0080140C" w:rsidRDefault="00F831B2" w:rsidP="00AE3304">
      <w:pPr>
        <w:spacing w:line="259" w:lineRule="auto"/>
        <w:rPr>
          <w:rFonts w:ascii="Calibri" w:hAnsi="Calibri" w:cs="Calibri"/>
        </w:rPr>
      </w:pPr>
      <w:r w:rsidRPr="0080140C">
        <w:rPr>
          <w:rFonts w:ascii="Calibri" w:hAnsi="Calibri" w:cs="Calibri"/>
        </w:rPr>
        <w:t xml:space="preserve">Racial and ethnic under-representation have dire consequences for the learning environments and academic futures of </w:t>
      </w:r>
      <w:r w:rsidR="00903E2C">
        <w:rPr>
          <w:rFonts w:ascii="Calibri" w:hAnsi="Calibri" w:cs="Calibri"/>
        </w:rPr>
        <w:t>N</w:t>
      </w:r>
      <w:r w:rsidRPr="0080140C">
        <w:rPr>
          <w:rFonts w:ascii="Calibri" w:hAnsi="Calibri" w:cs="Calibri"/>
        </w:rPr>
        <w:t>on-</w:t>
      </w:r>
      <w:r w:rsidR="00A65A5A">
        <w:rPr>
          <w:rFonts w:ascii="Calibri" w:hAnsi="Calibri" w:cs="Calibri"/>
        </w:rPr>
        <w:t>W</w:t>
      </w:r>
      <w:r w:rsidRPr="0080140C">
        <w:rPr>
          <w:rFonts w:ascii="Calibri" w:hAnsi="Calibri" w:cs="Calibri"/>
        </w:rPr>
        <w:t xml:space="preserve">hite students at the undergraduate and postgraduate level. Unfortunately, UK </w:t>
      </w:r>
      <w:r>
        <w:rPr>
          <w:rFonts w:ascii="Calibri" w:hAnsi="Calibri" w:cs="Calibri"/>
        </w:rPr>
        <w:t>higher education institutions</w:t>
      </w:r>
      <w:r w:rsidRPr="0080140C">
        <w:rPr>
          <w:rFonts w:ascii="Calibri" w:hAnsi="Calibri" w:cs="Calibri"/>
        </w:rPr>
        <w:t xml:space="preserve"> remain almost predominately </w:t>
      </w:r>
      <w:r w:rsidR="00A65A5A">
        <w:rPr>
          <w:rFonts w:ascii="Calibri" w:hAnsi="Calibri" w:cs="Calibri"/>
        </w:rPr>
        <w:t>W</w:t>
      </w:r>
      <w:r w:rsidRPr="0080140C">
        <w:rPr>
          <w:rFonts w:ascii="Calibri" w:hAnsi="Calibri" w:cs="Calibri"/>
        </w:rPr>
        <w:t xml:space="preserve">hite. Rather than seeing racial under-representation as the natural consequence of the UK’s majority </w:t>
      </w:r>
      <w:r w:rsidR="00A65A5A">
        <w:rPr>
          <w:rFonts w:ascii="Calibri" w:hAnsi="Calibri" w:cs="Calibri"/>
        </w:rPr>
        <w:t>W</w:t>
      </w:r>
      <w:r w:rsidRPr="0080140C">
        <w:rPr>
          <w:rFonts w:ascii="Calibri" w:hAnsi="Calibri" w:cs="Calibri"/>
        </w:rPr>
        <w:t xml:space="preserve">hite population, higher education scholars have asked for a more nuanced look into student admissions and assessments. Black and minority ethnic groups are less likely than their </w:t>
      </w:r>
      <w:r w:rsidR="00A65A5A">
        <w:rPr>
          <w:rFonts w:ascii="Calibri" w:hAnsi="Calibri" w:cs="Calibri"/>
        </w:rPr>
        <w:t>W</w:t>
      </w:r>
      <w:r w:rsidRPr="0080140C">
        <w:rPr>
          <w:rFonts w:ascii="Calibri" w:hAnsi="Calibri" w:cs="Calibri"/>
        </w:rPr>
        <w:t xml:space="preserve">hite counterparts to attend elite Russell Group universities. Additionally, racial disparities in undergraduate assessment by </w:t>
      </w:r>
      <w:r w:rsidR="00A65A5A">
        <w:rPr>
          <w:rFonts w:ascii="Calibri" w:hAnsi="Calibri" w:cs="Calibri"/>
        </w:rPr>
        <w:t>W</w:t>
      </w:r>
      <w:r w:rsidRPr="0080140C">
        <w:rPr>
          <w:rFonts w:ascii="Calibri" w:hAnsi="Calibri" w:cs="Calibri"/>
        </w:rPr>
        <w:t>hite teaching faculty produce a segregated education system making it difficult for Black students to be admitted into postgraduate program</w:t>
      </w:r>
      <w:r w:rsidR="00903E2C">
        <w:rPr>
          <w:rFonts w:ascii="Calibri" w:hAnsi="Calibri" w:cs="Calibri"/>
        </w:rPr>
        <w:t>me</w:t>
      </w:r>
      <w:r w:rsidRPr="0080140C">
        <w:rPr>
          <w:rFonts w:ascii="Calibri" w:hAnsi="Calibri" w:cs="Calibri"/>
        </w:rPr>
        <w:t xml:space="preserve">s at elite UK universities. This creates a cycle whereby elite UK higher education </w:t>
      </w:r>
      <w:r>
        <w:rPr>
          <w:rFonts w:ascii="Calibri" w:hAnsi="Calibri" w:cs="Calibri"/>
        </w:rPr>
        <w:t xml:space="preserve">institutions </w:t>
      </w:r>
      <w:r w:rsidRPr="0080140C">
        <w:rPr>
          <w:rFonts w:ascii="Calibri" w:hAnsi="Calibri" w:cs="Calibri"/>
        </w:rPr>
        <w:t xml:space="preserve">refuse Black, Asian and other </w:t>
      </w:r>
      <w:r w:rsidR="00A65A5A">
        <w:rPr>
          <w:rFonts w:ascii="Calibri" w:hAnsi="Calibri" w:cs="Calibri"/>
        </w:rPr>
        <w:t>N</w:t>
      </w:r>
      <w:r w:rsidRPr="0080140C">
        <w:rPr>
          <w:rFonts w:ascii="Calibri" w:hAnsi="Calibri" w:cs="Calibri"/>
        </w:rPr>
        <w:t>on-</w:t>
      </w:r>
      <w:r w:rsidR="00A65A5A">
        <w:rPr>
          <w:rFonts w:ascii="Calibri" w:hAnsi="Calibri" w:cs="Calibri"/>
        </w:rPr>
        <w:t>W</w:t>
      </w:r>
      <w:r w:rsidRPr="0080140C">
        <w:rPr>
          <w:rFonts w:ascii="Calibri" w:hAnsi="Calibri" w:cs="Calibri"/>
        </w:rPr>
        <w:t xml:space="preserve">hite students at the undergraduate and postgraduate levels, unfairly assess their coursework compared to their </w:t>
      </w:r>
      <w:r w:rsidR="00A65A5A">
        <w:rPr>
          <w:rFonts w:ascii="Calibri" w:hAnsi="Calibri" w:cs="Calibri"/>
        </w:rPr>
        <w:t>W</w:t>
      </w:r>
      <w:r w:rsidRPr="0080140C">
        <w:rPr>
          <w:rFonts w:ascii="Calibri" w:hAnsi="Calibri" w:cs="Calibri"/>
        </w:rPr>
        <w:t xml:space="preserve">hite counterparts, thereby making it difficult for members of this population to obtain employment at the very institutions driving these racial disparities. Some scholars have argued that these patterns show how </w:t>
      </w:r>
      <w:r>
        <w:rPr>
          <w:rFonts w:ascii="Calibri" w:hAnsi="Calibri" w:cs="Calibri"/>
        </w:rPr>
        <w:t>‘</w:t>
      </w:r>
      <w:r w:rsidRPr="0080140C">
        <w:rPr>
          <w:rFonts w:ascii="Calibri" w:hAnsi="Calibri" w:cs="Calibri"/>
        </w:rPr>
        <w:t>universities use mechanisms to protect and reserve places in elite universities for white students as an act of white privilege which is used to enhance their own position of elitism to maintain their power</w:t>
      </w:r>
      <w:r>
        <w:rPr>
          <w:rFonts w:ascii="Calibri" w:hAnsi="Calibri" w:cs="Calibri"/>
        </w:rPr>
        <w:t>’</w:t>
      </w:r>
      <w:r w:rsidRPr="0080140C">
        <w:rPr>
          <w:rFonts w:ascii="Calibri" w:hAnsi="Calibri" w:cs="Calibri"/>
        </w:rPr>
        <w:t>.</w:t>
      </w:r>
      <w:r w:rsidRPr="0080140C">
        <w:rPr>
          <w:rStyle w:val="FootnoteReference"/>
          <w:rFonts w:ascii="Calibri" w:hAnsi="Calibri" w:cs="Calibri"/>
        </w:rPr>
        <w:footnoteReference w:id="168"/>
      </w:r>
      <w:r w:rsidRPr="0080140C">
        <w:rPr>
          <w:rFonts w:ascii="Calibri" w:hAnsi="Calibri" w:cs="Calibri"/>
        </w:rPr>
        <w:t xml:space="preserve"> Summari</w:t>
      </w:r>
      <w:r>
        <w:rPr>
          <w:rFonts w:ascii="Calibri" w:hAnsi="Calibri" w:cs="Calibri"/>
        </w:rPr>
        <w:t>s</w:t>
      </w:r>
      <w:r w:rsidRPr="0080140C">
        <w:rPr>
          <w:rFonts w:ascii="Calibri" w:hAnsi="Calibri" w:cs="Calibri"/>
        </w:rPr>
        <w:t>ing her research findings concerning Black student experience</w:t>
      </w:r>
      <w:r>
        <w:rPr>
          <w:rFonts w:ascii="Calibri" w:hAnsi="Calibri" w:cs="Calibri"/>
        </w:rPr>
        <w:t>s</w:t>
      </w:r>
      <w:r w:rsidRPr="0080140C">
        <w:rPr>
          <w:rFonts w:ascii="Calibri" w:hAnsi="Calibri" w:cs="Calibri"/>
        </w:rPr>
        <w:t xml:space="preserve"> in UK Russell Group universities, </w:t>
      </w:r>
      <w:r w:rsidR="00AE3304">
        <w:rPr>
          <w:rFonts w:ascii="Calibri" w:hAnsi="Calibri" w:cs="Calibri"/>
        </w:rPr>
        <w:t>Professor</w:t>
      </w:r>
      <w:r w:rsidR="001D59B1">
        <w:rPr>
          <w:rFonts w:ascii="Calibri" w:hAnsi="Calibri" w:cs="Calibri"/>
        </w:rPr>
        <w:t xml:space="preserve"> of Education and Social Justice,</w:t>
      </w:r>
      <w:r w:rsidR="00AE3304">
        <w:rPr>
          <w:rFonts w:ascii="Calibri" w:hAnsi="Calibri" w:cs="Calibri"/>
        </w:rPr>
        <w:t xml:space="preserve"> </w:t>
      </w:r>
      <w:proofErr w:type="spellStart"/>
      <w:r w:rsidR="00AE3304">
        <w:rPr>
          <w:rFonts w:ascii="Calibri" w:hAnsi="Calibri" w:cs="Calibri"/>
        </w:rPr>
        <w:t>Kalwant</w:t>
      </w:r>
      <w:proofErr w:type="spellEnd"/>
      <w:r w:rsidR="00AE3304">
        <w:rPr>
          <w:rFonts w:ascii="Calibri" w:hAnsi="Calibri" w:cs="Calibri"/>
        </w:rPr>
        <w:t xml:space="preserve"> </w:t>
      </w:r>
      <w:r w:rsidRPr="0080140C">
        <w:rPr>
          <w:rFonts w:ascii="Calibri" w:hAnsi="Calibri" w:cs="Calibri"/>
        </w:rPr>
        <w:t>Bhopal</w:t>
      </w:r>
      <w:r w:rsidR="001D59B1">
        <w:rPr>
          <w:rFonts w:ascii="Calibri" w:hAnsi="Calibri" w:cs="Calibri"/>
        </w:rPr>
        <w:t xml:space="preserve">, </w:t>
      </w:r>
      <w:r w:rsidRPr="0080140C">
        <w:rPr>
          <w:rFonts w:ascii="Calibri" w:hAnsi="Calibri" w:cs="Calibri"/>
        </w:rPr>
        <w:t>found that</w:t>
      </w:r>
      <w:r>
        <w:rPr>
          <w:rFonts w:ascii="Calibri" w:hAnsi="Calibri" w:cs="Calibri"/>
        </w:rPr>
        <w:t xml:space="preserve"> r</w:t>
      </w:r>
      <w:r w:rsidRPr="0080140C">
        <w:rPr>
          <w:rFonts w:ascii="Calibri" w:hAnsi="Calibri" w:cs="Calibri"/>
        </w:rPr>
        <w:t xml:space="preserve">acism and racist practices dominate the experiences of </w:t>
      </w:r>
      <w:r>
        <w:rPr>
          <w:rFonts w:ascii="Calibri" w:hAnsi="Calibri" w:cs="Calibri"/>
        </w:rPr>
        <w:t>B</w:t>
      </w:r>
      <w:r w:rsidRPr="0080140C">
        <w:rPr>
          <w:rFonts w:ascii="Calibri" w:hAnsi="Calibri" w:cs="Calibri"/>
        </w:rPr>
        <w:t>lack and minority students in higher education.</w:t>
      </w:r>
      <w:r w:rsidRPr="0080140C">
        <w:rPr>
          <w:rStyle w:val="FootnoteReference"/>
          <w:rFonts w:ascii="Calibri" w:hAnsi="Calibri" w:cs="Calibri"/>
        </w:rPr>
        <w:footnoteReference w:id="169"/>
      </w:r>
      <w:r w:rsidRPr="0080140C">
        <w:rPr>
          <w:rFonts w:ascii="Calibri" w:hAnsi="Calibri" w:cs="Calibri"/>
        </w:rPr>
        <w:t xml:space="preserve"> </w:t>
      </w:r>
    </w:p>
    <w:p w14:paraId="72C0B098" w14:textId="5699612B" w:rsidR="00F831B2" w:rsidRPr="0080140C" w:rsidRDefault="00F831B2" w:rsidP="00AE3304">
      <w:pPr>
        <w:spacing w:line="259" w:lineRule="auto"/>
        <w:ind w:firstLine="720"/>
        <w:rPr>
          <w:rFonts w:ascii="Calibri" w:hAnsi="Calibri" w:cs="Calibri"/>
        </w:rPr>
      </w:pPr>
      <w:r w:rsidRPr="0080140C">
        <w:rPr>
          <w:rFonts w:ascii="Calibri" w:hAnsi="Calibri" w:cs="Calibri"/>
        </w:rPr>
        <w:t xml:space="preserve">The under-representation of Black, Asian and </w:t>
      </w:r>
      <w:r w:rsidR="00A65A5A">
        <w:rPr>
          <w:rFonts w:ascii="Calibri" w:hAnsi="Calibri" w:cs="Calibri"/>
        </w:rPr>
        <w:t>O</w:t>
      </w:r>
      <w:r w:rsidR="00A65A5A" w:rsidRPr="0080140C">
        <w:rPr>
          <w:rFonts w:ascii="Calibri" w:hAnsi="Calibri" w:cs="Calibri"/>
        </w:rPr>
        <w:t xml:space="preserve">ther </w:t>
      </w:r>
      <w:r w:rsidRPr="0080140C">
        <w:rPr>
          <w:rFonts w:ascii="Calibri" w:hAnsi="Calibri" w:cs="Calibri"/>
        </w:rPr>
        <w:t>ethnic minority groups</w:t>
      </w:r>
      <w:r>
        <w:rPr>
          <w:rFonts w:ascii="Calibri" w:hAnsi="Calibri" w:cs="Calibri"/>
        </w:rPr>
        <w:t xml:space="preserve"> </w:t>
      </w:r>
      <w:r w:rsidRPr="0080140C">
        <w:rPr>
          <w:rFonts w:ascii="Calibri" w:hAnsi="Calibri" w:cs="Calibri"/>
        </w:rPr>
        <w:t>perpetuates processes of sociali</w:t>
      </w:r>
      <w:r>
        <w:rPr>
          <w:rFonts w:ascii="Calibri" w:hAnsi="Calibri" w:cs="Calibri"/>
        </w:rPr>
        <w:t>s</w:t>
      </w:r>
      <w:r w:rsidRPr="0080140C">
        <w:rPr>
          <w:rFonts w:ascii="Calibri" w:hAnsi="Calibri" w:cs="Calibri"/>
        </w:rPr>
        <w:t xml:space="preserve">ation and institutional culture where </w:t>
      </w:r>
      <w:r w:rsidR="00A65A5A">
        <w:rPr>
          <w:rFonts w:ascii="Calibri" w:hAnsi="Calibri" w:cs="Calibri"/>
        </w:rPr>
        <w:t>N</w:t>
      </w:r>
      <w:r w:rsidR="00A65A5A" w:rsidRPr="0080140C">
        <w:rPr>
          <w:rFonts w:ascii="Calibri" w:hAnsi="Calibri" w:cs="Calibri"/>
        </w:rPr>
        <w:t>on</w:t>
      </w:r>
      <w:r w:rsidRPr="0080140C">
        <w:rPr>
          <w:rFonts w:ascii="Calibri" w:hAnsi="Calibri" w:cs="Calibri"/>
        </w:rPr>
        <w:t>-</w:t>
      </w:r>
      <w:r w:rsidR="00A65A5A">
        <w:rPr>
          <w:rFonts w:ascii="Calibri" w:hAnsi="Calibri" w:cs="Calibri"/>
        </w:rPr>
        <w:t>W</w:t>
      </w:r>
      <w:r w:rsidR="00A65A5A" w:rsidRPr="0080140C">
        <w:rPr>
          <w:rFonts w:ascii="Calibri" w:hAnsi="Calibri" w:cs="Calibri"/>
        </w:rPr>
        <w:t xml:space="preserve">hite </w:t>
      </w:r>
      <w:r w:rsidRPr="0080140C">
        <w:rPr>
          <w:rFonts w:ascii="Calibri" w:hAnsi="Calibri" w:cs="Calibri"/>
        </w:rPr>
        <w:t xml:space="preserve">racial and ethnic groups remain outsiders. This spatial and institutional orientation towards </w:t>
      </w:r>
      <w:r w:rsidR="00A65A5A">
        <w:rPr>
          <w:rFonts w:ascii="Calibri" w:hAnsi="Calibri" w:cs="Calibri"/>
        </w:rPr>
        <w:t>N</w:t>
      </w:r>
      <w:r w:rsidR="00A65A5A" w:rsidRPr="0080140C">
        <w:rPr>
          <w:rFonts w:ascii="Calibri" w:hAnsi="Calibri" w:cs="Calibri"/>
        </w:rPr>
        <w:t>on</w:t>
      </w:r>
      <w:r w:rsidRPr="0080140C">
        <w:rPr>
          <w:rFonts w:ascii="Calibri" w:hAnsi="Calibri" w:cs="Calibri"/>
        </w:rPr>
        <w:t>-</w:t>
      </w:r>
      <w:r w:rsidR="00A65A5A">
        <w:rPr>
          <w:rFonts w:ascii="Calibri" w:hAnsi="Calibri" w:cs="Calibri"/>
        </w:rPr>
        <w:t>W</w:t>
      </w:r>
      <w:r w:rsidR="00A65A5A" w:rsidRPr="0080140C">
        <w:rPr>
          <w:rFonts w:ascii="Calibri" w:hAnsi="Calibri" w:cs="Calibri"/>
        </w:rPr>
        <w:t xml:space="preserve">hite </w:t>
      </w:r>
      <w:r w:rsidRPr="0080140C">
        <w:rPr>
          <w:rFonts w:ascii="Calibri" w:hAnsi="Calibri" w:cs="Calibri"/>
        </w:rPr>
        <w:t xml:space="preserve">populations bolsters what the renowned sociologist Eduardo Bonilla-Silva describes as white habitus, or </w:t>
      </w:r>
      <w:r>
        <w:rPr>
          <w:rFonts w:ascii="Calibri" w:hAnsi="Calibri" w:cs="Calibri"/>
        </w:rPr>
        <w:t>a ‘</w:t>
      </w:r>
      <w:r w:rsidRPr="0080140C">
        <w:rPr>
          <w:rFonts w:ascii="Calibri" w:hAnsi="Calibri" w:cs="Calibri"/>
        </w:rPr>
        <w:t>racialized, uninterrupted socialization process that conditions and creates whites’ racial taste, perceptions, feelings, and emotions and their views on racial matters</w:t>
      </w:r>
      <w:r>
        <w:rPr>
          <w:rFonts w:ascii="Calibri" w:hAnsi="Calibri" w:cs="Calibri"/>
        </w:rPr>
        <w:t>’.</w:t>
      </w:r>
      <w:r w:rsidRPr="0080140C">
        <w:rPr>
          <w:rStyle w:val="FootnoteReference"/>
          <w:rFonts w:ascii="Calibri" w:hAnsi="Calibri" w:cs="Calibri"/>
        </w:rPr>
        <w:footnoteReference w:id="170"/>
      </w:r>
    </w:p>
    <w:p w14:paraId="6543B193" w14:textId="6F59E769" w:rsidR="00F831B2" w:rsidRPr="0080140C" w:rsidRDefault="00F831B2" w:rsidP="00AE3304">
      <w:pPr>
        <w:spacing w:line="259" w:lineRule="auto"/>
        <w:ind w:firstLine="720"/>
        <w:rPr>
          <w:rFonts w:ascii="Calibri" w:hAnsi="Calibri" w:cs="Calibri"/>
        </w:rPr>
      </w:pPr>
      <w:r w:rsidRPr="0080140C">
        <w:rPr>
          <w:rFonts w:ascii="Calibri" w:hAnsi="Calibri" w:cs="Calibri"/>
        </w:rPr>
        <w:t xml:space="preserve">Previous research has noted </w:t>
      </w:r>
      <w:r>
        <w:rPr>
          <w:rFonts w:ascii="Calibri" w:hAnsi="Calibri" w:cs="Calibri"/>
        </w:rPr>
        <w:t xml:space="preserve">that </w:t>
      </w:r>
      <w:r w:rsidRPr="0080140C">
        <w:rPr>
          <w:rFonts w:ascii="Calibri" w:hAnsi="Calibri" w:cs="Calibri"/>
        </w:rPr>
        <w:t xml:space="preserve">the lack of Black, Asian and </w:t>
      </w:r>
      <w:r w:rsidR="00A65A5A">
        <w:rPr>
          <w:rFonts w:ascii="Calibri" w:hAnsi="Calibri" w:cs="Calibri"/>
        </w:rPr>
        <w:t>O</w:t>
      </w:r>
      <w:r w:rsidR="00A65A5A" w:rsidRPr="0080140C">
        <w:rPr>
          <w:rFonts w:ascii="Calibri" w:hAnsi="Calibri" w:cs="Calibri"/>
        </w:rPr>
        <w:t xml:space="preserve">ther </w:t>
      </w:r>
      <w:r w:rsidR="00A65A5A">
        <w:rPr>
          <w:rFonts w:ascii="Calibri" w:hAnsi="Calibri" w:cs="Calibri"/>
        </w:rPr>
        <w:t>N</w:t>
      </w:r>
      <w:r w:rsidR="00A65A5A" w:rsidRPr="0080140C">
        <w:rPr>
          <w:rFonts w:ascii="Calibri" w:hAnsi="Calibri" w:cs="Calibri"/>
        </w:rPr>
        <w:t>on</w:t>
      </w:r>
      <w:r w:rsidRPr="0080140C">
        <w:rPr>
          <w:rFonts w:ascii="Calibri" w:hAnsi="Calibri" w:cs="Calibri"/>
        </w:rPr>
        <w:t>-</w:t>
      </w:r>
      <w:r w:rsidR="00A65A5A">
        <w:rPr>
          <w:rFonts w:ascii="Calibri" w:hAnsi="Calibri" w:cs="Calibri"/>
        </w:rPr>
        <w:t>W</w:t>
      </w:r>
      <w:r w:rsidR="00A65A5A" w:rsidRPr="0080140C">
        <w:rPr>
          <w:rFonts w:ascii="Calibri" w:hAnsi="Calibri" w:cs="Calibri"/>
        </w:rPr>
        <w:t xml:space="preserve">hite </w:t>
      </w:r>
      <w:r w:rsidRPr="0080140C">
        <w:rPr>
          <w:rFonts w:ascii="Calibri" w:hAnsi="Calibri" w:cs="Calibri"/>
        </w:rPr>
        <w:t xml:space="preserve">ethnic minority groups in senior leadership positions throughout UK higher education institutions is a consequence of more </w:t>
      </w:r>
      <w:r w:rsidR="00E67D80" w:rsidRPr="0080140C">
        <w:rPr>
          <w:rFonts w:ascii="Calibri" w:hAnsi="Calibri" w:cs="Calibri"/>
        </w:rPr>
        <w:t>generali</w:t>
      </w:r>
      <w:r w:rsidR="00E67D80">
        <w:rPr>
          <w:rFonts w:ascii="Calibri" w:hAnsi="Calibri" w:cs="Calibri"/>
        </w:rPr>
        <w:t>z</w:t>
      </w:r>
      <w:r w:rsidR="00E67D80" w:rsidRPr="0080140C">
        <w:rPr>
          <w:rFonts w:ascii="Calibri" w:hAnsi="Calibri" w:cs="Calibri"/>
        </w:rPr>
        <w:t xml:space="preserve">able </w:t>
      </w:r>
      <w:r w:rsidRPr="0080140C">
        <w:rPr>
          <w:rFonts w:ascii="Calibri" w:hAnsi="Calibri" w:cs="Calibri"/>
        </w:rPr>
        <w:t>climate issues within universities.</w:t>
      </w:r>
      <w:r w:rsidRPr="0080140C">
        <w:rPr>
          <w:rStyle w:val="FootnoteReference"/>
          <w:rFonts w:ascii="Calibri" w:hAnsi="Calibri" w:cs="Calibri"/>
        </w:rPr>
        <w:footnoteReference w:id="171"/>
      </w:r>
      <w:r>
        <w:rPr>
          <w:rFonts w:ascii="Calibri" w:hAnsi="Calibri" w:cs="Calibri"/>
        </w:rPr>
        <w:t xml:space="preserve"> </w:t>
      </w:r>
      <w:r w:rsidRPr="0080140C">
        <w:rPr>
          <w:rFonts w:ascii="Calibri" w:hAnsi="Calibri" w:cs="Calibri"/>
        </w:rPr>
        <w:t xml:space="preserve">Under-representation of Black and </w:t>
      </w:r>
      <w:r w:rsidR="00E67D80">
        <w:rPr>
          <w:rFonts w:ascii="Calibri" w:hAnsi="Calibri" w:cs="Calibri"/>
        </w:rPr>
        <w:t>N</w:t>
      </w:r>
      <w:r w:rsidR="00E67D80" w:rsidRPr="0080140C">
        <w:rPr>
          <w:rFonts w:ascii="Calibri" w:hAnsi="Calibri" w:cs="Calibri"/>
        </w:rPr>
        <w:t>on</w:t>
      </w:r>
      <w:r w:rsidRPr="0080140C">
        <w:rPr>
          <w:rFonts w:ascii="Calibri" w:hAnsi="Calibri" w:cs="Calibri"/>
        </w:rPr>
        <w:t>-</w:t>
      </w:r>
      <w:r w:rsidR="00E67D80">
        <w:rPr>
          <w:rFonts w:ascii="Calibri" w:hAnsi="Calibri" w:cs="Calibri"/>
        </w:rPr>
        <w:t>W</w:t>
      </w:r>
      <w:r w:rsidR="00E67D80" w:rsidRPr="0080140C">
        <w:rPr>
          <w:rFonts w:ascii="Calibri" w:hAnsi="Calibri" w:cs="Calibri"/>
        </w:rPr>
        <w:t xml:space="preserve">hite </w:t>
      </w:r>
      <w:r w:rsidRPr="0080140C">
        <w:rPr>
          <w:rFonts w:ascii="Calibri" w:hAnsi="Calibri" w:cs="Calibri"/>
        </w:rPr>
        <w:t>racial and ethnic groups are not randomly occurring demographic patterns within UK higher education. These disparities are deliberate</w:t>
      </w:r>
      <w:r>
        <w:rPr>
          <w:rFonts w:ascii="Calibri" w:hAnsi="Calibri" w:cs="Calibri"/>
        </w:rPr>
        <w:t xml:space="preserve"> </w:t>
      </w:r>
      <w:r w:rsidRPr="0080140C">
        <w:rPr>
          <w:rFonts w:ascii="Calibri" w:hAnsi="Calibri" w:cs="Calibri"/>
        </w:rPr>
        <w:t>—</w:t>
      </w:r>
      <w:r>
        <w:rPr>
          <w:rFonts w:ascii="Calibri" w:hAnsi="Calibri" w:cs="Calibri"/>
        </w:rPr>
        <w:t xml:space="preserve"> </w:t>
      </w:r>
      <w:r w:rsidRPr="0080140C">
        <w:rPr>
          <w:rFonts w:ascii="Calibri" w:hAnsi="Calibri" w:cs="Calibri"/>
        </w:rPr>
        <w:t>the product of hiring, recruitment and retention practices that operate across departments, colleges and institutional culture</w:t>
      </w:r>
      <w:r>
        <w:rPr>
          <w:rFonts w:ascii="Calibri" w:hAnsi="Calibri" w:cs="Calibri"/>
        </w:rPr>
        <w:t>s</w:t>
      </w:r>
      <w:r w:rsidRPr="0080140C">
        <w:rPr>
          <w:rFonts w:ascii="Calibri" w:hAnsi="Calibri" w:cs="Calibri"/>
        </w:rPr>
        <w:t xml:space="preserve"> as a whole. </w:t>
      </w:r>
      <w:r>
        <w:rPr>
          <w:rFonts w:ascii="Calibri" w:hAnsi="Calibri" w:cs="Calibri"/>
        </w:rPr>
        <w:t>F</w:t>
      </w:r>
      <w:r w:rsidRPr="0080140C">
        <w:rPr>
          <w:rFonts w:ascii="Calibri" w:hAnsi="Calibri" w:cs="Calibri"/>
        </w:rPr>
        <w:t>or example</w:t>
      </w:r>
      <w:r>
        <w:rPr>
          <w:rFonts w:ascii="Calibri" w:hAnsi="Calibri" w:cs="Calibri"/>
        </w:rPr>
        <w:t xml:space="preserve">, </w:t>
      </w:r>
      <w:r w:rsidRPr="0080140C">
        <w:rPr>
          <w:rFonts w:ascii="Calibri" w:hAnsi="Calibri" w:cs="Calibri"/>
        </w:rPr>
        <w:t xml:space="preserve">Black </w:t>
      </w:r>
      <w:r w:rsidR="00E67D80">
        <w:rPr>
          <w:rFonts w:ascii="Calibri" w:hAnsi="Calibri" w:cs="Calibri"/>
        </w:rPr>
        <w:t>staff</w:t>
      </w:r>
      <w:r w:rsidR="00E67D80" w:rsidRPr="0080140C">
        <w:rPr>
          <w:rFonts w:ascii="Calibri" w:hAnsi="Calibri" w:cs="Calibri"/>
        </w:rPr>
        <w:t xml:space="preserve"> </w:t>
      </w:r>
      <w:r w:rsidRPr="0080140C">
        <w:rPr>
          <w:rFonts w:ascii="Calibri" w:hAnsi="Calibri" w:cs="Calibri"/>
        </w:rPr>
        <w:t>under-representation has been shown to have far</w:t>
      </w:r>
      <w:r w:rsidR="00E67D80">
        <w:rPr>
          <w:rFonts w:ascii="Calibri" w:hAnsi="Calibri" w:cs="Calibri"/>
        </w:rPr>
        <w:t>-</w:t>
      </w:r>
      <w:r w:rsidRPr="0080140C">
        <w:rPr>
          <w:rFonts w:ascii="Calibri" w:hAnsi="Calibri" w:cs="Calibri"/>
        </w:rPr>
        <w:t xml:space="preserve">reaching consequences for Black and </w:t>
      </w:r>
      <w:r w:rsidR="00E67D80">
        <w:rPr>
          <w:rFonts w:ascii="Calibri" w:hAnsi="Calibri" w:cs="Calibri"/>
        </w:rPr>
        <w:t>O</w:t>
      </w:r>
      <w:r w:rsidR="00E67D80" w:rsidRPr="0080140C">
        <w:rPr>
          <w:rFonts w:ascii="Calibri" w:hAnsi="Calibri" w:cs="Calibri"/>
        </w:rPr>
        <w:t xml:space="preserve">ther </w:t>
      </w:r>
      <w:r w:rsidR="00E67D80">
        <w:rPr>
          <w:rFonts w:ascii="Calibri" w:hAnsi="Calibri" w:cs="Calibri"/>
        </w:rPr>
        <w:t>N</w:t>
      </w:r>
      <w:r w:rsidR="00E67D80" w:rsidRPr="0080140C">
        <w:rPr>
          <w:rFonts w:ascii="Calibri" w:hAnsi="Calibri" w:cs="Calibri"/>
        </w:rPr>
        <w:t>on</w:t>
      </w:r>
      <w:r w:rsidRPr="0080140C">
        <w:rPr>
          <w:rFonts w:ascii="Calibri" w:hAnsi="Calibri" w:cs="Calibri"/>
        </w:rPr>
        <w:t>-</w:t>
      </w:r>
      <w:r w:rsidR="00E67D80">
        <w:rPr>
          <w:rFonts w:ascii="Calibri" w:hAnsi="Calibri" w:cs="Calibri"/>
        </w:rPr>
        <w:t>W</w:t>
      </w:r>
      <w:r w:rsidR="00E67D80" w:rsidRPr="0080140C">
        <w:rPr>
          <w:rFonts w:ascii="Calibri" w:hAnsi="Calibri" w:cs="Calibri"/>
        </w:rPr>
        <w:t xml:space="preserve">hite </w:t>
      </w:r>
      <w:r w:rsidRPr="0080140C">
        <w:rPr>
          <w:rFonts w:ascii="Calibri" w:hAnsi="Calibri" w:cs="Calibri"/>
        </w:rPr>
        <w:t xml:space="preserve">students in assessment, the likelihood of racial and ethnic minority students having </w:t>
      </w:r>
      <w:r w:rsidRPr="0080140C">
        <w:rPr>
          <w:rFonts w:ascii="Calibri" w:hAnsi="Calibri" w:cs="Calibri"/>
        </w:rPr>
        <w:lastRenderedPageBreak/>
        <w:t>positive university experiences</w:t>
      </w:r>
      <w:r w:rsidR="00E67D80">
        <w:rPr>
          <w:rFonts w:ascii="Calibri" w:hAnsi="Calibri" w:cs="Calibri"/>
        </w:rPr>
        <w:t>,</w:t>
      </w:r>
      <w:r w:rsidRPr="0080140C">
        <w:rPr>
          <w:rFonts w:ascii="Calibri" w:hAnsi="Calibri" w:cs="Calibri"/>
        </w:rPr>
        <w:t xml:space="preserve"> and learning outcomes.</w:t>
      </w:r>
      <w:r w:rsidRPr="0080140C">
        <w:rPr>
          <w:rStyle w:val="FootnoteReference"/>
          <w:rFonts w:ascii="Calibri" w:hAnsi="Calibri" w:cs="Calibri"/>
        </w:rPr>
        <w:footnoteReference w:id="172"/>
      </w:r>
      <w:r w:rsidRPr="0080140C">
        <w:rPr>
          <w:rFonts w:ascii="Calibri" w:hAnsi="Calibri" w:cs="Calibri"/>
        </w:rPr>
        <w:t xml:space="preserve"> Across UK </w:t>
      </w:r>
      <w:r>
        <w:rPr>
          <w:rFonts w:ascii="Calibri" w:hAnsi="Calibri" w:cs="Calibri"/>
        </w:rPr>
        <w:t>institutions of higher education</w:t>
      </w:r>
      <w:r w:rsidRPr="0080140C">
        <w:rPr>
          <w:rFonts w:ascii="Calibri" w:hAnsi="Calibri" w:cs="Calibri"/>
        </w:rPr>
        <w:t xml:space="preserve">, racial and ethnic minorities reported </w:t>
      </w:r>
      <w:r>
        <w:rPr>
          <w:rFonts w:ascii="Calibri" w:hAnsi="Calibri" w:cs="Calibri"/>
        </w:rPr>
        <w:t>‘</w:t>
      </w:r>
      <w:r w:rsidRPr="0080140C">
        <w:rPr>
          <w:rFonts w:ascii="Calibri" w:hAnsi="Calibri" w:cs="Calibri"/>
        </w:rPr>
        <w:t>isolation and marginalisation; challenges to their status, authority and scholarship; high levels of scrutiny and surveillance of their work; and difficulties in gaining promotion</w:t>
      </w:r>
      <w:r>
        <w:rPr>
          <w:rFonts w:ascii="Calibri" w:hAnsi="Calibri" w:cs="Calibri"/>
        </w:rPr>
        <w:t>’.</w:t>
      </w:r>
      <w:r w:rsidRPr="0080140C">
        <w:rPr>
          <w:rStyle w:val="FootnoteReference"/>
          <w:rFonts w:ascii="Calibri" w:hAnsi="Calibri" w:cs="Calibri"/>
        </w:rPr>
        <w:footnoteReference w:id="173"/>
      </w:r>
    </w:p>
    <w:p w14:paraId="16459518" w14:textId="39F9A629" w:rsidR="00F831B2" w:rsidRDefault="00F831B2" w:rsidP="00AE3304">
      <w:pPr>
        <w:spacing w:line="259" w:lineRule="auto"/>
        <w:rPr>
          <w:rFonts w:ascii="Calibri" w:hAnsi="Calibri" w:cs="Calibri"/>
        </w:rPr>
      </w:pPr>
      <w:r w:rsidRPr="0080140C">
        <w:rPr>
          <w:rFonts w:ascii="Calibri" w:hAnsi="Calibri" w:cs="Calibri"/>
        </w:rPr>
        <w:tab/>
        <w:t>Research from American scholars in higher education report similar consequences of racial and ethnic minority under-representation.</w:t>
      </w:r>
      <w:r>
        <w:rPr>
          <w:rFonts w:ascii="Calibri" w:hAnsi="Calibri" w:cs="Calibri"/>
        </w:rPr>
        <w:t xml:space="preserve"> </w:t>
      </w:r>
      <w:r w:rsidRPr="0080140C">
        <w:rPr>
          <w:rFonts w:ascii="Calibri" w:hAnsi="Calibri" w:cs="Calibri"/>
        </w:rPr>
        <w:t>Despite their marginali</w:t>
      </w:r>
      <w:r>
        <w:rPr>
          <w:rFonts w:ascii="Calibri" w:hAnsi="Calibri" w:cs="Calibri"/>
        </w:rPr>
        <w:t>s</w:t>
      </w:r>
      <w:r w:rsidRPr="0080140C">
        <w:rPr>
          <w:rFonts w:ascii="Calibri" w:hAnsi="Calibri" w:cs="Calibri"/>
        </w:rPr>
        <w:t xml:space="preserve">ation and experiences of discrimination throughout all levels of higher education, Black </w:t>
      </w:r>
      <w:r>
        <w:rPr>
          <w:rFonts w:ascii="Calibri" w:hAnsi="Calibri" w:cs="Calibri"/>
        </w:rPr>
        <w:t xml:space="preserve">academics </w:t>
      </w:r>
      <w:r w:rsidRPr="0080140C">
        <w:rPr>
          <w:rFonts w:ascii="Calibri" w:hAnsi="Calibri" w:cs="Calibri"/>
        </w:rPr>
        <w:t>tend to be more student</w:t>
      </w:r>
      <w:r>
        <w:rPr>
          <w:rFonts w:ascii="Calibri" w:hAnsi="Calibri" w:cs="Calibri"/>
        </w:rPr>
        <w:t>-</w:t>
      </w:r>
      <w:r w:rsidRPr="0080140C">
        <w:rPr>
          <w:rFonts w:ascii="Calibri" w:hAnsi="Calibri" w:cs="Calibri"/>
        </w:rPr>
        <w:t xml:space="preserve">centred, more willing to create participatory curricula facilitating student engagement and more willing to mentor students than their </w:t>
      </w:r>
      <w:r w:rsidR="00E67D80">
        <w:rPr>
          <w:rFonts w:ascii="Calibri" w:hAnsi="Calibri" w:cs="Calibri"/>
        </w:rPr>
        <w:t>W</w:t>
      </w:r>
      <w:r w:rsidR="00E67D80" w:rsidRPr="0080140C">
        <w:rPr>
          <w:rFonts w:ascii="Calibri" w:hAnsi="Calibri" w:cs="Calibri"/>
        </w:rPr>
        <w:t xml:space="preserve">hite </w:t>
      </w:r>
      <w:r w:rsidRPr="0080140C">
        <w:rPr>
          <w:rFonts w:ascii="Calibri" w:hAnsi="Calibri" w:cs="Calibri"/>
        </w:rPr>
        <w:t>counterparts.</w:t>
      </w:r>
      <w:r w:rsidRPr="0080140C">
        <w:rPr>
          <w:rStyle w:val="FootnoteReference"/>
          <w:rFonts w:ascii="Calibri" w:hAnsi="Calibri" w:cs="Calibri"/>
        </w:rPr>
        <w:footnoteReference w:id="174"/>
      </w:r>
      <w:r w:rsidRPr="0080140C">
        <w:rPr>
          <w:rFonts w:ascii="Calibri" w:hAnsi="Calibri" w:cs="Calibri"/>
        </w:rPr>
        <w:t xml:space="preserve"> However, racial under-representation within </w:t>
      </w:r>
      <w:r>
        <w:rPr>
          <w:rFonts w:ascii="Calibri" w:hAnsi="Calibri" w:cs="Calibri"/>
        </w:rPr>
        <w:t>higher education institutions</w:t>
      </w:r>
      <w:r w:rsidRPr="0080140C">
        <w:rPr>
          <w:rFonts w:ascii="Calibri" w:hAnsi="Calibri" w:cs="Calibri"/>
        </w:rPr>
        <w:t xml:space="preserve"> have been found to increase numerous physiological and psychological stressors for </w:t>
      </w:r>
      <w:r w:rsidR="00E67D80">
        <w:rPr>
          <w:rFonts w:ascii="Calibri" w:hAnsi="Calibri" w:cs="Calibri"/>
        </w:rPr>
        <w:t>N</w:t>
      </w:r>
      <w:r w:rsidR="00E67D80" w:rsidRPr="0080140C">
        <w:rPr>
          <w:rFonts w:ascii="Calibri" w:hAnsi="Calibri" w:cs="Calibri"/>
        </w:rPr>
        <w:t>on</w:t>
      </w:r>
      <w:r w:rsidRPr="0080140C">
        <w:rPr>
          <w:rFonts w:ascii="Calibri" w:hAnsi="Calibri" w:cs="Calibri"/>
        </w:rPr>
        <w:t>-</w:t>
      </w:r>
      <w:r w:rsidR="00E67D80">
        <w:rPr>
          <w:rFonts w:ascii="Calibri" w:hAnsi="Calibri" w:cs="Calibri"/>
        </w:rPr>
        <w:t>W</w:t>
      </w:r>
      <w:r w:rsidR="00E67D80" w:rsidRPr="0080140C">
        <w:rPr>
          <w:rFonts w:ascii="Calibri" w:hAnsi="Calibri" w:cs="Calibri"/>
        </w:rPr>
        <w:t xml:space="preserve">hite </w:t>
      </w:r>
      <w:r w:rsidRPr="0080140C">
        <w:rPr>
          <w:rFonts w:ascii="Calibri" w:hAnsi="Calibri" w:cs="Calibri"/>
        </w:rPr>
        <w:t xml:space="preserve">teaching </w:t>
      </w:r>
      <w:r>
        <w:rPr>
          <w:rFonts w:ascii="Calibri" w:hAnsi="Calibri" w:cs="Calibri"/>
        </w:rPr>
        <w:t>staff</w:t>
      </w:r>
      <w:r w:rsidRPr="0080140C">
        <w:rPr>
          <w:rFonts w:ascii="Calibri" w:hAnsi="Calibri" w:cs="Calibri"/>
        </w:rPr>
        <w:t xml:space="preserve"> and students. Racial battle fatigue or the introduction of a racial stressor into the life</w:t>
      </w:r>
      <w:r w:rsidR="00E67D80">
        <w:rPr>
          <w:rFonts w:ascii="Calibri" w:hAnsi="Calibri" w:cs="Calibri"/>
        </w:rPr>
        <w:t>-</w:t>
      </w:r>
      <w:r w:rsidRPr="0080140C">
        <w:rPr>
          <w:rFonts w:ascii="Calibri" w:hAnsi="Calibri" w:cs="Calibri"/>
        </w:rPr>
        <w:t>world of Black and racial and ethnic minorities</w:t>
      </w:r>
      <w:r w:rsidR="00E67D80">
        <w:rPr>
          <w:rFonts w:ascii="Calibri" w:hAnsi="Calibri" w:cs="Calibri"/>
        </w:rPr>
        <w:t>,</w:t>
      </w:r>
      <w:r w:rsidRPr="0080140C">
        <w:rPr>
          <w:rFonts w:ascii="Calibri" w:hAnsi="Calibri" w:cs="Calibri"/>
        </w:rPr>
        <w:t xml:space="preserve"> upsets one’s allostatic balance</w:t>
      </w:r>
      <w:r>
        <w:rPr>
          <w:rFonts w:ascii="Calibri" w:hAnsi="Calibri" w:cs="Calibri"/>
        </w:rPr>
        <w:t xml:space="preserve"> and </w:t>
      </w:r>
      <w:r w:rsidRPr="0080140C">
        <w:rPr>
          <w:rFonts w:ascii="Calibri" w:hAnsi="Calibri" w:cs="Calibri"/>
        </w:rPr>
        <w:t xml:space="preserve">has </w:t>
      </w:r>
      <w:r>
        <w:rPr>
          <w:rFonts w:ascii="Calibri" w:hAnsi="Calibri" w:cs="Calibri"/>
        </w:rPr>
        <w:t>significant</w:t>
      </w:r>
      <w:r w:rsidRPr="0080140C">
        <w:rPr>
          <w:rFonts w:ascii="Calibri" w:hAnsi="Calibri" w:cs="Calibri"/>
        </w:rPr>
        <w:t xml:space="preserve"> mental and physical health consequences for racial/ethnic minority </w:t>
      </w:r>
      <w:r>
        <w:rPr>
          <w:rFonts w:ascii="Calibri" w:hAnsi="Calibri" w:cs="Calibri"/>
        </w:rPr>
        <w:t>staff</w:t>
      </w:r>
      <w:r w:rsidRPr="0080140C">
        <w:rPr>
          <w:rFonts w:ascii="Calibri" w:hAnsi="Calibri" w:cs="Calibri"/>
        </w:rPr>
        <w:t>. In predominate</w:t>
      </w:r>
      <w:r w:rsidR="00E67D80">
        <w:rPr>
          <w:rFonts w:ascii="Calibri" w:hAnsi="Calibri" w:cs="Calibri"/>
        </w:rPr>
        <w:t>ly</w:t>
      </w:r>
      <w:r w:rsidRPr="0080140C">
        <w:rPr>
          <w:rFonts w:ascii="Calibri" w:hAnsi="Calibri" w:cs="Calibri"/>
        </w:rPr>
        <w:t xml:space="preserve"> </w:t>
      </w:r>
      <w:r w:rsidR="00E67D80">
        <w:rPr>
          <w:rFonts w:ascii="Calibri" w:hAnsi="Calibri" w:cs="Calibri"/>
        </w:rPr>
        <w:t>W</w:t>
      </w:r>
      <w:r w:rsidR="00E67D80" w:rsidRPr="0080140C">
        <w:rPr>
          <w:rFonts w:ascii="Calibri" w:hAnsi="Calibri" w:cs="Calibri"/>
        </w:rPr>
        <w:t xml:space="preserve">hite </w:t>
      </w:r>
      <w:r w:rsidRPr="0080140C">
        <w:rPr>
          <w:rFonts w:ascii="Calibri" w:hAnsi="Calibri" w:cs="Calibri"/>
        </w:rPr>
        <w:t xml:space="preserve">institutional environments, </w:t>
      </w:r>
      <w:r w:rsidR="00E67D80">
        <w:rPr>
          <w:rFonts w:ascii="Calibri" w:hAnsi="Calibri" w:cs="Calibri"/>
        </w:rPr>
        <w:t>N</w:t>
      </w:r>
      <w:r w:rsidR="00E67D80" w:rsidRPr="0080140C">
        <w:rPr>
          <w:rFonts w:ascii="Calibri" w:hAnsi="Calibri" w:cs="Calibri"/>
        </w:rPr>
        <w:t>on</w:t>
      </w:r>
      <w:r w:rsidRPr="0080140C">
        <w:rPr>
          <w:rFonts w:ascii="Calibri" w:hAnsi="Calibri" w:cs="Calibri"/>
        </w:rPr>
        <w:t>-</w:t>
      </w:r>
      <w:r w:rsidR="00E67D80">
        <w:rPr>
          <w:rFonts w:ascii="Calibri" w:hAnsi="Calibri" w:cs="Calibri"/>
        </w:rPr>
        <w:t>W</w:t>
      </w:r>
      <w:r w:rsidR="00E67D80" w:rsidRPr="0080140C">
        <w:rPr>
          <w:rFonts w:ascii="Calibri" w:hAnsi="Calibri" w:cs="Calibri"/>
        </w:rPr>
        <w:t xml:space="preserve">hite </w:t>
      </w:r>
      <w:r w:rsidR="00E67D80">
        <w:rPr>
          <w:rFonts w:ascii="Calibri" w:hAnsi="Calibri" w:cs="Calibri"/>
        </w:rPr>
        <w:t>staff</w:t>
      </w:r>
      <w:r w:rsidR="00E67D80" w:rsidRPr="0080140C">
        <w:rPr>
          <w:rFonts w:ascii="Calibri" w:hAnsi="Calibri" w:cs="Calibri"/>
        </w:rPr>
        <w:t xml:space="preserve"> </w:t>
      </w:r>
      <w:r w:rsidRPr="0080140C">
        <w:rPr>
          <w:rFonts w:ascii="Calibri" w:hAnsi="Calibri" w:cs="Calibri"/>
        </w:rPr>
        <w:t xml:space="preserve">tend to experience more negative health outcomes due to predominately </w:t>
      </w:r>
      <w:r w:rsidR="00E67D80">
        <w:rPr>
          <w:rFonts w:ascii="Calibri" w:hAnsi="Calibri" w:cs="Calibri"/>
        </w:rPr>
        <w:t>W</w:t>
      </w:r>
      <w:r w:rsidR="00E67D80" w:rsidRPr="0080140C">
        <w:rPr>
          <w:rFonts w:ascii="Calibri" w:hAnsi="Calibri" w:cs="Calibri"/>
        </w:rPr>
        <w:t xml:space="preserve">hite </w:t>
      </w:r>
      <w:r w:rsidRPr="0080140C">
        <w:rPr>
          <w:rFonts w:ascii="Calibri" w:hAnsi="Calibri" w:cs="Calibri"/>
        </w:rPr>
        <w:t xml:space="preserve">classrooms and departments than their </w:t>
      </w:r>
      <w:r w:rsidR="00E67D80">
        <w:rPr>
          <w:rFonts w:ascii="Calibri" w:hAnsi="Calibri" w:cs="Calibri"/>
        </w:rPr>
        <w:t>W</w:t>
      </w:r>
      <w:r w:rsidR="00E67D80" w:rsidRPr="0080140C">
        <w:rPr>
          <w:rFonts w:ascii="Calibri" w:hAnsi="Calibri" w:cs="Calibri"/>
        </w:rPr>
        <w:t xml:space="preserve">hite </w:t>
      </w:r>
      <w:r w:rsidRPr="0080140C">
        <w:rPr>
          <w:rFonts w:ascii="Calibri" w:hAnsi="Calibri" w:cs="Calibri"/>
        </w:rPr>
        <w:t xml:space="preserve">counterparts. Black and ethnic minority </w:t>
      </w:r>
      <w:r w:rsidR="00E67D80">
        <w:rPr>
          <w:rFonts w:ascii="Calibri" w:hAnsi="Calibri" w:cs="Calibri"/>
        </w:rPr>
        <w:t>staff</w:t>
      </w:r>
      <w:r w:rsidR="00E67D80" w:rsidRPr="0080140C">
        <w:rPr>
          <w:rFonts w:ascii="Calibri" w:hAnsi="Calibri" w:cs="Calibri"/>
        </w:rPr>
        <w:t xml:space="preserve"> </w:t>
      </w:r>
      <w:r w:rsidRPr="0080140C">
        <w:rPr>
          <w:rFonts w:ascii="Calibri" w:hAnsi="Calibri" w:cs="Calibri"/>
        </w:rPr>
        <w:t>are prone to develop various psychophysiological symptoms due to the stress of majority white institutional environments.</w:t>
      </w:r>
      <w:r w:rsidRPr="0080140C">
        <w:rPr>
          <w:rStyle w:val="FootnoteReference"/>
          <w:rFonts w:ascii="Calibri" w:hAnsi="Calibri" w:cs="Calibri"/>
        </w:rPr>
        <w:footnoteReference w:id="175"/>
      </w:r>
    </w:p>
    <w:p w14:paraId="7EA838C6" w14:textId="63B67B61" w:rsidR="008E03CE" w:rsidRDefault="008E03CE" w:rsidP="00D9372B">
      <w:pPr>
        <w:pStyle w:val="Heading2"/>
      </w:pPr>
    </w:p>
    <w:p w14:paraId="6AA82DA6" w14:textId="50EC2B58" w:rsidR="003D6D08" w:rsidRDefault="003D6D08" w:rsidP="003D6D08"/>
    <w:p w14:paraId="0F47BA58" w14:textId="1BAE71DF" w:rsidR="003D6D08" w:rsidRDefault="003D6D08" w:rsidP="003D6D08"/>
    <w:p w14:paraId="0E532C17" w14:textId="6EEB3C91" w:rsidR="003D6D08" w:rsidRDefault="003D6D08" w:rsidP="003D6D08"/>
    <w:p w14:paraId="517F7199" w14:textId="74C9DDD1" w:rsidR="003D6D08" w:rsidRDefault="003D6D08" w:rsidP="003D6D08"/>
    <w:p w14:paraId="7F4F9535" w14:textId="1E1073B4" w:rsidR="003D6D08" w:rsidRDefault="003D6D08" w:rsidP="003D6D08"/>
    <w:p w14:paraId="783390A3" w14:textId="0E450321" w:rsidR="003D6D08" w:rsidRDefault="003D6D08" w:rsidP="003D6D08"/>
    <w:p w14:paraId="0895C4A3" w14:textId="59B91362" w:rsidR="003D6D08" w:rsidRDefault="003D6D08" w:rsidP="003D6D08"/>
    <w:p w14:paraId="2C297516" w14:textId="32A7DE38" w:rsidR="003D6D08" w:rsidRDefault="003D6D08" w:rsidP="003D6D08"/>
    <w:p w14:paraId="6D04CF80" w14:textId="070BFE25" w:rsidR="003D6D08" w:rsidRDefault="003D6D08" w:rsidP="003D6D08"/>
    <w:p w14:paraId="7221752E" w14:textId="26DB1F42" w:rsidR="003D6D08" w:rsidRDefault="003D6D08" w:rsidP="003D6D08"/>
    <w:p w14:paraId="3F4AE35E" w14:textId="1FDF8BE4" w:rsidR="003D6D08" w:rsidRDefault="003D6D08" w:rsidP="003D6D08"/>
    <w:p w14:paraId="5E067306" w14:textId="42954D06" w:rsidR="003D6D08" w:rsidRDefault="003D6D08" w:rsidP="003D6D08"/>
    <w:p w14:paraId="74B8C514" w14:textId="39E5A454" w:rsidR="003D6D08" w:rsidRDefault="003D6D08" w:rsidP="003D6D08"/>
    <w:p w14:paraId="39DE0C86" w14:textId="63FF7F0D" w:rsidR="003D6D08" w:rsidRDefault="003D6D08" w:rsidP="003D6D08"/>
    <w:p w14:paraId="5BBA036B" w14:textId="77777777" w:rsidR="003D6D08" w:rsidRPr="003D6D08" w:rsidRDefault="003D6D08" w:rsidP="003D6D08"/>
    <w:p w14:paraId="06C16738" w14:textId="43D390A0" w:rsidR="00773F7C" w:rsidRPr="003B32E9" w:rsidRDefault="003816CE" w:rsidP="004F1F9A">
      <w:pPr>
        <w:pStyle w:val="Heading1"/>
      </w:pPr>
      <w:bookmarkStart w:id="69" w:name="_Toc190939424"/>
      <w:bookmarkStart w:id="70" w:name="_Toc202627107"/>
      <w:r w:rsidRPr="003B32E9">
        <w:lastRenderedPageBreak/>
        <w:t xml:space="preserve">Part 4: </w:t>
      </w:r>
      <w:r w:rsidR="00773F7C" w:rsidRPr="003B32E9">
        <w:t>Current Situation of Race and Racism</w:t>
      </w:r>
      <w:bookmarkEnd w:id="51"/>
      <w:bookmarkEnd w:id="69"/>
      <w:bookmarkEnd w:id="70"/>
    </w:p>
    <w:p w14:paraId="23A4E15E" w14:textId="77777777" w:rsidR="00773F7C" w:rsidRPr="0017357E" w:rsidRDefault="00773F7C" w:rsidP="00016E93">
      <w:pPr>
        <w:spacing w:line="259" w:lineRule="auto"/>
        <w:rPr>
          <w:rFonts w:ascii="Calibri" w:eastAsia="Calibri" w:hAnsi="Calibri" w:cs="Calibri"/>
          <w:b/>
          <w:bCs/>
          <w:color w:val="000000" w:themeColor="text1"/>
          <w:kern w:val="0"/>
          <w:lang w:eastAsia="en-GB"/>
          <w14:ligatures w14:val="none"/>
        </w:rPr>
      </w:pPr>
    </w:p>
    <w:p w14:paraId="33030355" w14:textId="6EA902C3" w:rsidR="00773F7C" w:rsidRPr="00131521" w:rsidRDefault="529BF70F" w:rsidP="00131521">
      <w:pPr>
        <w:pStyle w:val="Heading2"/>
      </w:pPr>
      <w:bookmarkStart w:id="71" w:name="_Hlk179810934"/>
      <w:bookmarkStart w:id="72" w:name="_Toc190939425"/>
      <w:bookmarkStart w:id="73" w:name="_Toc202627108"/>
      <w:bookmarkEnd w:id="71"/>
      <w:r>
        <w:t>Background: Racism</w:t>
      </w:r>
      <w:r w:rsidR="456D2D80">
        <w:t xml:space="preserve"> </w:t>
      </w:r>
      <w:r>
        <w:t>in Higher Education</w:t>
      </w:r>
      <w:bookmarkEnd w:id="72"/>
      <w:bookmarkEnd w:id="73"/>
      <w:r w:rsidR="5A6063CC">
        <w:t xml:space="preserve"> </w:t>
      </w:r>
    </w:p>
    <w:p w14:paraId="2CBA8471" w14:textId="6D848467" w:rsidR="009846CC" w:rsidRPr="0017357E" w:rsidRDefault="00E327D2" w:rsidP="001D59B1">
      <w:pPr>
        <w:spacing w:line="259" w:lineRule="auto"/>
        <w:rPr>
          <w:rFonts w:cstheme="minorHAnsi"/>
        </w:rPr>
      </w:pPr>
      <w:r>
        <w:t>Under-</w:t>
      </w:r>
      <w:r w:rsidR="00D57F20">
        <w:t>representation</w:t>
      </w:r>
      <w:r>
        <w:t xml:space="preserve"> is </w:t>
      </w:r>
      <w:r w:rsidR="00D57F20">
        <w:t>but one</w:t>
      </w:r>
      <w:r w:rsidR="00DD201A">
        <w:t xml:space="preserve"> </w:t>
      </w:r>
      <w:r w:rsidR="00EC03C4">
        <w:t xml:space="preserve">characteristic of an institution’s </w:t>
      </w:r>
      <w:r w:rsidR="003F6AEB">
        <w:t xml:space="preserve">racial (campus) climate. </w:t>
      </w:r>
      <w:r w:rsidR="00121F97">
        <w:t xml:space="preserve">Racial climate, or </w:t>
      </w:r>
      <w:r w:rsidR="00F32A89">
        <w:t>c</w:t>
      </w:r>
      <w:r w:rsidR="003F6AEB">
        <w:t>ampus climate</w:t>
      </w:r>
      <w:r w:rsidR="005F5397">
        <w:t>,</w:t>
      </w:r>
      <w:r w:rsidR="003F6AEB">
        <w:t xml:space="preserve"> </w:t>
      </w:r>
      <w:r w:rsidR="00F32A89">
        <w:t xml:space="preserve">refers to </w:t>
      </w:r>
      <w:r w:rsidR="003F6AEB">
        <w:t xml:space="preserve">the </w:t>
      </w:r>
      <w:r w:rsidR="00470EE9">
        <w:t>psycho-social</w:t>
      </w:r>
      <w:r w:rsidR="00794232">
        <w:t xml:space="preserve"> environment of an instit</w:t>
      </w:r>
      <w:r w:rsidR="006D0BD1">
        <w:t>utio</w:t>
      </w:r>
      <w:r w:rsidR="002B74F8">
        <w:t xml:space="preserve">n that is experienced by staff </w:t>
      </w:r>
      <w:r w:rsidR="007B2036">
        <w:t xml:space="preserve">and </w:t>
      </w:r>
      <w:r w:rsidR="00645D0F">
        <w:t>student</w:t>
      </w:r>
      <w:r w:rsidR="007B2036">
        <w:t>s from different racial and ethnic backgrounds</w:t>
      </w:r>
      <w:r w:rsidR="00645D0F">
        <w:t>.</w:t>
      </w:r>
      <w:r w:rsidR="006226A3">
        <w:t xml:space="preserve"> The campus climate of higher education institutions </w:t>
      </w:r>
      <w:r w:rsidR="003A436E">
        <w:t>includes the values, beliefs and</w:t>
      </w:r>
      <w:r w:rsidR="005455FE">
        <w:t>,</w:t>
      </w:r>
      <w:r w:rsidR="003A436E">
        <w:t xml:space="preserve"> </w:t>
      </w:r>
      <w:r w:rsidR="00CB2720">
        <w:t>most importantly</w:t>
      </w:r>
      <w:r w:rsidR="005455FE">
        <w:t>,</w:t>
      </w:r>
      <w:r w:rsidR="00CB2720">
        <w:t xml:space="preserve"> perception of the </w:t>
      </w:r>
      <w:r w:rsidR="00BB368B">
        <w:t xml:space="preserve">university environment and culture to </w:t>
      </w:r>
      <w:r w:rsidR="00775FCB">
        <w:t>racial</w:t>
      </w:r>
      <w:r w:rsidR="00E95CBD">
        <w:t>ly</w:t>
      </w:r>
      <w:r w:rsidR="00073226">
        <w:t>/ethnically</w:t>
      </w:r>
      <w:r w:rsidR="00E95CBD">
        <w:t xml:space="preserve"> minoriti</w:t>
      </w:r>
      <w:r w:rsidR="005455FE">
        <w:t>s</w:t>
      </w:r>
      <w:r w:rsidR="00E95CBD">
        <w:t xml:space="preserve">ed </w:t>
      </w:r>
      <w:r w:rsidR="00BB368B">
        <w:t>others.</w:t>
      </w:r>
      <w:r w:rsidR="005455FE">
        <w:rPr>
          <w:rStyle w:val="FootnoteReference"/>
        </w:rPr>
        <w:footnoteReference w:id="176"/>
      </w:r>
      <w:r w:rsidR="00DF4BDF">
        <w:t xml:space="preserve"> </w:t>
      </w:r>
      <w:r w:rsidR="00CD3D89">
        <w:t>Studies from the United St</w:t>
      </w:r>
      <w:r w:rsidR="007F5521">
        <w:t>ates have shown that r</w:t>
      </w:r>
      <w:r w:rsidR="00DF4BDF">
        <w:t>acial and ethnic minorities</w:t>
      </w:r>
      <w:r w:rsidR="00CD3D89">
        <w:t xml:space="preserve"> generally have negative experiences on predominately white campuses.</w:t>
      </w:r>
      <w:r w:rsidR="00073226">
        <w:rPr>
          <w:rStyle w:val="FootnoteReference"/>
        </w:rPr>
        <w:footnoteReference w:id="177"/>
      </w:r>
      <w:r w:rsidR="00D57F20">
        <w:t xml:space="preserve"> </w:t>
      </w:r>
      <w:r w:rsidR="009846CC">
        <w:t>As noted</w:t>
      </w:r>
      <w:r w:rsidR="009846CC" w:rsidRPr="2F1CA799">
        <w:t xml:space="preserve"> in </w:t>
      </w:r>
      <w:r w:rsidR="009846CC">
        <w:t>the previous section, r</w:t>
      </w:r>
      <w:r w:rsidR="009846CC" w:rsidRPr="2F1CA799">
        <w:t xml:space="preserve">acism in </w:t>
      </w:r>
      <w:r w:rsidR="009846CC">
        <w:t>higher education institutions</w:t>
      </w:r>
      <w:r w:rsidR="009846CC" w:rsidRPr="2F1CA799">
        <w:t xml:space="preserve"> is a pervasive and enduring problem that has historical roots and affects the experiences of both students and staff members from racially and ethnically minoritised backgrounds.</w:t>
      </w:r>
      <w:r w:rsidR="009846CC" w:rsidRPr="2F1CA799">
        <w:rPr>
          <w:rStyle w:val="FootnoteReference"/>
        </w:rPr>
        <w:footnoteReference w:id="178"/>
      </w:r>
      <w:r w:rsidR="009846CC" w:rsidRPr="2F1CA799">
        <w:t xml:space="preserve"> This</w:t>
      </w:r>
      <w:r w:rsidR="00A14123">
        <w:t xml:space="preserve"> section</w:t>
      </w:r>
      <w:r w:rsidR="00441FE0">
        <w:t xml:space="preserve"> </w:t>
      </w:r>
      <w:r w:rsidR="00D26308">
        <w:t xml:space="preserve">analyses </w:t>
      </w:r>
      <w:r w:rsidR="009F5F71">
        <w:t xml:space="preserve">how </w:t>
      </w:r>
      <w:r w:rsidR="00B82614">
        <w:t>racial and ethnic difference is experienced</w:t>
      </w:r>
      <w:r w:rsidR="009A32C9">
        <w:t xml:space="preserve"> by</w:t>
      </w:r>
      <w:r w:rsidR="00B82614">
        <w:t xml:space="preserve"> </w:t>
      </w:r>
      <w:r w:rsidR="00F962FB">
        <w:t xml:space="preserve">racial and ethnic minorities </w:t>
      </w:r>
      <w:r w:rsidR="00B82614">
        <w:t xml:space="preserve">and </w:t>
      </w:r>
      <w:r w:rsidR="00F962FB">
        <w:t xml:space="preserve">how these differences are </w:t>
      </w:r>
      <w:r w:rsidR="00B82614">
        <w:t xml:space="preserve">perceived </w:t>
      </w:r>
      <w:r w:rsidR="00F962FB">
        <w:t>on a predominately white campus.</w:t>
      </w:r>
      <w:r w:rsidR="009846CC" w:rsidRPr="2F1CA799">
        <w:t xml:space="preserve"> A fuller account of this research conducted for this part of review can be </w:t>
      </w:r>
      <w:r w:rsidR="009846CC" w:rsidRPr="00D72A0F">
        <w:t>found in Appendix 5.</w:t>
      </w:r>
      <w:r w:rsidR="009846CC" w:rsidRPr="00D72A0F">
        <w:rPr>
          <w:rStyle w:val="FootnoteReference"/>
        </w:rPr>
        <w:footnoteReference w:id="179"/>
      </w:r>
      <w:r w:rsidR="009846CC" w:rsidRPr="2F1CA799">
        <w:t xml:space="preserve"> </w:t>
      </w:r>
    </w:p>
    <w:p w14:paraId="0A77AC09" w14:textId="15F297E3" w:rsidR="009846CC" w:rsidRPr="0017357E" w:rsidRDefault="009846CC" w:rsidP="001D59B1">
      <w:pPr>
        <w:pStyle w:val="NormalWeb"/>
        <w:spacing w:before="0" w:beforeAutospacing="0" w:after="0" w:afterAutospacing="0" w:line="259" w:lineRule="auto"/>
        <w:ind w:firstLine="720"/>
        <w:rPr>
          <w:rFonts w:asciiTheme="minorHAnsi" w:hAnsiTheme="minorHAnsi" w:cstheme="minorBidi"/>
        </w:rPr>
      </w:pPr>
      <w:r w:rsidRPr="3C6D1E23">
        <w:rPr>
          <w:rFonts w:asciiTheme="minorHAnsi" w:hAnsiTheme="minorHAnsi" w:cstheme="minorBidi"/>
        </w:rPr>
        <w:t>Researchers have identified major and lasting problems relating to racial inequality within higher education institutions. For students, admission rates are lower for students from ethnically and racially minoritised backgrounds.</w:t>
      </w:r>
      <w:r w:rsidRPr="3C6D1E23">
        <w:rPr>
          <w:rStyle w:val="FootnoteReference"/>
          <w:rFonts w:asciiTheme="minorHAnsi" w:eastAsiaTheme="majorEastAsia" w:hAnsiTheme="minorHAnsi" w:cstheme="minorBidi"/>
        </w:rPr>
        <w:footnoteReference w:id="180"/>
      </w:r>
      <w:r w:rsidRPr="3C6D1E23">
        <w:rPr>
          <w:rFonts w:asciiTheme="minorHAnsi" w:hAnsiTheme="minorHAnsi" w:cstheme="minorBidi"/>
        </w:rPr>
        <w:t xml:space="preserve"> Attainment rates and grades are comparatively poorer for students from racially and ethnically disadvantaged communities. Students have also reported the challenges involved in studying and living in elite (or </w:t>
      </w:r>
      <w:r w:rsidRPr="3C6D1E23">
        <w:rPr>
          <w:rFonts w:asciiTheme="minorHAnsi" w:hAnsiTheme="minorHAnsi" w:cstheme="minorBidi"/>
        </w:rPr>
        <w:lastRenderedPageBreak/>
        <w:t xml:space="preserve">historically and culturally </w:t>
      </w:r>
      <w:r w:rsidR="00273AAF">
        <w:rPr>
          <w:rFonts w:asciiTheme="minorHAnsi" w:hAnsiTheme="minorHAnsi" w:cstheme="minorBidi"/>
        </w:rPr>
        <w:t>W</w:t>
      </w:r>
      <w:r w:rsidRPr="3C6D1E23">
        <w:rPr>
          <w:rFonts w:asciiTheme="minorHAnsi" w:hAnsiTheme="minorHAnsi" w:cstheme="minorBidi"/>
        </w:rPr>
        <w:t>hite-predominant) universities.</w:t>
      </w:r>
      <w:r w:rsidRPr="3C6D1E23">
        <w:rPr>
          <w:rStyle w:val="FootnoteReference"/>
          <w:rFonts w:asciiTheme="minorHAnsi" w:eastAsiaTheme="majorEastAsia" w:hAnsiTheme="minorHAnsi" w:cstheme="minorBidi"/>
        </w:rPr>
        <w:footnoteReference w:id="181"/>
      </w:r>
      <w:r w:rsidRPr="3C6D1E23">
        <w:rPr>
          <w:rFonts w:asciiTheme="minorHAnsi" w:hAnsiTheme="minorHAnsi" w:cstheme="minorBidi"/>
        </w:rPr>
        <w:t xml:space="preserve"> Students from ethically and racially minoritised backgrounds are also less likely to pursue postgraduate and doctoral studies due to lack of financial support, limited mentoring opportunities and peer support, and poorer mental health due to experiences of racial discrimination.</w:t>
      </w:r>
      <w:r w:rsidRPr="3C6D1E23">
        <w:rPr>
          <w:rStyle w:val="FootnoteReference"/>
          <w:rFonts w:asciiTheme="minorHAnsi" w:hAnsiTheme="minorHAnsi" w:cstheme="minorBidi"/>
        </w:rPr>
        <w:footnoteReference w:id="182"/>
      </w:r>
    </w:p>
    <w:p w14:paraId="2C0F859A" w14:textId="60FE503B" w:rsidR="009846CC" w:rsidRPr="0017357E" w:rsidRDefault="001D59B1" w:rsidP="001D59B1">
      <w:pPr>
        <w:pStyle w:val="NormalWeb"/>
        <w:spacing w:before="0" w:beforeAutospacing="0" w:after="0" w:afterAutospacing="0" w:line="259" w:lineRule="auto"/>
        <w:ind w:firstLine="720"/>
        <w:rPr>
          <w:rFonts w:asciiTheme="minorHAnsi" w:hAnsiTheme="minorHAnsi" w:cstheme="minorBidi"/>
        </w:rPr>
      </w:pPr>
      <w:r w:rsidRPr="00057638">
        <w:rPr>
          <w:rFonts w:asciiTheme="minorHAnsi" w:hAnsiTheme="minorHAnsi" w:cstheme="minorHAnsi"/>
        </w:rPr>
        <w:t>Academic studies and resulting publications show tha</w:t>
      </w:r>
      <w:r w:rsidRPr="001D59B1">
        <w:rPr>
          <w:rFonts w:asciiTheme="minorHAnsi" w:hAnsiTheme="minorHAnsi" w:cstheme="minorHAnsi"/>
        </w:rPr>
        <w:t>t r</w:t>
      </w:r>
      <w:r w:rsidR="009846CC" w:rsidRPr="001D59B1">
        <w:rPr>
          <w:rFonts w:asciiTheme="minorHAnsi" w:hAnsiTheme="minorHAnsi" w:cstheme="minorHAnsi"/>
        </w:rPr>
        <w:t>acial inequality</w:t>
      </w:r>
      <w:r w:rsidR="009846CC" w:rsidRPr="3C6D1E23">
        <w:rPr>
          <w:rFonts w:asciiTheme="minorHAnsi" w:hAnsiTheme="minorHAnsi" w:cstheme="minorBidi"/>
        </w:rPr>
        <w:t xml:space="preserve"> also affects staff members from racially and ethnically minoritised backgrounds. Johnson and Joseph-Salisbury observe that inequality is evident at the job application and interview stages.</w:t>
      </w:r>
      <w:r w:rsidR="009846CC" w:rsidRPr="3C6D1E23">
        <w:rPr>
          <w:rStyle w:val="FootnoteReference"/>
          <w:rFonts w:asciiTheme="minorHAnsi" w:eastAsiaTheme="majorEastAsia" w:hAnsiTheme="minorHAnsi" w:cstheme="minorBidi"/>
        </w:rPr>
        <w:footnoteReference w:id="183"/>
      </w:r>
      <w:r w:rsidR="009846CC" w:rsidRPr="3C6D1E23">
        <w:rPr>
          <w:rFonts w:asciiTheme="minorHAnsi" w:hAnsiTheme="minorHAnsi" w:cstheme="minorBidi"/>
        </w:rPr>
        <w:t xml:space="preserve"> The authors also contend that staff members from racially and ethnically minoritised backgrounds are not seen as ‘knowledge producers but objects of knowing’.</w:t>
      </w:r>
      <w:r w:rsidR="009846CC" w:rsidRPr="3C6D1E23">
        <w:rPr>
          <w:rStyle w:val="FootnoteReference"/>
          <w:rFonts w:asciiTheme="minorHAnsi" w:hAnsiTheme="minorHAnsi" w:cstheme="minorBidi"/>
        </w:rPr>
        <w:footnoteReference w:id="184"/>
      </w:r>
      <w:r w:rsidR="009846CC" w:rsidRPr="3C6D1E23">
        <w:rPr>
          <w:rFonts w:asciiTheme="minorHAnsi" w:hAnsiTheme="minorHAnsi" w:cstheme="minorBidi"/>
        </w:rPr>
        <w:t xml:space="preserve"> As L</w:t>
      </w:r>
      <w:r w:rsidR="00F50D56">
        <w:rPr>
          <w:rFonts w:asciiTheme="minorHAnsi" w:hAnsiTheme="minorHAnsi" w:cstheme="minorBidi"/>
        </w:rPr>
        <w:t>oke</w:t>
      </w:r>
      <w:r w:rsidR="009846CC" w:rsidRPr="3C6D1E23">
        <w:rPr>
          <w:rFonts w:asciiTheme="minorHAnsi" w:hAnsiTheme="minorHAnsi" w:cstheme="minorBidi"/>
        </w:rPr>
        <w:t xml:space="preserve"> emphasises, ‘institutional racism is still endemic. This is evidenced among other things by the lack of progression for Black academics and the exclusion of students of colour from elite universities’.</w:t>
      </w:r>
      <w:r w:rsidR="009846CC" w:rsidRPr="3C6D1E23">
        <w:rPr>
          <w:rStyle w:val="FootnoteReference"/>
          <w:rFonts w:asciiTheme="minorHAnsi" w:eastAsiaTheme="majorEastAsia" w:hAnsiTheme="minorHAnsi" w:cstheme="minorBidi"/>
        </w:rPr>
        <w:footnoteReference w:id="185"/>
      </w:r>
    </w:p>
    <w:p w14:paraId="6A851E7D" w14:textId="77777777" w:rsidR="009846CC" w:rsidRPr="0017357E" w:rsidRDefault="009846CC" w:rsidP="001D59B1">
      <w:pPr>
        <w:pStyle w:val="NormalWeb"/>
        <w:spacing w:before="0" w:beforeAutospacing="0" w:after="0" w:afterAutospacing="0" w:line="259" w:lineRule="auto"/>
        <w:ind w:firstLine="720"/>
        <w:rPr>
          <w:rFonts w:asciiTheme="minorHAnsi" w:hAnsiTheme="minorHAnsi" w:cstheme="minorBidi"/>
        </w:rPr>
      </w:pPr>
      <w:r w:rsidRPr="3C6D1E23">
        <w:rPr>
          <w:rFonts w:asciiTheme="minorHAnsi" w:hAnsiTheme="minorHAnsi" w:cstheme="minorBidi"/>
        </w:rPr>
        <w:t>These studies have conceptualised and described institutional racism in higher education institutions, captured racial discrimination experienced by members of racially and ethnically minoritised backgrounds, and unveiled the impact of racism and racial inequality on people’s overall experiences within the institution.</w:t>
      </w:r>
      <w:r w:rsidRPr="3C6D1E23">
        <w:rPr>
          <w:rStyle w:val="FootnoteReference"/>
          <w:rFonts w:asciiTheme="minorHAnsi" w:hAnsiTheme="minorHAnsi" w:cstheme="minorBidi"/>
        </w:rPr>
        <w:footnoteReference w:id="186"/>
      </w:r>
      <w:r w:rsidRPr="3C6D1E23">
        <w:rPr>
          <w:rFonts w:asciiTheme="minorHAnsi" w:hAnsiTheme="minorHAnsi" w:cstheme="minorBidi"/>
        </w:rPr>
        <w:t xml:space="preserve"> Despite growing research and initiatives, institutions have made little progress to tackle racial inequality and improve institutional inclusivity and diversity.</w:t>
      </w:r>
      <w:r w:rsidRPr="3C6D1E23">
        <w:rPr>
          <w:rStyle w:val="FootnoteReference"/>
          <w:rFonts w:asciiTheme="minorHAnsi" w:hAnsiTheme="minorHAnsi" w:cstheme="minorBidi"/>
        </w:rPr>
        <w:footnoteReference w:id="187"/>
      </w:r>
    </w:p>
    <w:p w14:paraId="0FEF8E6F" w14:textId="71A87D04" w:rsidR="009846CC" w:rsidRPr="0017357E" w:rsidRDefault="009846CC" w:rsidP="001D59B1">
      <w:pPr>
        <w:pStyle w:val="NormalWeb"/>
        <w:spacing w:before="0" w:beforeAutospacing="0" w:after="0" w:afterAutospacing="0" w:line="259" w:lineRule="auto"/>
        <w:ind w:firstLine="720"/>
        <w:rPr>
          <w:rFonts w:asciiTheme="minorHAnsi" w:hAnsiTheme="minorHAnsi" w:cstheme="minorHAnsi"/>
        </w:rPr>
      </w:pPr>
      <w:r w:rsidRPr="3C6D1E23">
        <w:rPr>
          <w:rFonts w:asciiTheme="minorHAnsi" w:hAnsiTheme="minorHAnsi" w:cstheme="minorBidi"/>
        </w:rPr>
        <w:t>In the wake of the call to decolonise higher education institutions and enhance universities’ inclusiveness and diversity, a growing number of studies have been conducted to explore students’ perspectives and experiences of decolonisation.</w:t>
      </w:r>
      <w:r w:rsidRPr="3C6D1E23">
        <w:rPr>
          <w:rStyle w:val="FootnoteReference"/>
          <w:rFonts w:asciiTheme="minorHAnsi" w:eastAsiaTheme="majorEastAsia" w:hAnsiTheme="minorHAnsi" w:cstheme="minorBidi"/>
        </w:rPr>
        <w:footnoteReference w:id="188"/>
      </w:r>
      <w:r w:rsidRPr="3C6D1E23">
        <w:rPr>
          <w:rFonts w:asciiTheme="minorHAnsi" w:hAnsiTheme="minorHAnsi" w:cstheme="minorBidi"/>
        </w:rPr>
        <w:t xml:space="preserve"> The findings highlight the importance of engaging with and involving students, as their views enable us to see how colonial values are sustained in teaching and knowledge production. Nevertheless, Shain and others show that decolonisation can be met with rejection and </w:t>
      </w:r>
      <w:r w:rsidRPr="3C6D1E23">
        <w:rPr>
          <w:rFonts w:asciiTheme="minorHAnsi" w:hAnsiTheme="minorHAnsi" w:cstheme="minorBidi"/>
        </w:rPr>
        <w:lastRenderedPageBreak/>
        <w:t xml:space="preserve">therefore slow progress in </w:t>
      </w:r>
      <w:r w:rsidR="00F441B6">
        <w:rPr>
          <w:rFonts w:asciiTheme="minorHAnsi" w:hAnsiTheme="minorHAnsi" w:cstheme="minorBidi"/>
        </w:rPr>
        <w:t>high</w:t>
      </w:r>
      <w:r w:rsidR="009A32C9">
        <w:rPr>
          <w:rFonts w:asciiTheme="minorHAnsi" w:hAnsiTheme="minorHAnsi" w:cstheme="minorBidi"/>
        </w:rPr>
        <w:t>er</w:t>
      </w:r>
      <w:r w:rsidR="00F441B6">
        <w:rPr>
          <w:rFonts w:asciiTheme="minorHAnsi" w:hAnsiTheme="minorHAnsi" w:cstheme="minorBidi"/>
        </w:rPr>
        <w:t xml:space="preserve"> education institutions</w:t>
      </w:r>
      <w:r w:rsidRPr="3C6D1E23">
        <w:rPr>
          <w:rFonts w:asciiTheme="minorHAnsi" w:hAnsiTheme="minorHAnsi" w:cstheme="minorBidi"/>
        </w:rPr>
        <w:t>.</w:t>
      </w:r>
      <w:r w:rsidRPr="3C6D1E23">
        <w:rPr>
          <w:rStyle w:val="FootnoteReference"/>
          <w:rFonts w:asciiTheme="minorHAnsi" w:eastAsiaTheme="majorEastAsia" w:hAnsiTheme="minorHAnsi" w:cstheme="minorBidi"/>
        </w:rPr>
        <w:footnoteReference w:id="189"/>
      </w:r>
      <w:r w:rsidRPr="3C6D1E23">
        <w:rPr>
          <w:rFonts w:asciiTheme="minorHAnsi" w:hAnsiTheme="minorHAnsi" w:cstheme="minorBidi"/>
        </w:rPr>
        <w:t xml:space="preserve"> While these investigations are forward-looking and transformational, there remains a lack of understanding about how racial inequality persists and remains endemic as universities undergo decolonial transformations.</w:t>
      </w:r>
    </w:p>
    <w:p w14:paraId="0EA3AB38" w14:textId="6F479C31" w:rsidR="00773F7C" w:rsidRPr="0017357E" w:rsidRDefault="00C32057" w:rsidP="00D9372B">
      <w:pPr>
        <w:pStyle w:val="NormalWeb"/>
        <w:spacing w:before="0" w:beforeAutospacing="0" w:after="0" w:afterAutospacing="0" w:line="259" w:lineRule="auto"/>
        <w:ind w:firstLine="720"/>
        <w:rPr>
          <w:rFonts w:asciiTheme="minorHAnsi" w:hAnsiTheme="minorHAnsi" w:cstheme="minorHAnsi"/>
          <w:b/>
          <w:bCs/>
        </w:rPr>
      </w:pPr>
      <w:r w:rsidRPr="0017357E">
        <w:rPr>
          <w:rFonts w:asciiTheme="minorHAnsi" w:hAnsiTheme="minorHAnsi" w:cstheme="minorHAnsi"/>
        </w:rPr>
        <w:t xml:space="preserve">Following suit, the </w:t>
      </w:r>
      <w:r>
        <w:rPr>
          <w:rFonts w:asciiTheme="minorHAnsi" w:hAnsiTheme="minorHAnsi" w:cstheme="minorHAnsi"/>
        </w:rPr>
        <w:t>University of Edinburgh</w:t>
      </w:r>
      <w:r w:rsidRPr="0017357E">
        <w:rPr>
          <w:rFonts w:asciiTheme="minorHAnsi" w:hAnsiTheme="minorHAnsi" w:cstheme="minorHAnsi"/>
        </w:rPr>
        <w:t xml:space="preserve"> has introduced some initiatives and made some efforts to understand and address racial inequality within its institution. For instance, the ‘</w:t>
      </w:r>
      <w:hyperlink r:id="rId82">
        <w:r w:rsidR="009846CC" w:rsidRPr="06D755CD">
          <w:rPr>
            <w:rStyle w:val="Hyperlink"/>
            <w:rFonts w:asciiTheme="minorHAnsi" w:eastAsiaTheme="majorEastAsia" w:hAnsiTheme="minorHAnsi" w:cstheme="minorBidi"/>
          </w:rPr>
          <w:t>Thematic Review 2018–19: Black and Minority Ethnic Studies</w:t>
        </w:r>
      </w:hyperlink>
      <w:r w:rsidR="009846CC" w:rsidRPr="0017357E">
        <w:rPr>
          <w:rFonts w:asciiTheme="minorHAnsi" w:hAnsiTheme="minorHAnsi" w:cstheme="minorHAnsi"/>
        </w:rPr>
        <w:t>’ was convened by Professor Rowena Arshad and</w:t>
      </w:r>
      <w:r w:rsidR="001F12EA">
        <w:rPr>
          <w:rFonts w:asciiTheme="minorHAnsi" w:hAnsiTheme="minorHAnsi" w:cstheme="minorHAnsi"/>
        </w:rPr>
        <w:t>,</w:t>
      </w:r>
      <w:r w:rsidR="009846CC">
        <w:rPr>
          <w:rFonts w:asciiTheme="minorHAnsi" w:hAnsiTheme="minorHAnsi" w:cstheme="minorHAnsi"/>
        </w:rPr>
        <w:t xml:space="preserve"> in 2019</w:t>
      </w:r>
      <w:r w:rsidR="001F12EA">
        <w:rPr>
          <w:rFonts w:asciiTheme="minorHAnsi" w:hAnsiTheme="minorHAnsi" w:cstheme="minorHAnsi"/>
        </w:rPr>
        <w:t>,</w:t>
      </w:r>
      <w:r w:rsidR="009846CC" w:rsidRPr="0017357E">
        <w:rPr>
          <w:rFonts w:asciiTheme="minorHAnsi" w:hAnsiTheme="minorHAnsi" w:cstheme="minorHAnsi"/>
        </w:rPr>
        <w:t xml:space="preserve"> the ‘</w:t>
      </w:r>
      <w:hyperlink r:id="rId83">
        <w:r w:rsidR="009846CC" w:rsidRPr="06D755CD">
          <w:rPr>
            <w:rStyle w:val="Hyperlink"/>
            <w:rFonts w:asciiTheme="minorHAnsi" w:eastAsiaTheme="majorEastAsia" w:hAnsiTheme="minorHAnsi" w:cstheme="minorBidi"/>
          </w:rPr>
          <w:t>Report of the Task Group on Using the Curriculum to Promote Inclusion, Equality and Diversity</w:t>
        </w:r>
      </w:hyperlink>
      <w:r w:rsidR="009846CC" w:rsidRPr="06D755CD">
        <w:rPr>
          <w:rFonts w:asciiTheme="minorHAnsi" w:hAnsiTheme="minorHAnsi" w:cstheme="minorBidi"/>
        </w:rPr>
        <w:t>’ was published.</w:t>
      </w:r>
      <w:r w:rsidR="009846CC" w:rsidRPr="0017357E">
        <w:rPr>
          <w:rFonts w:asciiTheme="minorHAnsi" w:hAnsiTheme="minorHAnsi" w:cstheme="minorHAnsi"/>
        </w:rPr>
        <w:t xml:space="preserve"> Building on these existing reports and initiatives, </w:t>
      </w:r>
      <w:r w:rsidR="009A32C9" w:rsidRPr="0017357E">
        <w:rPr>
          <w:rFonts w:asciiTheme="minorHAnsi" w:hAnsiTheme="minorHAnsi" w:cstheme="minorHAnsi"/>
        </w:rPr>
        <w:t>th</w:t>
      </w:r>
      <w:r w:rsidR="009A32C9">
        <w:rPr>
          <w:rFonts w:asciiTheme="minorHAnsi" w:hAnsiTheme="minorHAnsi" w:cstheme="minorHAnsi"/>
        </w:rPr>
        <w:t>is</w:t>
      </w:r>
      <w:r w:rsidR="009A32C9" w:rsidRPr="0017357E">
        <w:rPr>
          <w:rFonts w:asciiTheme="minorHAnsi" w:hAnsiTheme="minorHAnsi" w:cstheme="minorHAnsi"/>
        </w:rPr>
        <w:t xml:space="preserve"> </w:t>
      </w:r>
      <w:r w:rsidR="009846CC" w:rsidRPr="0017357E">
        <w:rPr>
          <w:rFonts w:asciiTheme="minorHAnsi" w:hAnsiTheme="minorHAnsi" w:cstheme="minorHAnsi"/>
        </w:rPr>
        <w:t>current project aims to provide new evidence and insights into the University’s racial climate. Two questionnaires (further information is provided in the next section) were implemented</w:t>
      </w:r>
      <w:r w:rsidR="009846CC" w:rsidRPr="0017357E">
        <w:rPr>
          <w:rFonts w:asciiTheme="minorHAnsi" w:hAnsiTheme="minorHAnsi" w:cstheme="minorHAnsi"/>
          <w:color w:val="000000" w:themeColor="text1"/>
        </w:rPr>
        <w:t xml:space="preserve"> to capture </w:t>
      </w:r>
      <w:r w:rsidR="009846CC" w:rsidRPr="009D0037">
        <w:rPr>
          <w:rFonts w:ascii="Calibri" w:hAnsi="Calibri" w:cs="Calibri"/>
          <w:color w:val="000000" w:themeColor="text1"/>
        </w:rPr>
        <w:t>University members’</w:t>
      </w:r>
      <w:r w:rsidR="009846CC" w:rsidRPr="009D0037">
        <w:rPr>
          <w:rFonts w:ascii="Calibri" w:hAnsi="Calibri" w:cs="Calibri"/>
        </w:rPr>
        <w:t xml:space="preserve"> attitudes towards race and racism</w:t>
      </w:r>
      <w:r w:rsidR="009846CC" w:rsidRPr="009D0037">
        <w:rPr>
          <w:rFonts w:ascii="Calibri" w:hAnsi="Calibri" w:cs="Calibri"/>
          <w:color w:val="000000" w:themeColor="text1"/>
        </w:rPr>
        <w:t xml:space="preserve"> and the</w:t>
      </w:r>
      <w:r w:rsidR="009846CC">
        <w:rPr>
          <w:rFonts w:asciiTheme="minorHAnsi" w:hAnsiTheme="minorHAnsi" w:cstheme="minorHAnsi"/>
          <w:color w:val="000000" w:themeColor="text1"/>
        </w:rPr>
        <w:t xml:space="preserve"> </w:t>
      </w:r>
      <w:r w:rsidR="009846CC" w:rsidRPr="0017357E">
        <w:rPr>
          <w:rFonts w:asciiTheme="minorHAnsi" w:hAnsiTheme="minorHAnsi" w:cstheme="minorHAnsi"/>
          <w:color w:val="000000" w:themeColor="text1"/>
        </w:rPr>
        <w:t xml:space="preserve">racism experienced by those </w:t>
      </w:r>
      <w:r w:rsidR="009846CC">
        <w:rPr>
          <w:rFonts w:asciiTheme="minorHAnsi" w:hAnsiTheme="minorHAnsi" w:cstheme="minorHAnsi"/>
          <w:color w:val="000000" w:themeColor="text1"/>
        </w:rPr>
        <w:t xml:space="preserve">who are </w:t>
      </w:r>
      <w:r w:rsidR="009846CC" w:rsidRPr="0017357E">
        <w:rPr>
          <w:rFonts w:asciiTheme="minorHAnsi" w:hAnsiTheme="minorHAnsi" w:cstheme="minorHAnsi"/>
          <w:color w:val="000000" w:themeColor="text1"/>
        </w:rPr>
        <w:t xml:space="preserve">racialised and ethnically minoritised. </w:t>
      </w:r>
      <w:r w:rsidR="009846CC" w:rsidRPr="0017357E">
        <w:rPr>
          <w:rFonts w:asciiTheme="minorHAnsi" w:hAnsiTheme="minorHAnsi" w:cstheme="minorHAnsi"/>
        </w:rPr>
        <w:t>The findings from these questionnaires provide an important evidence base to progress the</w:t>
      </w:r>
      <w:r w:rsidR="00FA07C9">
        <w:rPr>
          <w:rFonts w:asciiTheme="minorHAnsi" w:hAnsiTheme="minorHAnsi" w:cstheme="minorHAnsi"/>
        </w:rPr>
        <w:t xml:space="preserve"> Race Equality &amp; Anti-Racist Committee’s</w:t>
      </w:r>
      <w:r w:rsidR="009846CC" w:rsidRPr="0017357E">
        <w:rPr>
          <w:rFonts w:asciiTheme="minorHAnsi" w:hAnsiTheme="minorHAnsi" w:cstheme="minorHAnsi"/>
        </w:rPr>
        <w:t xml:space="preserve"> </w:t>
      </w:r>
      <w:hyperlink r:id="rId84">
        <w:r w:rsidR="00FA07C9">
          <w:rPr>
            <w:rStyle w:val="Hyperlink"/>
            <w:rFonts w:asciiTheme="minorHAnsi" w:eastAsiaTheme="majorEastAsia" w:hAnsiTheme="minorHAnsi" w:cstheme="minorBidi"/>
          </w:rPr>
          <w:t>(REAR)</w:t>
        </w:r>
        <w:r w:rsidR="00FA07C9" w:rsidRPr="06D755CD">
          <w:rPr>
            <w:rStyle w:val="Hyperlink"/>
            <w:rFonts w:asciiTheme="minorHAnsi" w:eastAsiaTheme="majorEastAsia" w:hAnsiTheme="minorHAnsi" w:cstheme="minorBidi"/>
          </w:rPr>
          <w:t xml:space="preserve"> Action Plan</w:t>
        </w:r>
      </w:hyperlink>
      <w:r w:rsidR="009846CC" w:rsidRPr="0017357E">
        <w:rPr>
          <w:rFonts w:asciiTheme="minorHAnsi" w:hAnsiTheme="minorHAnsi" w:cstheme="minorHAnsi"/>
        </w:rPr>
        <w:t>, for example by providing important data on staff experience</w:t>
      </w:r>
      <w:r w:rsidR="001F12EA">
        <w:rPr>
          <w:rFonts w:asciiTheme="minorHAnsi" w:hAnsiTheme="minorHAnsi" w:cstheme="minorHAnsi"/>
        </w:rPr>
        <w:t>,</w:t>
      </w:r>
      <w:r w:rsidR="009846CC" w:rsidRPr="0017357E">
        <w:rPr>
          <w:rFonts w:asciiTheme="minorHAnsi" w:hAnsiTheme="minorHAnsi" w:cstheme="minorHAnsi"/>
        </w:rPr>
        <w:t xml:space="preserve"> that can go on to inform and guide REAR activities at a strategic and implementation</w:t>
      </w:r>
      <w:r w:rsidR="009846CC">
        <w:rPr>
          <w:rFonts w:asciiTheme="minorHAnsi" w:hAnsiTheme="minorHAnsi" w:cstheme="minorHAnsi"/>
        </w:rPr>
        <w:t>al</w:t>
      </w:r>
      <w:r w:rsidR="009846CC" w:rsidRPr="0017357E">
        <w:rPr>
          <w:rFonts w:asciiTheme="minorHAnsi" w:hAnsiTheme="minorHAnsi" w:cstheme="minorHAnsi"/>
        </w:rPr>
        <w:t xml:space="preserve"> level.</w:t>
      </w:r>
    </w:p>
    <w:p w14:paraId="74D26CAD" w14:textId="5E0F5E5B" w:rsidR="00773F7C" w:rsidRPr="004A0C63" w:rsidRDefault="00773F7C" w:rsidP="009A32C9">
      <w:pPr>
        <w:pStyle w:val="Heading3"/>
      </w:pPr>
      <w:bookmarkStart w:id="74" w:name="_Toc190939426"/>
      <w:bookmarkStart w:id="75" w:name="_Toc202627109"/>
      <w:r w:rsidRPr="004A0C63">
        <w:t>Measures</w:t>
      </w:r>
      <w:bookmarkEnd w:id="74"/>
      <w:bookmarkEnd w:id="75"/>
    </w:p>
    <w:p w14:paraId="47A026CD" w14:textId="4091450C" w:rsidR="00773F7C" w:rsidRPr="0017357E" w:rsidRDefault="00773F7C" w:rsidP="00EB11F2">
      <w:pPr>
        <w:spacing w:line="259" w:lineRule="auto"/>
        <w:rPr>
          <w:rFonts w:cstheme="minorHAnsi"/>
        </w:rPr>
      </w:pPr>
      <w:r w:rsidRPr="2F1CA799">
        <w:t xml:space="preserve">Two online questionnaires were administered across the </w:t>
      </w:r>
      <w:r w:rsidR="00FA07C9">
        <w:t>U</w:t>
      </w:r>
      <w:r w:rsidR="00FA07C9" w:rsidRPr="2F1CA799">
        <w:t>niversity</w:t>
      </w:r>
      <w:r w:rsidRPr="2F1CA799">
        <w:t xml:space="preserve">. Ethical approval was sought and granted by the ethics committee of </w:t>
      </w:r>
      <w:r w:rsidR="00FA07C9">
        <w:t xml:space="preserve">the University’s </w:t>
      </w:r>
      <w:r w:rsidRPr="2F1CA799">
        <w:t>School of Philosophy, Psychology and Language Sciences</w:t>
      </w:r>
      <w:r w:rsidR="009D0037" w:rsidRPr="2F1CA799">
        <w:t>.</w:t>
      </w:r>
      <w:r w:rsidRPr="2F1CA799">
        <w:rPr>
          <w:rStyle w:val="FootnoteReference"/>
        </w:rPr>
        <w:footnoteReference w:id="190"/>
      </w:r>
    </w:p>
    <w:p w14:paraId="734F39F2" w14:textId="77777777" w:rsidR="00773F7C" w:rsidRPr="0017357E" w:rsidRDefault="00773F7C" w:rsidP="00EB11F2">
      <w:pPr>
        <w:spacing w:line="259" w:lineRule="auto"/>
        <w:rPr>
          <w:rFonts w:cstheme="minorHAnsi"/>
        </w:rPr>
      </w:pPr>
    </w:p>
    <w:p w14:paraId="65FD6D59" w14:textId="44334723" w:rsidR="00773F7C" w:rsidRPr="0017357E" w:rsidRDefault="00773F7C" w:rsidP="009A32C9">
      <w:pPr>
        <w:pStyle w:val="Heading5"/>
      </w:pPr>
      <w:r w:rsidRPr="0017357E">
        <w:t>Questionnaire 1: Understanding the Present Racial Climate in</w:t>
      </w:r>
      <w:r w:rsidR="00AA394E">
        <w:t xml:space="preserve"> the</w:t>
      </w:r>
      <w:r w:rsidRPr="0017357E">
        <w:t xml:space="preserve"> </w:t>
      </w:r>
      <w:r w:rsidR="00A27530">
        <w:t>University of Edinburgh</w:t>
      </w:r>
    </w:p>
    <w:p w14:paraId="596C34A9" w14:textId="17797EF2" w:rsidR="00773F7C" w:rsidRPr="0017357E" w:rsidRDefault="00773F7C" w:rsidP="00EB11F2">
      <w:pPr>
        <w:spacing w:line="259" w:lineRule="auto"/>
        <w:rPr>
          <w:rFonts w:cstheme="minorHAnsi"/>
        </w:rPr>
      </w:pPr>
      <w:r w:rsidRPr="3C6D1E23">
        <w:t xml:space="preserve">Questionnaire 1 (Q1) investigated the present racial climate on campus by assessing people’s attitudes towards race and </w:t>
      </w:r>
      <w:r w:rsidR="00191B91" w:rsidRPr="3C6D1E23">
        <w:t>racism and</w:t>
      </w:r>
      <w:r w:rsidRPr="3C6D1E23">
        <w:t xml:space="preserve"> was intended for the whole </w:t>
      </w:r>
      <w:r w:rsidR="00FA07C9">
        <w:t>U</w:t>
      </w:r>
      <w:r w:rsidR="00FA07C9" w:rsidRPr="3C6D1E23">
        <w:t xml:space="preserve">niversity </w:t>
      </w:r>
      <w:r w:rsidRPr="3C6D1E23">
        <w:t>population (students and staff).</w:t>
      </w:r>
      <w:r w:rsidR="00C856DA" w:rsidRPr="3C6D1E23">
        <w:t xml:space="preserve"> </w:t>
      </w:r>
      <w:r w:rsidRPr="2F1CA799">
        <w:t>Two scales were modified and administered: ‘Colo</w:t>
      </w:r>
      <w:r w:rsidR="00FA07C9">
        <w:t>u</w:t>
      </w:r>
      <w:r w:rsidRPr="2F1CA799">
        <w:t>r-Blind Racial Attitudes Scale’ (CoBRAS) and ‘Motivation to Control Prejudiced Reactions’</w:t>
      </w:r>
      <w:r w:rsidR="00191B91" w:rsidRPr="2F1CA799">
        <w:t>.</w:t>
      </w:r>
      <w:r w:rsidRPr="2F1CA799">
        <w:rPr>
          <w:rStyle w:val="FootnoteReference"/>
        </w:rPr>
        <w:footnoteReference w:id="191"/>
      </w:r>
      <w:r w:rsidR="00191B91" w:rsidRPr="2F1CA799">
        <w:t xml:space="preserve"> </w:t>
      </w:r>
      <w:r w:rsidRPr="2F1CA799">
        <w:t xml:space="preserve">The scales were combined to create a survey with 27 questions. Rated on a </w:t>
      </w:r>
      <w:r w:rsidR="00FA07C9">
        <w:t>seven</w:t>
      </w:r>
      <w:r w:rsidRPr="2F1CA799">
        <w:t xml:space="preserve">-point Likert scale, the highest possible score was 189 and the lowest was 27. A higher score indicated higher levels of racial prejudice and a more negative attitude toward members of racialised and ethnically minoritised groups. </w:t>
      </w:r>
    </w:p>
    <w:p w14:paraId="68A89D3C" w14:textId="77777777" w:rsidR="00773F7C" w:rsidRPr="0017357E" w:rsidRDefault="00773F7C" w:rsidP="00EB11F2">
      <w:pPr>
        <w:spacing w:line="259" w:lineRule="auto"/>
        <w:ind w:firstLine="720"/>
        <w:rPr>
          <w:rFonts w:cstheme="minorHAnsi"/>
        </w:rPr>
      </w:pPr>
    </w:p>
    <w:p w14:paraId="272D2072" w14:textId="542411BC" w:rsidR="00773F7C" w:rsidRPr="0017357E" w:rsidRDefault="23AC28C4" w:rsidP="009A32C9">
      <w:pPr>
        <w:pStyle w:val="Heading5"/>
      </w:pPr>
      <w:r>
        <w:t xml:space="preserve">Questionnaire 2: </w:t>
      </w:r>
      <w:r w:rsidR="009C3C7D">
        <w:t>Understanding</w:t>
      </w:r>
      <w:r>
        <w:t xml:space="preserve"> People’s Experiences of Racial Discrimination</w:t>
      </w:r>
    </w:p>
    <w:p w14:paraId="578A58C9" w14:textId="63DE7056" w:rsidR="00773F7C" w:rsidRPr="0017357E" w:rsidRDefault="00773F7C" w:rsidP="00EB11F2">
      <w:pPr>
        <w:spacing w:line="259" w:lineRule="auto"/>
        <w:rPr>
          <w:rFonts w:cstheme="minorHAnsi"/>
        </w:rPr>
      </w:pPr>
      <w:r w:rsidRPr="0017357E">
        <w:rPr>
          <w:rFonts w:cstheme="minorHAnsi"/>
        </w:rPr>
        <w:t xml:space="preserve">Questionnaire 2 (Q2) measured people’s experiences of racial discrimination and was intended for any student or staff member who self-identifies as belonging to a racially/ethnically minoritised group and whose heritage is linked to areas of the world that </w:t>
      </w:r>
      <w:r w:rsidRPr="0017357E">
        <w:rPr>
          <w:rFonts w:cstheme="minorHAnsi"/>
        </w:rPr>
        <w:lastRenderedPageBreak/>
        <w:t>have been directly and continuously affected by European-led colonialism and enslavement.</w:t>
      </w:r>
      <w:r w:rsidR="00565CDC">
        <w:t xml:space="preserve"> </w:t>
      </w:r>
      <w:r w:rsidRPr="2F1CA799">
        <w:t xml:space="preserve">A modified version of the Perceived Racism Scale (PRS) </w:t>
      </w:r>
      <w:r w:rsidR="008A7B30" w:rsidRPr="2F1CA799">
        <w:t>was</w:t>
      </w:r>
      <w:r w:rsidRPr="2F1CA799">
        <w:t xml:space="preserve"> used.</w:t>
      </w:r>
      <w:r w:rsidR="008A7B30" w:rsidRPr="2F1CA799">
        <w:rPr>
          <w:rStyle w:val="FootnoteReference"/>
        </w:rPr>
        <w:footnoteReference w:id="192"/>
      </w:r>
      <w:r w:rsidRPr="2F1CA799">
        <w:t xml:space="preserve"> In total, participants responded to 24 items that measure</w:t>
      </w:r>
      <w:r w:rsidR="008A7B30" w:rsidRPr="2F1CA799">
        <w:t>d</w:t>
      </w:r>
      <w:r w:rsidRPr="2F1CA799">
        <w:t xml:space="preserve"> their experiences of racism on a </w:t>
      </w:r>
      <w:r w:rsidR="00FA07C9">
        <w:t>six</w:t>
      </w:r>
      <w:r w:rsidRPr="2F1CA799">
        <w:t xml:space="preserve">-point Likert scale (i.e. ‘Not Applicable’, ‘Never’, ‘Occasionally’, ‘Sometimes’, ‘Frequently’ and ‘All the Time’). The highest possible score was 144 and the lowest was 24, with higher scores indicating more frequent experiences of racism. Participants were also asked to indicate their emotional and coping responses to racial discrimination in </w:t>
      </w:r>
      <w:r w:rsidR="00FA07C9">
        <w:t>four</w:t>
      </w:r>
      <w:r w:rsidR="00FA07C9" w:rsidRPr="2F1CA799">
        <w:t xml:space="preserve"> </w:t>
      </w:r>
      <w:r w:rsidRPr="2F1CA799">
        <w:t xml:space="preserve">items. </w:t>
      </w:r>
    </w:p>
    <w:p w14:paraId="2E8B2511" w14:textId="77777777" w:rsidR="00773F7C" w:rsidRPr="0017357E" w:rsidRDefault="00773F7C" w:rsidP="003277B8">
      <w:pPr>
        <w:spacing w:line="259" w:lineRule="auto"/>
        <w:jc w:val="both"/>
        <w:rPr>
          <w:rFonts w:cstheme="minorHAnsi"/>
        </w:rPr>
      </w:pPr>
    </w:p>
    <w:p w14:paraId="717D0AEE" w14:textId="77777777" w:rsidR="00773F7C" w:rsidRPr="0017357E" w:rsidRDefault="00773F7C" w:rsidP="001659A7">
      <w:pPr>
        <w:pStyle w:val="Heading5"/>
      </w:pPr>
      <w:r w:rsidRPr="0017357E">
        <w:t>Personal Information and Demographics</w:t>
      </w:r>
    </w:p>
    <w:p w14:paraId="67BBC65E" w14:textId="294004D4" w:rsidR="00773F7C" w:rsidRPr="0017357E" w:rsidRDefault="00773F7C" w:rsidP="00D9372B">
      <w:pPr>
        <w:spacing w:line="259" w:lineRule="auto"/>
        <w:rPr>
          <w:rFonts w:cstheme="minorHAnsi"/>
        </w:rPr>
      </w:pPr>
      <w:r w:rsidRPr="0017357E">
        <w:rPr>
          <w:rFonts w:cstheme="minorHAnsi"/>
        </w:rPr>
        <w:t xml:space="preserve">Personal information was collected. Specifically, we asked participants for their gender category, age group, ethnic category, nationality/nationalities, religion, affiliated School or Department, time spent in the University, highest educational attainment, average achievement (for students only), contract type (for staff members only) and pay range (for staff members only). This information enabled us to comprehend factors that </w:t>
      </w:r>
      <w:r w:rsidR="001050D5">
        <w:rPr>
          <w:rFonts w:cstheme="minorHAnsi"/>
        </w:rPr>
        <w:t>might</w:t>
      </w:r>
      <w:r w:rsidRPr="0017357E">
        <w:rPr>
          <w:rFonts w:cstheme="minorHAnsi"/>
        </w:rPr>
        <w:t xml:space="preserve"> contribute to people’s (varied) attitudes towards racially/ethnically minoritised members, and experiences of racism. Personal information was collected on </w:t>
      </w:r>
      <w:r w:rsidR="00FA07C9">
        <w:rPr>
          <w:rFonts w:cstheme="minorHAnsi"/>
        </w:rPr>
        <w:t xml:space="preserve">a </w:t>
      </w:r>
      <w:r w:rsidRPr="0017357E">
        <w:rPr>
          <w:rFonts w:cstheme="minorHAnsi"/>
        </w:rPr>
        <w:t>voluntary basis. ‘Prefer not to say’ was provided as an option.</w:t>
      </w:r>
    </w:p>
    <w:p w14:paraId="169C0790" w14:textId="77777777" w:rsidR="00773F7C" w:rsidRPr="001050D5" w:rsidRDefault="00773F7C" w:rsidP="001659A7">
      <w:pPr>
        <w:pStyle w:val="Heading3"/>
      </w:pPr>
      <w:bookmarkStart w:id="76" w:name="_Toc190939427"/>
      <w:bookmarkStart w:id="77" w:name="_Toc202627110"/>
      <w:r w:rsidRPr="001050D5">
        <w:t>Data collection</w:t>
      </w:r>
      <w:bookmarkEnd w:id="76"/>
      <w:bookmarkEnd w:id="77"/>
    </w:p>
    <w:p w14:paraId="1C39B8E5" w14:textId="77777777" w:rsidR="001659A7" w:rsidRDefault="001659A7" w:rsidP="003277B8">
      <w:pPr>
        <w:autoSpaceDE w:val="0"/>
        <w:autoSpaceDN w:val="0"/>
        <w:adjustRightInd w:val="0"/>
        <w:spacing w:line="259" w:lineRule="auto"/>
        <w:jc w:val="both"/>
      </w:pPr>
    </w:p>
    <w:p w14:paraId="740043E5" w14:textId="18060AC4" w:rsidR="00773F7C" w:rsidRPr="0017357E" w:rsidRDefault="00773F7C" w:rsidP="003277B8">
      <w:pPr>
        <w:autoSpaceDE w:val="0"/>
        <w:autoSpaceDN w:val="0"/>
        <w:adjustRightInd w:val="0"/>
        <w:spacing w:line="259" w:lineRule="auto"/>
        <w:jc w:val="both"/>
        <w:rPr>
          <w:rFonts w:cstheme="minorHAnsi"/>
          <w:i/>
          <w:iCs/>
        </w:rPr>
      </w:pPr>
      <w:r w:rsidRPr="2F1CA799">
        <w:t xml:space="preserve">Questionnaires were administered on </w:t>
      </w:r>
      <w:r w:rsidRPr="3C6D1E23">
        <w:rPr>
          <w:i/>
          <w:iCs/>
        </w:rPr>
        <w:t>Qualtrics</w:t>
      </w:r>
      <w:r w:rsidR="009B0138">
        <w:t>.</w:t>
      </w:r>
      <w:r w:rsidRPr="2F1CA799">
        <w:rPr>
          <w:rStyle w:val="FootnoteReference"/>
        </w:rPr>
        <w:footnoteReference w:id="193"/>
      </w:r>
      <w:r w:rsidRPr="2F1CA799">
        <w:t xml:space="preserve"> </w:t>
      </w:r>
    </w:p>
    <w:p w14:paraId="38623AB8" w14:textId="77777777" w:rsidR="00773F7C" w:rsidRPr="001659A7" w:rsidRDefault="00773F7C" w:rsidP="001659A7">
      <w:pPr>
        <w:pStyle w:val="Heading5"/>
      </w:pPr>
      <w:r w:rsidRPr="001659A7">
        <w:t>Piloting</w:t>
      </w:r>
    </w:p>
    <w:p w14:paraId="42C8CD65" w14:textId="1758BF67" w:rsidR="00773F7C" w:rsidRPr="0017357E" w:rsidRDefault="00773F7C" w:rsidP="00EB11F2">
      <w:pPr>
        <w:spacing w:line="259" w:lineRule="auto"/>
        <w:rPr>
          <w:rFonts w:cstheme="minorHAnsi"/>
        </w:rPr>
      </w:pPr>
      <w:r w:rsidRPr="0017357E">
        <w:rPr>
          <w:rFonts w:cstheme="minorHAnsi"/>
        </w:rPr>
        <w:t xml:space="preserve">A pilot study was conducted between May and August 2023. </w:t>
      </w:r>
      <w:bookmarkStart w:id="78" w:name="_Hlk179902255"/>
      <w:r w:rsidRPr="0017357E">
        <w:rPr>
          <w:rFonts w:cstheme="minorHAnsi"/>
        </w:rPr>
        <w:t>The feedback received from volunteers w</w:t>
      </w:r>
      <w:r w:rsidR="001050D5">
        <w:rPr>
          <w:rFonts w:cstheme="minorHAnsi"/>
        </w:rPr>
        <w:t>as</w:t>
      </w:r>
      <w:r w:rsidRPr="0017357E">
        <w:rPr>
          <w:rFonts w:cstheme="minorHAnsi"/>
        </w:rPr>
        <w:t xml:space="preserve"> used to revise and improve the questionnaires.</w:t>
      </w:r>
      <w:bookmarkEnd w:id="78"/>
    </w:p>
    <w:p w14:paraId="073D635B" w14:textId="77777777" w:rsidR="00773F7C" w:rsidRPr="001659A7" w:rsidRDefault="00773F7C" w:rsidP="00273AAF">
      <w:pPr>
        <w:pStyle w:val="Heading5"/>
      </w:pPr>
      <w:r w:rsidRPr="001659A7">
        <w:t>Official Data Collection</w:t>
      </w:r>
    </w:p>
    <w:p w14:paraId="53E7C7E1" w14:textId="3AD7BB33" w:rsidR="00773F7C" w:rsidRPr="0017357E" w:rsidRDefault="00773F7C" w:rsidP="00D9372B">
      <w:pPr>
        <w:spacing w:line="259" w:lineRule="auto"/>
        <w:rPr>
          <w:rFonts w:cstheme="minorHAnsi"/>
        </w:rPr>
      </w:pPr>
      <w:r w:rsidRPr="0017357E">
        <w:rPr>
          <w:rFonts w:cstheme="minorHAnsi"/>
        </w:rPr>
        <w:t>Data collection took place between 20 November 2023 and 31 May 2024. Both questionnaires were officially closed on 31 May 2024. Data collection for Q2 was resumed on 28 August 2024 after further ethical approval was sought and obtained. The extended data collection ended on 6 September 2024.</w:t>
      </w:r>
    </w:p>
    <w:p w14:paraId="07015CEA" w14:textId="57476CDC" w:rsidR="00773F7C" w:rsidRPr="001659A7" w:rsidRDefault="00773F7C" w:rsidP="001659A7">
      <w:pPr>
        <w:pStyle w:val="Heading5"/>
      </w:pPr>
      <w:r w:rsidRPr="001659A7">
        <w:t xml:space="preserve">Participant </w:t>
      </w:r>
      <w:r w:rsidR="00424B16">
        <w:t>R</w:t>
      </w:r>
      <w:r w:rsidRPr="001659A7">
        <w:t>ecruitment</w:t>
      </w:r>
    </w:p>
    <w:p w14:paraId="53F90B8E" w14:textId="0196A932" w:rsidR="00773F7C" w:rsidRPr="0017357E" w:rsidRDefault="00773F7C" w:rsidP="00EB11F2">
      <w:pPr>
        <w:spacing w:line="259" w:lineRule="auto"/>
        <w:rPr>
          <w:rFonts w:cstheme="minorHAnsi"/>
        </w:rPr>
      </w:pPr>
      <w:bookmarkStart w:id="79" w:name="_Hlk179899065"/>
      <w:r w:rsidRPr="2F1CA799">
        <w:t>Participant Information Sheets for both questionnaires were made available on the Project’s blog site</w:t>
      </w:r>
      <w:r w:rsidR="001050D5" w:rsidRPr="2F1CA799">
        <w:t>.</w:t>
      </w:r>
      <w:r w:rsidRPr="2F1CA799">
        <w:rPr>
          <w:rStyle w:val="FootnoteReference"/>
        </w:rPr>
        <w:footnoteReference w:id="194"/>
      </w:r>
      <w:r w:rsidRPr="2F1CA799">
        <w:t xml:space="preserve"> </w:t>
      </w:r>
      <w:r w:rsidRPr="0017357E">
        <w:t xml:space="preserve">Participants were required to read the Participant Information Sheet and give </w:t>
      </w:r>
      <w:r w:rsidRPr="0017357E">
        <w:lastRenderedPageBreak/>
        <w:t>full consent before completing the questionnaires</w:t>
      </w:r>
      <w:r w:rsidRPr="2F1CA799">
        <w:t>.</w:t>
      </w:r>
      <w:r w:rsidR="001050D5" w:rsidRPr="2F1CA799">
        <w:t xml:space="preserve"> </w:t>
      </w:r>
      <w:r w:rsidRPr="0017357E">
        <w:t xml:space="preserve">The first 500 participants were rewarded with </w:t>
      </w:r>
      <w:bookmarkStart w:id="80" w:name="_Hlk179902353"/>
      <w:r w:rsidRPr="0017357E">
        <w:t>a £5 e-voucher per head</w:t>
      </w:r>
      <w:bookmarkEnd w:id="79"/>
      <w:bookmarkEnd w:id="80"/>
      <w:r w:rsidR="001050D5">
        <w:t>.</w:t>
      </w:r>
    </w:p>
    <w:p w14:paraId="3ADBFA59" w14:textId="7A0982B2" w:rsidR="001659A7" w:rsidRPr="0017357E" w:rsidRDefault="00773F7C" w:rsidP="00EB11F2">
      <w:pPr>
        <w:spacing w:line="259" w:lineRule="auto"/>
        <w:ind w:firstLine="720"/>
        <w:rPr>
          <w:rFonts w:cstheme="minorHAnsi"/>
        </w:rPr>
      </w:pPr>
      <w:r w:rsidRPr="0017357E">
        <w:rPr>
          <w:rFonts w:cstheme="minorHAnsi"/>
        </w:rPr>
        <w:t>Messages to recruiting participants were distributed via:</w:t>
      </w:r>
    </w:p>
    <w:p w14:paraId="1D9A6CCA" w14:textId="0007D7D1" w:rsidR="00773F7C" w:rsidRPr="0017357E" w:rsidRDefault="00773F7C" w:rsidP="00EB11F2">
      <w:pPr>
        <w:pStyle w:val="ListParagraph"/>
        <w:numPr>
          <w:ilvl w:val="0"/>
          <w:numId w:val="24"/>
        </w:numPr>
        <w:spacing w:line="259" w:lineRule="auto"/>
        <w:rPr>
          <w:rFonts w:cstheme="minorHAnsi"/>
        </w:rPr>
      </w:pPr>
      <w:r w:rsidRPr="0017357E">
        <w:rPr>
          <w:rFonts w:cstheme="minorHAnsi"/>
        </w:rPr>
        <w:t>One University-wide email newsletter on the 28 February 2024</w:t>
      </w:r>
    </w:p>
    <w:p w14:paraId="484C4591" w14:textId="14B12BA8" w:rsidR="00773F7C" w:rsidRPr="0017357E" w:rsidRDefault="00773F7C" w:rsidP="00EB11F2">
      <w:pPr>
        <w:pStyle w:val="ListParagraph"/>
        <w:numPr>
          <w:ilvl w:val="0"/>
          <w:numId w:val="24"/>
        </w:numPr>
        <w:spacing w:line="259" w:lineRule="auto"/>
        <w:textAlignment w:val="baseline"/>
        <w:rPr>
          <w:rFonts w:eastAsia="Times New Roman" w:cstheme="minorHAnsi"/>
          <w:lang w:eastAsia="en-GB"/>
        </w:rPr>
      </w:pPr>
      <w:r w:rsidRPr="0017357E">
        <w:rPr>
          <w:rFonts w:eastAsia="Times New Roman" w:cstheme="minorHAnsi"/>
          <w:lang w:eastAsia="en-GB"/>
        </w:rPr>
        <w:t>Posters and flyers (see images by Yarong Xie below</w:t>
      </w:r>
      <w:r w:rsidR="00187E8C">
        <w:rPr>
          <w:rFonts w:eastAsia="Times New Roman" w:cstheme="minorHAnsi"/>
          <w:lang w:eastAsia="en-GB"/>
        </w:rPr>
        <w:t xml:space="preserve"> in Figure 1</w:t>
      </w:r>
      <w:r w:rsidR="00CC4AB4">
        <w:rPr>
          <w:rFonts w:eastAsia="Times New Roman" w:cstheme="minorHAnsi"/>
          <w:lang w:eastAsia="en-GB"/>
        </w:rPr>
        <w:t>1</w:t>
      </w:r>
      <w:r w:rsidRPr="0017357E">
        <w:rPr>
          <w:rFonts w:eastAsia="Times New Roman" w:cstheme="minorHAnsi"/>
          <w:lang w:eastAsia="en-GB"/>
        </w:rPr>
        <w:t>)</w:t>
      </w:r>
    </w:p>
    <w:p w14:paraId="03AE90E6" w14:textId="3E330ECF" w:rsidR="00773F7C" w:rsidRPr="0017357E" w:rsidRDefault="00773F7C" w:rsidP="00273AAF">
      <w:pPr>
        <w:pStyle w:val="ListParagraph"/>
        <w:numPr>
          <w:ilvl w:val="0"/>
          <w:numId w:val="24"/>
        </w:numPr>
        <w:textAlignment w:val="baseline"/>
        <w:rPr>
          <w:rFonts w:cstheme="minorHAnsi"/>
        </w:rPr>
      </w:pPr>
      <w:r w:rsidRPr="0017357E">
        <w:rPr>
          <w:rFonts w:cstheme="minorHAnsi"/>
        </w:rPr>
        <w:t>Digital displays on plasma/advert screens across campus</w:t>
      </w:r>
    </w:p>
    <w:p w14:paraId="5AF96A18" w14:textId="779845E3" w:rsidR="00773F7C" w:rsidRPr="0017357E" w:rsidRDefault="00773F7C" w:rsidP="00273AAF">
      <w:pPr>
        <w:pStyle w:val="ListParagraph"/>
        <w:numPr>
          <w:ilvl w:val="0"/>
          <w:numId w:val="24"/>
        </w:numPr>
        <w:textAlignment w:val="baseline"/>
        <w:rPr>
          <w:rFonts w:cstheme="minorHAnsi"/>
        </w:rPr>
      </w:pPr>
      <w:r w:rsidRPr="0017357E">
        <w:rPr>
          <w:rFonts w:cstheme="minorHAnsi"/>
        </w:rPr>
        <w:t>Screensavers on Open Access computers on campus</w:t>
      </w:r>
    </w:p>
    <w:p w14:paraId="2D6810CF" w14:textId="27BE093B" w:rsidR="00773F7C" w:rsidRPr="0017357E" w:rsidRDefault="00773F7C" w:rsidP="00EB11F2">
      <w:pPr>
        <w:pStyle w:val="ListParagraph"/>
        <w:numPr>
          <w:ilvl w:val="0"/>
          <w:numId w:val="24"/>
        </w:numPr>
        <w:autoSpaceDE w:val="0"/>
        <w:autoSpaceDN w:val="0"/>
        <w:spacing w:after="240"/>
        <w:rPr>
          <w:rFonts w:cstheme="minorHAnsi"/>
        </w:rPr>
      </w:pPr>
      <w:r w:rsidRPr="0017357E">
        <w:rPr>
          <w:rFonts w:cstheme="minorHAnsi"/>
        </w:rPr>
        <w:t xml:space="preserve">Local communication and support offices at the Edinburgh College of Arts, </w:t>
      </w:r>
      <w:r w:rsidRPr="0017357E">
        <w:rPr>
          <w:rFonts w:cstheme="minorHAnsi"/>
          <w:lang w:eastAsia="en-GB"/>
        </w:rPr>
        <w:t>Moray House School of Education and Sport, the Ins</w:t>
      </w:r>
      <w:r w:rsidRPr="0017357E">
        <w:rPr>
          <w:rFonts w:cstheme="minorHAnsi"/>
          <w:shd w:val="clear" w:color="auto" w:fill="FFFFFF"/>
        </w:rPr>
        <w:t>titute for Advanced Studies in the Humanities</w:t>
      </w:r>
    </w:p>
    <w:p w14:paraId="11D967C0" w14:textId="66034760" w:rsidR="002F1C02" w:rsidRPr="00BA45A7" w:rsidRDefault="00773F7C" w:rsidP="00EB11F2">
      <w:pPr>
        <w:pStyle w:val="ListParagraph"/>
        <w:numPr>
          <w:ilvl w:val="0"/>
          <w:numId w:val="24"/>
        </w:numPr>
        <w:autoSpaceDE w:val="0"/>
        <w:autoSpaceDN w:val="0"/>
        <w:spacing w:after="240"/>
        <w:rPr>
          <w:rFonts w:cstheme="minorHAnsi"/>
        </w:rPr>
      </w:pPr>
      <w:r w:rsidRPr="0017357E">
        <w:rPr>
          <w:rFonts w:cstheme="minorHAnsi"/>
        </w:rPr>
        <w:t>A campaign page on Report + Support service.</w:t>
      </w:r>
    </w:p>
    <w:p w14:paraId="3115B0C1" w14:textId="35B147C1" w:rsidR="00773F7C" w:rsidRPr="0017357E" w:rsidRDefault="00773F7C" w:rsidP="00C32017">
      <w:pPr>
        <w:keepNext/>
        <w:ind w:left="426" w:hanging="426"/>
        <w:jc w:val="center"/>
        <w:textAlignment w:val="baseline"/>
        <w:rPr>
          <w:rFonts w:cstheme="minorHAnsi"/>
        </w:rPr>
      </w:pPr>
      <w:bookmarkStart w:id="81" w:name="_Hlk179810341"/>
      <w:r w:rsidRPr="0017357E">
        <w:rPr>
          <w:rFonts w:cstheme="minorHAnsi"/>
          <w:noProof/>
        </w:rPr>
        <w:drawing>
          <wp:inline distT="0" distB="0" distL="0" distR="0" wp14:anchorId="252C766A" wp14:editId="2724F6C4">
            <wp:extent cx="1509750" cy="1980000"/>
            <wp:effectExtent l="0" t="0" r="0" b="1270"/>
            <wp:docPr id="7" name="Picture 7" descr="Two elevators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elevators in a building&#10;&#10;Description automatically generated"/>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3333" t="20749" r="15666" b="19251"/>
                    <a:stretch/>
                  </pic:blipFill>
                  <pic:spPr bwMode="auto">
                    <a:xfrm>
                      <a:off x="0" y="0"/>
                      <a:ext cx="1509750" cy="1980000"/>
                    </a:xfrm>
                    <a:prstGeom prst="rect">
                      <a:avLst/>
                    </a:prstGeom>
                    <a:noFill/>
                    <a:ln>
                      <a:noFill/>
                    </a:ln>
                    <a:extLst>
                      <a:ext uri="{53640926-AAD7-44D8-BBD7-CCE9431645EC}">
                        <a14:shadowObscured xmlns:a14="http://schemas.microsoft.com/office/drawing/2010/main"/>
                      </a:ext>
                    </a:extLst>
                  </pic:spPr>
                </pic:pic>
              </a:graphicData>
            </a:graphic>
          </wp:inline>
        </w:drawing>
      </w:r>
      <w:r w:rsidRPr="0017357E">
        <w:rPr>
          <w:rFonts w:eastAsia="Times New Roman" w:cstheme="minorHAnsi"/>
          <w:lang w:eastAsia="en-GB"/>
        </w:rPr>
        <w:t xml:space="preserve"> </w:t>
      </w:r>
      <w:r w:rsidRPr="0017357E">
        <w:rPr>
          <w:rFonts w:cstheme="minorHAnsi"/>
          <w:noProof/>
        </w:rPr>
        <w:drawing>
          <wp:inline distT="0" distB="0" distL="0" distR="0" wp14:anchorId="41449A70" wp14:editId="501B7DDE">
            <wp:extent cx="2642927" cy="1980000"/>
            <wp:effectExtent l="0" t="0" r="5080" b="1270"/>
            <wp:docPr id="6" name="Picture 6" descr="A desk with a computer and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esk with a computer and a sign on it&#10;&#10;Description automatically generate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42927" cy="1980000"/>
                    </a:xfrm>
                    <a:prstGeom prst="rect">
                      <a:avLst/>
                    </a:prstGeom>
                    <a:noFill/>
                    <a:ln>
                      <a:noFill/>
                    </a:ln>
                  </pic:spPr>
                </pic:pic>
              </a:graphicData>
            </a:graphic>
          </wp:inline>
        </w:drawing>
      </w:r>
      <w:r w:rsidRPr="0017357E">
        <w:rPr>
          <w:rFonts w:eastAsia="Times New Roman" w:cstheme="minorHAnsi"/>
          <w:lang w:eastAsia="en-GB"/>
        </w:rPr>
        <w:t xml:space="preserve"> </w:t>
      </w:r>
      <w:r w:rsidRPr="0017357E">
        <w:rPr>
          <w:rFonts w:cstheme="minorHAnsi"/>
          <w:noProof/>
        </w:rPr>
        <w:drawing>
          <wp:inline distT="0" distB="0" distL="0" distR="0" wp14:anchorId="23E1E357" wp14:editId="49B87E1F">
            <wp:extent cx="1457143" cy="1980000"/>
            <wp:effectExtent l="0" t="0" r="0" b="1270"/>
            <wp:docPr id="5" name="Picture 5" descr="A wall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wall with a sign on it&#10;&#10;Description automatically generated"/>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22499" t="20124" r="20834" b="22126"/>
                    <a:stretch/>
                  </pic:blipFill>
                  <pic:spPr bwMode="auto">
                    <a:xfrm>
                      <a:off x="0" y="0"/>
                      <a:ext cx="1457143" cy="1980000"/>
                    </a:xfrm>
                    <a:prstGeom prst="rect">
                      <a:avLst/>
                    </a:prstGeom>
                    <a:noFill/>
                    <a:ln>
                      <a:noFill/>
                    </a:ln>
                    <a:extLst>
                      <a:ext uri="{53640926-AAD7-44D8-BBD7-CCE9431645EC}">
                        <a14:shadowObscured xmlns:a14="http://schemas.microsoft.com/office/drawing/2010/main"/>
                      </a:ext>
                    </a:extLst>
                  </pic:spPr>
                </pic:pic>
              </a:graphicData>
            </a:graphic>
          </wp:inline>
        </w:drawing>
      </w:r>
    </w:p>
    <w:p w14:paraId="3CB03D09" w14:textId="6C6B9C44" w:rsidR="00773F7C" w:rsidRPr="0017357E" w:rsidRDefault="00BA45A7" w:rsidP="00150391">
      <w:pPr>
        <w:pStyle w:val="Caption"/>
        <w:spacing w:after="0"/>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Pr>
          <w:rFonts w:cstheme="minorHAnsi"/>
          <w:i w:val="0"/>
          <w:iCs w:val="0"/>
          <w:color w:val="000000" w:themeColor="text1"/>
          <w:sz w:val="24"/>
          <w:szCs w:val="24"/>
          <w:u w:val="single"/>
        </w:rPr>
        <w:t xml:space="preserve"> </w:t>
      </w:r>
      <w:r w:rsidR="00CE41BA">
        <w:rPr>
          <w:rFonts w:cstheme="minorHAnsi"/>
          <w:i w:val="0"/>
          <w:iCs w:val="0"/>
          <w:color w:val="000000" w:themeColor="text1"/>
          <w:sz w:val="24"/>
          <w:szCs w:val="24"/>
          <w:u w:val="single"/>
        </w:rPr>
        <w:t>11</w:t>
      </w:r>
      <w:r w:rsidR="00CE41BA" w:rsidRPr="00CE41BA">
        <w:rPr>
          <w:rFonts w:cstheme="minorHAnsi"/>
          <w:i w:val="0"/>
          <w:iCs w:val="0"/>
          <w:color w:val="000000" w:themeColor="text1"/>
          <w:sz w:val="24"/>
          <w:szCs w:val="24"/>
        </w:rPr>
        <w:t>:</w:t>
      </w:r>
      <w:r w:rsidRPr="00CE41BA">
        <w:rPr>
          <w:rFonts w:cstheme="minorHAnsi"/>
          <w:i w:val="0"/>
          <w:iCs w:val="0"/>
          <w:color w:val="000000" w:themeColor="text1"/>
          <w:sz w:val="24"/>
          <w:szCs w:val="24"/>
        </w:rPr>
        <w:t xml:space="preserve"> </w:t>
      </w:r>
      <w:r w:rsidRPr="0017357E">
        <w:rPr>
          <w:rFonts w:cstheme="minorHAnsi"/>
          <w:i w:val="0"/>
          <w:iCs w:val="0"/>
          <w:color w:val="000000" w:themeColor="text1"/>
          <w:sz w:val="24"/>
          <w:szCs w:val="24"/>
        </w:rPr>
        <w:t>Examples of poster/flyer distributions</w:t>
      </w:r>
    </w:p>
    <w:bookmarkEnd w:id="81"/>
    <w:p w14:paraId="5928094E" w14:textId="77777777" w:rsidR="00773F7C" w:rsidRPr="0017357E" w:rsidRDefault="00773F7C" w:rsidP="00150391">
      <w:pPr>
        <w:autoSpaceDE w:val="0"/>
        <w:autoSpaceDN w:val="0"/>
        <w:spacing w:after="240"/>
        <w:jc w:val="both"/>
        <w:rPr>
          <w:rFonts w:cstheme="minorHAnsi"/>
        </w:rPr>
      </w:pPr>
    </w:p>
    <w:p w14:paraId="6FF9CFB2" w14:textId="2B17F0DD" w:rsidR="00773F7C" w:rsidRPr="00E74018" w:rsidRDefault="00773F7C" w:rsidP="00E74018">
      <w:pPr>
        <w:pStyle w:val="Heading2"/>
      </w:pPr>
      <w:bookmarkStart w:id="82" w:name="_Toc190939428"/>
      <w:bookmarkStart w:id="83" w:name="_Toc202627111"/>
      <w:r w:rsidRPr="00E74018">
        <w:t>Key</w:t>
      </w:r>
      <w:r w:rsidR="00E35663">
        <w:t xml:space="preserve"> Research</w:t>
      </w:r>
      <w:r w:rsidRPr="00E74018">
        <w:t xml:space="preserve"> Findings</w:t>
      </w:r>
      <w:bookmarkEnd w:id="82"/>
      <w:bookmarkEnd w:id="83"/>
    </w:p>
    <w:p w14:paraId="5DA1E21D" w14:textId="1E3D69E0" w:rsidR="00773F7C" w:rsidRPr="0017357E" w:rsidRDefault="00773F7C" w:rsidP="00E74018">
      <w:pPr>
        <w:pStyle w:val="Heading3"/>
      </w:pPr>
      <w:bookmarkStart w:id="84" w:name="_Toc190939429"/>
      <w:bookmarkStart w:id="85" w:name="_Toc202627112"/>
      <w:r w:rsidRPr="0017357E">
        <w:t xml:space="preserve">Questionnaire 1: Understanding the Present Racial Climate in </w:t>
      </w:r>
      <w:r w:rsidR="007951B0">
        <w:t xml:space="preserve">the </w:t>
      </w:r>
      <w:r w:rsidR="00A27530">
        <w:t>University of Edinburgh</w:t>
      </w:r>
      <w:bookmarkEnd w:id="84"/>
      <w:bookmarkEnd w:id="85"/>
    </w:p>
    <w:p w14:paraId="220650F4" w14:textId="77777777" w:rsidR="00E74018" w:rsidRDefault="00E74018" w:rsidP="00A00DF7">
      <w:pPr>
        <w:spacing w:line="259" w:lineRule="auto"/>
        <w:jc w:val="both"/>
      </w:pPr>
    </w:p>
    <w:p w14:paraId="3E23C7D3" w14:textId="7685BAD4" w:rsidR="00187E8C" w:rsidRPr="0017357E" w:rsidRDefault="007951B0" w:rsidP="00EB11F2">
      <w:pPr>
        <w:spacing w:line="259" w:lineRule="auto"/>
        <w:rPr>
          <w:rFonts w:cstheme="minorHAnsi"/>
        </w:rPr>
      </w:pPr>
      <w:r>
        <w:t xml:space="preserve">For Q1, </w:t>
      </w:r>
      <w:r w:rsidR="00773F7C" w:rsidRPr="2F1CA799">
        <w:t>585 responses were recorded</w:t>
      </w:r>
      <w:r>
        <w:t xml:space="preserve">, </w:t>
      </w:r>
      <w:r w:rsidR="00A00DF7" w:rsidRPr="2F1CA799">
        <w:t>with</w:t>
      </w:r>
      <w:r w:rsidR="00773F7C" w:rsidRPr="2F1CA799">
        <w:t xml:space="preserve"> 584 responses </w:t>
      </w:r>
      <w:r w:rsidR="00A00DF7" w:rsidRPr="2F1CA799">
        <w:t>being</w:t>
      </w:r>
      <w:r w:rsidR="00773F7C" w:rsidRPr="2F1CA799">
        <w:t xml:space="preserve"> included in the final statistical analyses</w:t>
      </w:r>
      <w:r w:rsidR="001050D5" w:rsidRPr="2F1CA799">
        <w:t>.</w:t>
      </w:r>
      <w:r w:rsidR="00773F7C" w:rsidRPr="2F1CA799">
        <w:rPr>
          <w:rStyle w:val="FootnoteReference"/>
        </w:rPr>
        <w:footnoteReference w:id="195"/>
      </w:r>
      <w:r w:rsidR="00773F7C" w:rsidRPr="2F1CA799">
        <w:t xml:space="preserve"> The distribution of mean scores is shown below in Figure </w:t>
      </w:r>
      <w:r w:rsidR="00CC4AB4">
        <w:t>1</w:t>
      </w:r>
      <w:r w:rsidR="00773F7C" w:rsidRPr="2F1CA799">
        <w:t xml:space="preserve">2. </w:t>
      </w:r>
    </w:p>
    <w:p w14:paraId="5E6DDAE8" w14:textId="77777777" w:rsidR="00773F7C" w:rsidRPr="0017357E" w:rsidRDefault="00773F7C" w:rsidP="00C32017">
      <w:pPr>
        <w:ind w:hanging="142"/>
        <w:jc w:val="both"/>
        <w:rPr>
          <w:rFonts w:cstheme="minorHAnsi"/>
        </w:rPr>
      </w:pPr>
      <w:r w:rsidRPr="0017357E">
        <w:rPr>
          <w:noProof/>
        </w:rPr>
        <w:lastRenderedPageBreak/>
        <w:drawing>
          <wp:inline distT="0" distB="0" distL="0" distR="0" wp14:anchorId="160A7D0B" wp14:editId="45CB483F">
            <wp:extent cx="5864165" cy="3454102"/>
            <wp:effectExtent l="19050" t="19050" r="22860" b="13335"/>
            <wp:docPr id="475921066" name="Picture 475921066"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21066" name="Picture 475921066" descr="A graph of a graph&#10;&#10;Description automatically generated with medium confidence"/>
                    <pic:cNvPicPr/>
                  </pic:nvPicPr>
                  <pic:blipFill>
                    <a:blip r:embed="rId88">
                      <a:extLst>
                        <a:ext uri="{28A0092B-C50C-407E-A947-70E740481C1C}">
                          <a14:useLocalDpi xmlns:a14="http://schemas.microsoft.com/office/drawing/2010/main" val="0"/>
                        </a:ext>
                      </a:extLst>
                    </a:blip>
                    <a:stretch>
                      <a:fillRect/>
                    </a:stretch>
                  </pic:blipFill>
                  <pic:spPr>
                    <a:xfrm>
                      <a:off x="0" y="0"/>
                      <a:ext cx="5907200" cy="3479451"/>
                    </a:xfrm>
                    <a:prstGeom prst="rect">
                      <a:avLst/>
                    </a:prstGeom>
                    <a:ln w="9525">
                      <a:solidFill>
                        <a:schemeClr val="bg2"/>
                      </a:solidFill>
                      <a:prstDash val="solid"/>
                    </a:ln>
                  </pic:spPr>
                </pic:pic>
              </a:graphicData>
            </a:graphic>
          </wp:inline>
        </w:drawing>
      </w:r>
    </w:p>
    <w:p w14:paraId="035ACDF5" w14:textId="7F719A02" w:rsidR="00BA45A7" w:rsidRPr="0017357E" w:rsidRDefault="00BA45A7" w:rsidP="00BA45A7">
      <w:pPr>
        <w:pStyle w:val="Caption"/>
        <w:spacing w:after="0" w:line="259" w:lineRule="auto"/>
        <w:jc w:val="center"/>
        <w:rPr>
          <w:i w:val="0"/>
          <w:iCs w:val="0"/>
          <w:color w:val="000000" w:themeColor="text1"/>
          <w:sz w:val="24"/>
          <w:szCs w:val="24"/>
        </w:rPr>
      </w:pPr>
      <w:r w:rsidRPr="0017357E">
        <w:rPr>
          <w:i w:val="0"/>
          <w:iCs w:val="0"/>
          <w:color w:val="000000" w:themeColor="text1"/>
          <w:sz w:val="24"/>
          <w:szCs w:val="24"/>
          <w:u w:val="single"/>
        </w:rPr>
        <w:t xml:space="preserve">Figure </w:t>
      </w:r>
      <w:r>
        <w:rPr>
          <w:i w:val="0"/>
          <w:iCs w:val="0"/>
          <w:color w:val="000000" w:themeColor="text1"/>
          <w:sz w:val="24"/>
          <w:szCs w:val="24"/>
          <w:u w:val="single"/>
        </w:rPr>
        <w:t>12</w:t>
      </w:r>
      <w:r w:rsidRPr="00E10527">
        <w:rPr>
          <w:i w:val="0"/>
          <w:iCs w:val="0"/>
          <w:color w:val="000000" w:themeColor="text1"/>
          <w:sz w:val="24"/>
          <w:szCs w:val="24"/>
        </w:rPr>
        <w:t>:</w:t>
      </w:r>
      <w:r w:rsidRPr="00CE41BA">
        <w:rPr>
          <w:i w:val="0"/>
          <w:iCs w:val="0"/>
          <w:color w:val="000000" w:themeColor="text1"/>
          <w:sz w:val="24"/>
          <w:szCs w:val="24"/>
        </w:rPr>
        <w:t xml:space="preserve"> </w:t>
      </w:r>
      <w:r w:rsidRPr="0017357E">
        <w:rPr>
          <w:i w:val="0"/>
          <w:iCs w:val="0"/>
          <w:color w:val="000000" w:themeColor="text1"/>
          <w:sz w:val="24"/>
          <w:szCs w:val="24"/>
        </w:rPr>
        <w:t>Distribution of the scores of Q1</w:t>
      </w:r>
    </w:p>
    <w:p w14:paraId="3ED87EDC" w14:textId="77777777" w:rsidR="00773F7C" w:rsidRPr="0017357E" w:rsidRDefault="00773F7C" w:rsidP="00150391">
      <w:pPr>
        <w:pStyle w:val="CommentText"/>
        <w:spacing w:line="259" w:lineRule="auto"/>
        <w:jc w:val="both"/>
        <w:rPr>
          <w:rFonts w:cstheme="minorHAnsi"/>
          <w:sz w:val="24"/>
          <w:szCs w:val="24"/>
        </w:rPr>
      </w:pPr>
    </w:p>
    <w:p w14:paraId="29FD18FF" w14:textId="743DC379" w:rsidR="008D3186" w:rsidRPr="0017357E" w:rsidRDefault="00773F7C" w:rsidP="00EB11F2">
      <w:pPr>
        <w:pStyle w:val="CommentText"/>
        <w:spacing w:line="259" w:lineRule="auto"/>
        <w:rPr>
          <w:rFonts w:cstheme="minorHAnsi"/>
          <w:sz w:val="24"/>
          <w:szCs w:val="24"/>
        </w:rPr>
      </w:pPr>
      <w:r w:rsidRPr="0017357E">
        <w:rPr>
          <w:rFonts w:cstheme="minorHAnsi"/>
          <w:sz w:val="24"/>
          <w:szCs w:val="24"/>
        </w:rPr>
        <w:t xml:space="preserve">Statistical analyses were performed and found a significant difference in racial attitude between participants of different ethnic groups. As illustrated in Figure </w:t>
      </w:r>
      <w:r w:rsidR="00CC4AB4">
        <w:rPr>
          <w:rFonts w:cstheme="minorHAnsi"/>
          <w:sz w:val="24"/>
          <w:szCs w:val="24"/>
        </w:rPr>
        <w:t>1</w:t>
      </w:r>
      <w:r w:rsidRPr="0017357E">
        <w:rPr>
          <w:rFonts w:cstheme="minorHAnsi"/>
          <w:sz w:val="24"/>
          <w:szCs w:val="24"/>
        </w:rPr>
        <w:t xml:space="preserve">3, </w:t>
      </w:r>
      <w:bookmarkStart w:id="86" w:name="_Hlk179899631"/>
      <w:r w:rsidRPr="0017357E">
        <w:rPr>
          <w:rFonts w:cstheme="minorHAnsi"/>
          <w:sz w:val="24"/>
          <w:szCs w:val="24"/>
        </w:rPr>
        <w:t xml:space="preserve">participants who did not disclose their ethnicity </w:t>
      </w:r>
      <w:bookmarkEnd w:id="86"/>
      <w:r w:rsidRPr="0017357E">
        <w:rPr>
          <w:rFonts w:cstheme="minorHAnsi"/>
          <w:sz w:val="24"/>
          <w:szCs w:val="24"/>
        </w:rPr>
        <w:t xml:space="preserve">indicated a significantly higher level of prejudiced attitude toward racially/ethnically minoritised members. </w:t>
      </w:r>
    </w:p>
    <w:p w14:paraId="41B10C77" w14:textId="77777777" w:rsidR="00773F7C" w:rsidRPr="0017357E" w:rsidRDefault="00773F7C" w:rsidP="00C32017">
      <w:pPr>
        <w:keepNext/>
        <w:autoSpaceDE w:val="0"/>
        <w:autoSpaceDN w:val="0"/>
        <w:adjustRightInd w:val="0"/>
        <w:ind w:hanging="567"/>
        <w:jc w:val="center"/>
        <w:rPr>
          <w:rFonts w:cstheme="minorHAnsi"/>
        </w:rPr>
      </w:pPr>
      <w:r w:rsidRPr="0017357E">
        <w:rPr>
          <w:rFonts w:cstheme="minorHAnsi"/>
          <w:noProof/>
        </w:rPr>
        <w:lastRenderedPageBreak/>
        <w:drawing>
          <wp:inline distT="0" distB="0" distL="0" distR="0" wp14:anchorId="5F35F775" wp14:editId="229F82B0">
            <wp:extent cx="6287858" cy="5260316"/>
            <wp:effectExtent l="19050" t="19050" r="17780" b="17145"/>
            <wp:docPr id="15" name="Picture 15" descr="A graph with blue squar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aph with blue squares and white text&#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60065" cy="5320723"/>
                    </a:xfrm>
                    <a:prstGeom prst="rect">
                      <a:avLst/>
                    </a:prstGeom>
                    <a:noFill/>
                    <a:ln>
                      <a:solidFill>
                        <a:schemeClr val="bg2"/>
                      </a:solidFill>
                    </a:ln>
                  </pic:spPr>
                </pic:pic>
              </a:graphicData>
            </a:graphic>
          </wp:inline>
        </w:drawing>
      </w:r>
    </w:p>
    <w:p w14:paraId="40381077" w14:textId="1C840DB6" w:rsidR="00773F7C" w:rsidRPr="0017357E" w:rsidRDefault="00BA45A7" w:rsidP="00150391">
      <w:pPr>
        <w:pStyle w:val="Caption"/>
        <w:spacing w:after="0" w:line="259" w:lineRule="auto"/>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Pr>
          <w:rFonts w:cstheme="minorHAnsi"/>
          <w:color w:val="000000" w:themeColor="text1"/>
          <w:sz w:val="24"/>
          <w:szCs w:val="24"/>
          <w:u w:val="single"/>
        </w:rPr>
        <w:t xml:space="preserve"> </w:t>
      </w:r>
      <w:r>
        <w:rPr>
          <w:rFonts w:cstheme="minorHAnsi"/>
          <w:i w:val="0"/>
          <w:iCs w:val="0"/>
          <w:color w:val="000000" w:themeColor="text1"/>
          <w:sz w:val="24"/>
          <w:szCs w:val="24"/>
          <w:u w:val="single"/>
        </w:rPr>
        <w:t>13</w:t>
      </w:r>
      <w:r w:rsidRPr="00E10527">
        <w:rPr>
          <w:rFonts w:cstheme="minorHAnsi"/>
          <w:i w:val="0"/>
          <w:color w:val="000000" w:themeColor="text1"/>
          <w:sz w:val="24"/>
          <w:szCs w:val="24"/>
        </w:rPr>
        <w:t xml:space="preserve">: </w:t>
      </w:r>
      <w:r w:rsidRPr="0017357E">
        <w:rPr>
          <w:rFonts w:cstheme="minorHAnsi"/>
          <w:i w:val="0"/>
          <w:iCs w:val="0"/>
          <w:color w:val="000000" w:themeColor="text1"/>
          <w:sz w:val="24"/>
          <w:szCs w:val="24"/>
        </w:rPr>
        <w:t>Difference in mean scores between ethnic groups</w:t>
      </w:r>
    </w:p>
    <w:p w14:paraId="2AB2A841" w14:textId="77777777" w:rsidR="00BA45A7" w:rsidRPr="0017357E" w:rsidRDefault="00BA45A7" w:rsidP="00150391">
      <w:pPr>
        <w:spacing w:line="259" w:lineRule="auto"/>
        <w:jc w:val="both"/>
        <w:rPr>
          <w:rFonts w:cstheme="minorHAnsi"/>
          <w:color w:val="000000"/>
        </w:rPr>
      </w:pPr>
    </w:p>
    <w:p w14:paraId="45CC6F5C" w14:textId="571F5DB6" w:rsidR="00412155" w:rsidRPr="0017357E" w:rsidRDefault="00773F7C" w:rsidP="00EB11F2">
      <w:pPr>
        <w:spacing w:line="259" w:lineRule="auto"/>
      </w:pPr>
      <w:r w:rsidRPr="2F1CA799">
        <w:rPr>
          <w:color w:val="000000"/>
        </w:rPr>
        <w:t>To align the questionnaire data with the University’s Human Resource record, ethnic categories in the questionnaire were regrouped for a further statistical analysis.</w:t>
      </w:r>
      <w:r w:rsidR="00A00DF7" w:rsidRPr="2F1CA799">
        <w:rPr>
          <w:rStyle w:val="FootnoteReference"/>
          <w:color w:val="000000"/>
        </w:rPr>
        <w:footnoteReference w:id="196"/>
      </w:r>
      <w:r w:rsidRPr="2F1CA799">
        <w:rPr>
          <w:color w:val="000000"/>
        </w:rPr>
        <w:t xml:space="preserve"> </w:t>
      </w:r>
      <w:r w:rsidRPr="0017357E">
        <w:t xml:space="preserve">The findings also showed that </w:t>
      </w:r>
      <w:r w:rsidRPr="2F1CA799">
        <w:t xml:space="preserve">participants who did not disclose their ethnic background displayed </w:t>
      </w:r>
      <w:r w:rsidR="00E74018">
        <w:t xml:space="preserve">a </w:t>
      </w:r>
      <w:r w:rsidRPr="2F1CA799">
        <w:t xml:space="preserve">more prejudiced attitude against members </w:t>
      </w:r>
      <w:r w:rsidR="00A00DF7" w:rsidRPr="2F1CA799">
        <w:t>from</w:t>
      </w:r>
      <w:r w:rsidRPr="2F1CA799">
        <w:t xml:space="preserve"> ethnically/racially minoritised backgrounds. </w:t>
      </w:r>
    </w:p>
    <w:p w14:paraId="423D5022" w14:textId="77777777" w:rsidR="00773F7C" w:rsidRPr="0017357E" w:rsidRDefault="00773F7C" w:rsidP="00C32017">
      <w:pPr>
        <w:jc w:val="both"/>
        <w:rPr>
          <w:rFonts w:ascii="Times New Roman" w:hAnsi="Times New Roman" w:cs="Times New Roman"/>
        </w:rPr>
      </w:pPr>
      <w:r w:rsidRPr="0017357E">
        <w:rPr>
          <w:rFonts w:ascii="Times New Roman" w:hAnsi="Times New Roman" w:cs="Times New Roman"/>
          <w:noProof/>
        </w:rPr>
        <w:lastRenderedPageBreak/>
        <w:drawing>
          <wp:inline distT="0" distB="0" distL="0" distR="0" wp14:anchorId="5A49C08D" wp14:editId="5C655FB2">
            <wp:extent cx="5950429" cy="3496026"/>
            <wp:effectExtent l="19050" t="19050" r="12700" b="28575"/>
            <wp:docPr id="58" name="Picture 58" descr="A graph of blue rectangular bar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graph of blue rectangular bars with black text&#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77768" cy="3512089"/>
                    </a:xfrm>
                    <a:prstGeom prst="rect">
                      <a:avLst/>
                    </a:prstGeom>
                    <a:noFill/>
                    <a:ln>
                      <a:solidFill>
                        <a:schemeClr val="bg2"/>
                      </a:solidFill>
                    </a:ln>
                  </pic:spPr>
                </pic:pic>
              </a:graphicData>
            </a:graphic>
          </wp:inline>
        </w:drawing>
      </w:r>
    </w:p>
    <w:p w14:paraId="4538118D" w14:textId="37A4872D" w:rsidR="00773F7C" w:rsidRPr="0017357E" w:rsidRDefault="00BA45A7" w:rsidP="00150391">
      <w:pPr>
        <w:pStyle w:val="Caption"/>
        <w:spacing w:after="0" w:line="259" w:lineRule="auto"/>
        <w:jc w:val="center"/>
        <w:rPr>
          <w:rFonts w:cstheme="minorHAnsi"/>
          <w:i w:val="0"/>
          <w:iCs w:val="0"/>
          <w:color w:val="000000" w:themeColor="text1"/>
          <w:sz w:val="24"/>
          <w:szCs w:val="24"/>
        </w:rPr>
      </w:pPr>
      <w:r w:rsidRPr="00BA45A7">
        <w:rPr>
          <w:rFonts w:cstheme="minorHAnsi"/>
          <w:i w:val="0"/>
          <w:iCs w:val="0"/>
          <w:color w:val="000000" w:themeColor="text1"/>
          <w:sz w:val="24"/>
          <w:szCs w:val="24"/>
          <w:u w:val="single"/>
        </w:rPr>
        <w:t>Figur</w:t>
      </w:r>
      <w:r>
        <w:rPr>
          <w:rFonts w:cstheme="minorHAnsi"/>
          <w:i w:val="0"/>
          <w:iCs w:val="0"/>
          <w:color w:val="000000" w:themeColor="text1"/>
          <w:sz w:val="24"/>
          <w:szCs w:val="24"/>
          <w:u w:val="single"/>
        </w:rPr>
        <w:t>e 14</w:t>
      </w:r>
      <w:r w:rsidRPr="00E10527">
        <w:rPr>
          <w:rFonts w:cstheme="minorHAnsi"/>
          <w:i w:val="0"/>
          <w:color w:val="000000" w:themeColor="text1"/>
          <w:sz w:val="24"/>
          <w:szCs w:val="24"/>
        </w:rPr>
        <w:t>: D</w:t>
      </w:r>
      <w:r w:rsidRPr="00BA45A7">
        <w:rPr>
          <w:rFonts w:cstheme="minorHAnsi"/>
          <w:i w:val="0"/>
          <w:iCs w:val="0"/>
          <w:color w:val="000000" w:themeColor="text1"/>
          <w:sz w:val="24"/>
          <w:szCs w:val="24"/>
        </w:rPr>
        <w:t>ifference in</w:t>
      </w:r>
      <w:r w:rsidRPr="0017357E">
        <w:rPr>
          <w:rFonts w:cstheme="minorHAnsi"/>
          <w:i w:val="0"/>
          <w:iCs w:val="0"/>
          <w:color w:val="000000" w:themeColor="text1"/>
          <w:sz w:val="24"/>
          <w:szCs w:val="24"/>
        </w:rPr>
        <w:t xml:space="preserve"> mean scores of attitude after regrouping ethnic groups</w:t>
      </w:r>
    </w:p>
    <w:p w14:paraId="61091392" w14:textId="77777777" w:rsidR="00BA45A7" w:rsidRPr="0017357E" w:rsidRDefault="00BA45A7" w:rsidP="00150391">
      <w:pPr>
        <w:spacing w:line="259" w:lineRule="auto"/>
        <w:jc w:val="both"/>
        <w:rPr>
          <w:rFonts w:cstheme="minorHAnsi"/>
        </w:rPr>
      </w:pPr>
    </w:p>
    <w:p w14:paraId="6E5E3DEE" w14:textId="485C84B9" w:rsidR="00773F7C" w:rsidRDefault="00773F7C" w:rsidP="00EB11F2">
      <w:pPr>
        <w:spacing w:line="259" w:lineRule="auto"/>
        <w:rPr>
          <w:rFonts w:cstheme="minorHAnsi"/>
        </w:rPr>
      </w:pPr>
      <w:r w:rsidRPr="0017357E">
        <w:rPr>
          <w:rFonts w:cstheme="minorHAnsi"/>
        </w:rPr>
        <w:t xml:space="preserve">Further statistical analyses were conducted to explore other elements that may </w:t>
      </w:r>
      <w:r w:rsidR="00A00DF7">
        <w:rPr>
          <w:rFonts w:cstheme="minorHAnsi"/>
        </w:rPr>
        <w:t xml:space="preserve">have </w:t>
      </w:r>
      <w:r w:rsidRPr="0017357E">
        <w:rPr>
          <w:rFonts w:cstheme="minorHAnsi"/>
        </w:rPr>
        <w:t>account</w:t>
      </w:r>
      <w:r w:rsidR="00A00DF7">
        <w:rPr>
          <w:rFonts w:cstheme="minorHAnsi"/>
        </w:rPr>
        <w:t>ed</w:t>
      </w:r>
      <w:r w:rsidRPr="0017357E">
        <w:rPr>
          <w:rFonts w:cstheme="minorHAnsi"/>
        </w:rPr>
        <w:t xml:space="preserve"> for the group differences in attitude. On average, students showed </w:t>
      </w:r>
      <w:r w:rsidR="00A00DF7">
        <w:rPr>
          <w:rFonts w:cstheme="minorHAnsi"/>
        </w:rPr>
        <w:t xml:space="preserve">a </w:t>
      </w:r>
      <w:r w:rsidRPr="0017357E">
        <w:rPr>
          <w:rFonts w:cstheme="minorHAnsi"/>
        </w:rPr>
        <w:t xml:space="preserve">more prejudiced attitude </w:t>
      </w:r>
      <w:r w:rsidR="00A00DF7">
        <w:rPr>
          <w:rFonts w:cstheme="minorHAnsi"/>
        </w:rPr>
        <w:t>when compared with</w:t>
      </w:r>
      <w:r w:rsidRPr="0017357E">
        <w:rPr>
          <w:rFonts w:cstheme="minorHAnsi"/>
        </w:rPr>
        <w:t xml:space="preserve"> staff members. </w:t>
      </w:r>
    </w:p>
    <w:p w14:paraId="6F9E2B8A" w14:textId="77777777" w:rsidR="00A00DF7" w:rsidRDefault="00A00DF7" w:rsidP="00A00DF7">
      <w:pPr>
        <w:spacing w:line="259" w:lineRule="auto"/>
        <w:jc w:val="both"/>
        <w:rPr>
          <w:rFonts w:cstheme="minorHAnsi"/>
        </w:rPr>
      </w:pPr>
    </w:p>
    <w:p w14:paraId="307AC820" w14:textId="77777777" w:rsidR="00773F7C" w:rsidRPr="0017357E" w:rsidRDefault="00773F7C" w:rsidP="00C32017">
      <w:pPr>
        <w:autoSpaceDE w:val="0"/>
        <w:autoSpaceDN w:val="0"/>
        <w:adjustRightInd w:val="0"/>
        <w:jc w:val="center"/>
        <w:rPr>
          <w:rFonts w:cstheme="minorHAnsi"/>
        </w:rPr>
      </w:pPr>
      <w:r w:rsidRPr="0017357E">
        <w:rPr>
          <w:rFonts w:cstheme="minorHAnsi"/>
          <w:noProof/>
        </w:rPr>
        <w:drawing>
          <wp:inline distT="0" distB="0" distL="0" distR="0" wp14:anchorId="1BD1FE23" wp14:editId="38150DA0">
            <wp:extent cx="5695581" cy="1861509"/>
            <wp:effectExtent l="19050" t="19050" r="19685" b="24765"/>
            <wp:docPr id="25" name="Picture 25" descr="A blu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blue rectangular object with black text&#10;&#10;Description automatically generate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70932" cy="1886136"/>
                    </a:xfrm>
                    <a:prstGeom prst="rect">
                      <a:avLst/>
                    </a:prstGeom>
                    <a:noFill/>
                    <a:ln>
                      <a:solidFill>
                        <a:schemeClr val="bg2"/>
                      </a:solidFill>
                    </a:ln>
                  </pic:spPr>
                </pic:pic>
              </a:graphicData>
            </a:graphic>
          </wp:inline>
        </w:drawing>
      </w:r>
    </w:p>
    <w:p w14:paraId="715C466B" w14:textId="0C29F843" w:rsidR="00773F7C" w:rsidRPr="00BA45A7" w:rsidRDefault="00BA45A7" w:rsidP="00150391">
      <w:pPr>
        <w:pStyle w:val="Caption"/>
        <w:spacing w:after="0" w:line="259" w:lineRule="auto"/>
        <w:jc w:val="center"/>
        <w:rPr>
          <w:rFonts w:cstheme="minorHAnsi"/>
          <w:i w:val="0"/>
          <w:iCs w:val="0"/>
          <w:color w:val="000000" w:themeColor="text1"/>
          <w:sz w:val="24"/>
          <w:szCs w:val="24"/>
        </w:rPr>
      </w:pPr>
      <w:r w:rsidRPr="00BA45A7">
        <w:rPr>
          <w:rFonts w:cstheme="minorHAnsi"/>
          <w:i w:val="0"/>
          <w:iCs w:val="0"/>
          <w:color w:val="000000" w:themeColor="text1"/>
          <w:sz w:val="24"/>
          <w:szCs w:val="24"/>
          <w:u w:val="single"/>
        </w:rPr>
        <w:t>Figure</w:t>
      </w:r>
      <w:r>
        <w:rPr>
          <w:rFonts w:cstheme="minorHAnsi"/>
          <w:i w:val="0"/>
          <w:iCs w:val="0"/>
          <w:color w:val="000000" w:themeColor="text1"/>
          <w:sz w:val="24"/>
          <w:szCs w:val="24"/>
          <w:u w:val="single"/>
        </w:rPr>
        <w:t xml:space="preserve"> 15</w:t>
      </w:r>
      <w:r w:rsidRPr="00E10527">
        <w:rPr>
          <w:rFonts w:cstheme="minorHAnsi"/>
          <w:i w:val="0"/>
          <w:color w:val="000000" w:themeColor="text1"/>
          <w:sz w:val="24"/>
          <w:szCs w:val="24"/>
        </w:rPr>
        <w:t>:</w:t>
      </w:r>
      <w:r w:rsidRPr="00BA45A7">
        <w:rPr>
          <w:rFonts w:cstheme="minorHAnsi"/>
          <w:i w:val="0"/>
          <w:iCs w:val="0"/>
          <w:color w:val="000000" w:themeColor="text1"/>
          <w:sz w:val="24"/>
          <w:szCs w:val="24"/>
        </w:rPr>
        <w:t xml:space="preserve"> Difference in attitude between students and staff members</w:t>
      </w:r>
    </w:p>
    <w:p w14:paraId="13A483BC" w14:textId="77777777" w:rsidR="00BA45A7" w:rsidRPr="0017357E" w:rsidRDefault="00BA45A7" w:rsidP="00150391">
      <w:pPr>
        <w:spacing w:line="259" w:lineRule="auto"/>
        <w:jc w:val="both"/>
        <w:rPr>
          <w:rFonts w:cstheme="minorHAnsi"/>
        </w:rPr>
      </w:pPr>
    </w:p>
    <w:p w14:paraId="438C3E7C" w14:textId="67D62EF9" w:rsidR="000D166F" w:rsidRPr="00E10527" w:rsidRDefault="00773F7C" w:rsidP="00EB11F2">
      <w:pPr>
        <w:spacing w:line="259" w:lineRule="auto"/>
        <w:rPr>
          <w:rFonts w:cstheme="minorHAnsi"/>
          <w:shd w:val="clear" w:color="auto" w:fill="FFFFFF"/>
        </w:rPr>
      </w:pPr>
      <w:r w:rsidRPr="0017357E">
        <w:rPr>
          <w:rFonts w:cstheme="minorHAnsi"/>
        </w:rPr>
        <w:t xml:space="preserve">A significant difference was detected between different age groups. </w:t>
      </w:r>
      <w:r w:rsidRPr="0017357E">
        <w:rPr>
          <w:rFonts w:cstheme="minorHAnsi"/>
          <w:shd w:val="clear" w:color="auto" w:fill="FFFFFF"/>
        </w:rPr>
        <w:t>Participants who did not reveal their age group scored significantly higher than other age groups, except participants who self-identified as 65 and above.</w:t>
      </w:r>
    </w:p>
    <w:p w14:paraId="1D6C5896" w14:textId="77777777" w:rsidR="00773F7C" w:rsidRPr="0017357E" w:rsidRDefault="00773F7C" w:rsidP="00C32017">
      <w:pPr>
        <w:autoSpaceDE w:val="0"/>
        <w:autoSpaceDN w:val="0"/>
        <w:adjustRightInd w:val="0"/>
        <w:jc w:val="center"/>
        <w:rPr>
          <w:rFonts w:cstheme="minorHAnsi"/>
        </w:rPr>
      </w:pPr>
      <w:r w:rsidRPr="0017357E">
        <w:rPr>
          <w:rFonts w:cstheme="minorHAnsi"/>
          <w:noProof/>
        </w:rPr>
        <w:lastRenderedPageBreak/>
        <w:drawing>
          <wp:inline distT="0" distB="0" distL="0" distR="0" wp14:anchorId="7FA3222C" wp14:editId="1AB8846D">
            <wp:extent cx="5639878" cy="3628492"/>
            <wp:effectExtent l="19050" t="19050" r="18415" b="10160"/>
            <wp:docPr id="51" name="Picture 51" descr="A graph of age group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aph of age groups&#10;&#10;Description automatically generated with medium confidenc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03016" cy="3669113"/>
                    </a:xfrm>
                    <a:prstGeom prst="rect">
                      <a:avLst/>
                    </a:prstGeom>
                    <a:noFill/>
                    <a:ln>
                      <a:solidFill>
                        <a:schemeClr val="bg2"/>
                      </a:solidFill>
                    </a:ln>
                  </pic:spPr>
                </pic:pic>
              </a:graphicData>
            </a:graphic>
          </wp:inline>
        </w:drawing>
      </w:r>
    </w:p>
    <w:p w14:paraId="01FB65FB" w14:textId="2F4E5C5E" w:rsidR="00BA45A7" w:rsidRPr="0017357E" w:rsidRDefault="00BA45A7" w:rsidP="00BA45A7">
      <w:pPr>
        <w:pStyle w:val="Caption"/>
        <w:spacing w:after="0" w:line="259" w:lineRule="auto"/>
        <w:jc w:val="center"/>
        <w:rPr>
          <w:rFonts w:cstheme="minorHAnsi"/>
          <w:i w:val="0"/>
          <w:iCs w:val="0"/>
          <w:sz w:val="24"/>
          <w:szCs w:val="24"/>
        </w:rPr>
      </w:pPr>
      <w:r w:rsidRPr="0017357E">
        <w:rPr>
          <w:rFonts w:cstheme="minorHAnsi"/>
          <w:i w:val="0"/>
          <w:iCs w:val="0"/>
          <w:color w:val="000000" w:themeColor="text1"/>
          <w:sz w:val="24"/>
          <w:szCs w:val="24"/>
          <w:u w:val="single"/>
        </w:rPr>
        <w:t>Figure</w:t>
      </w:r>
      <w:r>
        <w:rPr>
          <w:rFonts w:cstheme="minorHAnsi"/>
          <w:i w:val="0"/>
          <w:iCs w:val="0"/>
          <w:color w:val="000000" w:themeColor="text1"/>
          <w:sz w:val="24"/>
          <w:szCs w:val="24"/>
          <w:u w:val="single"/>
        </w:rPr>
        <w:t xml:space="preserve"> 16</w:t>
      </w:r>
      <w:r w:rsidRPr="00E10527">
        <w:rPr>
          <w:rFonts w:cstheme="minorHAnsi"/>
          <w:i w:val="0"/>
          <w:color w:val="000000" w:themeColor="text1"/>
          <w:sz w:val="24"/>
          <w:szCs w:val="24"/>
        </w:rPr>
        <w:t xml:space="preserve">: </w:t>
      </w:r>
      <w:r w:rsidRPr="0017357E">
        <w:rPr>
          <w:rFonts w:cstheme="minorHAnsi"/>
          <w:i w:val="0"/>
          <w:iCs w:val="0"/>
          <w:color w:val="000000" w:themeColor="text1"/>
          <w:sz w:val="24"/>
          <w:szCs w:val="24"/>
        </w:rPr>
        <w:t>Difference in attitude between age groups</w:t>
      </w:r>
    </w:p>
    <w:p w14:paraId="01AB18FD" w14:textId="77777777" w:rsidR="00773F7C" w:rsidRPr="0017357E" w:rsidRDefault="00773F7C" w:rsidP="00150391">
      <w:pPr>
        <w:spacing w:line="259" w:lineRule="auto"/>
        <w:rPr>
          <w:rFonts w:cstheme="minorHAnsi"/>
          <w:shd w:val="clear" w:color="auto" w:fill="FFFFFF"/>
        </w:rPr>
      </w:pPr>
    </w:p>
    <w:p w14:paraId="32B10AAA" w14:textId="2FA10F46" w:rsidR="001D1634" w:rsidRDefault="00773F7C" w:rsidP="00EB11F2">
      <w:pPr>
        <w:spacing w:line="259" w:lineRule="auto"/>
        <w:rPr>
          <w:rFonts w:cstheme="minorHAnsi"/>
          <w:shd w:val="clear" w:color="auto" w:fill="FFFFFF"/>
        </w:rPr>
      </w:pPr>
      <w:r w:rsidRPr="0017357E">
        <w:rPr>
          <w:rFonts w:cstheme="minorHAnsi"/>
          <w:shd w:val="clear" w:color="auto" w:fill="FFFFFF"/>
        </w:rPr>
        <w:t xml:space="preserve">Participants who did not provide information about their qualifications scored significantly </w:t>
      </w:r>
      <w:r w:rsidRPr="00EB11F2">
        <w:rPr>
          <w:rFonts w:cstheme="minorHAnsi"/>
          <w:shd w:val="clear" w:color="auto" w:fill="FFFFFF"/>
        </w:rPr>
        <w:t>higher</w:t>
      </w:r>
      <w:r w:rsidR="00251B98">
        <w:rPr>
          <w:rStyle w:val="CommentReference"/>
          <w:rFonts w:eastAsiaTheme="minorEastAsia"/>
          <w:lang w:eastAsia="zh-CN"/>
        </w:rPr>
        <w:t xml:space="preserve"> </w:t>
      </w:r>
      <w:r w:rsidRPr="0017357E">
        <w:rPr>
          <w:rFonts w:cstheme="minorHAnsi"/>
          <w:shd w:val="clear" w:color="auto" w:fill="FFFFFF"/>
        </w:rPr>
        <w:t>than participants who ha</w:t>
      </w:r>
      <w:r w:rsidR="00305815">
        <w:rPr>
          <w:rFonts w:cstheme="minorHAnsi"/>
          <w:shd w:val="clear" w:color="auto" w:fill="FFFFFF"/>
        </w:rPr>
        <w:t>d</w:t>
      </w:r>
      <w:r w:rsidRPr="0017357E">
        <w:rPr>
          <w:rFonts w:cstheme="minorHAnsi"/>
          <w:shd w:val="clear" w:color="auto" w:fill="FFFFFF"/>
        </w:rPr>
        <w:t xml:space="preserve"> attained A-levels, International Baccalaureate, or their equivalents, Bachelor/Undergraduate degrees, Master/Postgraduate degrees and Doctoral degrees.</w:t>
      </w:r>
    </w:p>
    <w:p w14:paraId="4F4EE8DB" w14:textId="77777777" w:rsidR="00773F7C" w:rsidRPr="0017357E" w:rsidRDefault="00773F7C" w:rsidP="00C32017">
      <w:pPr>
        <w:autoSpaceDE w:val="0"/>
        <w:autoSpaceDN w:val="0"/>
        <w:adjustRightInd w:val="0"/>
        <w:spacing w:before="240"/>
        <w:ind w:hanging="284"/>
        <w:rPr>
          <w:rFonts w:cstheme="minorHAnsi"/>
        </w:rPr>
      </w:pPr>
      <w:r w:rsidRPr="0017357E">
        <w:rPr>
          <w:rFonts w:cstheme="minorHAnsi"/>
          <w:noProof/>
        </w:rPr>
        <w:drawing>
          <wp:inline distT="0" distB="0" distL="0" distR="0" wp14:anchorId="5EE66DB3" wp14:editId="33BD0026">
            <wp:extent cx="6152313" cy="2376132"/>
            <wp:effectExtent l="19050" t="19050" r="20320" b="24765"/>
            <wp:docPr id="54" name="Picture 54" descr="A blue and black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blue and black bar chart&#10;&#10;Description automatically generated with medium confidenc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69168" cy="2382642"/>
                    </a:xfrm>
                    <a:prstGeom prst="rect">
                      <a:avLst/>
                    </a:prstGeom>
                    <a:noFill/>
                    <a:ln>
                      <a:solidFill>
                        <a:schemeClr val="bg2"/>
                      </a:solidFill>
                    </a:ln>
                  </pic:spPr>
                </pic:pic>
              </a:graphicData>
            </a:graphic>
          </wp:inline>
        </w:drawing>
      </w:r>
    </w:p>
    <w:p w14:paraId="279C8BEB" w14:textId="070D298A" w:rsidR="00773F7C" w:rsidRPr="0017357E" w:rsidRDefault="00BA45A7" w:rsidP="00150391">
      <w:pPr>
        <w:spacing w:line="259" w:lineRule="auto"/>
        <w:jc w:val="both"/>
        <w:rPr>
          <w:rFonts w:cstheme="minorHAnsi"/>
        </w:rPr>
      </w:pPr>
      <w:r w:rsidRPr="0017357E">
        <w:rPr>
          <w:rFonts w:cstheme="minorHAnsi"/>
          <w:color w:val="000000" w:themeColor="text1"/>
          <w:u w:val="single"/>
        </w:rPr>
        <w:t>Figure</w:t>
      </w:r>
      <w:r>
        <w:rPr>
          <w:rFonts w:cstheme="minorHAnsi"/>
          <w:color w:val="000000" w:themeColor="text1"/>
          <w:u w:val="single"/>
        </w:rPr>
        <w:t xml:space="preserve"> 17</w:t>
      </w:r>
      <w:r w:rsidRPr="00CE41BA">
        <w:rPr>
          <w:rFonts w:cstheme="minorHAnsi"/>
          <w:color w:val="000000" w:themeColor="text1"/>
        </w:rPr>
        <w:t>:</w:t>
      </w:r>
      <w:r w:rsidRPr="00CE41BA">
        <w:rPr>
          <w:rFonts w:cstheme="minorHAnsi"/>
          <w:i/>
          <w:iCs/>
          <w:color w:val="000000" w:themeColor="text1"/>
        </w:rPr>
        <w:t xml:space="preserve"> </w:t>
      </w:r>
      <w:r w:rsidRPr="0017357E">
        <w:rPr>
          <w:rFonts w:cstheme="minorHAnsi"/>
          <w:color w:val="000000" w:themeColor="text1"/>
        </w:rPr>
        <w:t>Differences in mean scores between different qualifications attained</w:t>
      </w:r>
    </w:p>
    <w:p w14:paraId="541E4B22" w14:textId="77777777" w:rsidR="00BA45A7" w:rsidRDefault="00BA45A7" w:rsidP="00150391">
      <w:pPr>
        <w:spacing w:line="259" w:lineRule="auto"/>
        <w:jc w:val="both"/>
        <w:rPr>
          <w:rFonts w:cstheme="minorHAnsi"/>
        </w:rPr>
      </w:pPr>
    </w:p>
    <w:p w14:paraId="63CC79A2" w14:textId="62E1CFAA" w:rsidR="00773F7C" w:rsidRDefault="00773F7C" w:rsidP="00EB11F2">
      <w:pPr>
        <w:spacing w:line="259" w:lineRule="auto"/>
        <w:rPr>
          <w:rFonts w:cstheme="minorHAnsi"/>
        </w:rPr>
      </w:pPr>
      <w:r w:rsidRPr="0017357E">
        <w:rPr>
          <w:rFonts w:cstheme="minorHAnsi"/>
        </w:rPr>
        <w:t>P</w:t>
      </w:r>
      <w:r w:rsidRPr="0017357E">
        <w:rPr>
          <w:rFonts w:cstheme="minorHAnsi"/>
          <w:shd w:val="clear" w:color="auto" w:fill="FFFFFF"/>
        </w:rPr>
        <w:t xml:space="preserve">articipants who identified as male displayed </w:t>
      </w:r>
      <w:r w:rsidR="004415FF">
        <w:rPr>
          <w:rFonts w:cstheme="minorHAnsi"/>
          <w:shd w:val="clear" w:color="auto" w:fill="FFFFFF"/>
        </w:rPr>
        <w:t xml:space="preserve">a </w:t>
      </w:r>
      <w:r w:rsidRPr="0017357E">
        <w:rPr>
          <w:rFonts w:cstheme="minorHAnsi"/>
          <w:shd w:val="clear" w:color="auto" w:fill="FFFFFF"/>
        </w:rPr>
        <w:t>more</w:t>
      </w:r>
      <w:r w:rsidRPr="0017357E" w:rsidDel="004415FF">
        <w:rPr>
          <w:rFonts w:cstheme="minorHAnsi"/>
          <w:shd w:val="clear" w:color="auto" w:fill="FFFFFF"/>
        </w:rPr>
        <w:t xml:space="preserve"> </w:t>
      </w:r>
      <w:r w:rsidRPr="0017357E">
        <w:rPr>
          <w:rFonts w:cstheme="minorHAnsi"/>
          <w:shd w:val="clear" w:color="auto" w:fill="FFFFFF"/>
        </w:rPr>
        <w:t xml:space="preserve">prejudiced attitude than their female counterparts (see Figure </w:t>
      </w:r>
      <w:r w:rsidR="004415FF">
        <w:rPr>
          <w:rFonts w:cstheme="minorHAnsi"/>
          <w:shd w:val="clear" w:color="auto" w:fill="FFFFFF"/>
        </w:rPr>
        <w:t>1</w:t>
      </w:r>
      <w:r w:rsidRPr="0017357E">
        <w:rPr>
          <w:rFonts w:cstheme="minorHAnsi"/>
          <w:shd w:val="clear" w:color="auto" w:fill="FFFFFF"/>
        </w:rPr>
        <w:t xml:space="preserve">8 below). </w:t>
      </w:r>
      <w:r w:rsidR="00305815">
        <w:rPr>
          <w:rFonts w:cstheme="minorHAnsi"/>
          <w:shd w:val="clear" w:color="auto" w:fill="FFFFFF"/>
        </w:rPr>
        <w:t>F</w:t>
      </w:r>
      <w:r w:rsidRPr="0017357E">
        <w:rPr>
          <w:rFonts w:cstheme="minorHAnsi"/>
          <w:shd w:val="clear" w:color="auto" w:fill="FFFFFF"/>
        </w:rPr>
        <w:t xml:space="preserve">emale participants (n = 313) </w:t>
      </w:r>
      <w:r w:rsidR="00305815">
        <w:rPr>
          <w:rFonts w:cstheme="minorHAnsi"/>
          <w:shd w:val="clear" w:color="auto" w:fill="FFFFFF"/>
        </w:rPr>
        <w:t>provided more</w:t>
      </w:r>
      <w:r w:rsidR="00305815" w:rsidRPr="0017357E">
        <w:rPr>
          <w:rFonts w:cstheme="minorHAnsi"/>
          <w:shd w:val="clear" w:color="auto" w:fill="FFFFFF"/>
        </w:rPr>
        <w:t xml:space="preserve"> responses </w:t>
      </w:r>
      <w:r w:rsidRPr="0017357E">
        <w:rPr>
          <w:rFonts w:cstheme="minorHAnsi"/>
          <w:shd w:val="clear" w:color="auto" w:fill="FFFFFF"/>
        </w:rPr>
        <w:t xml:space="preserve">than participants from other gender categories. </w:t>
      </w:r>
      <w:bookmarkStart w:id="87" w:name="_Hlk179903180"/>
      <w:r w:rsidRPr="0017357E">
        <w:rPr>
          <w:rFonts w:cstheme="minorHAnsi"/>
        </w:rPr>
        <w:t>Future equality training and workshop</w:t>
      </w:r>
      <w:r w:rsidR="00305815">
        <w:rPr>
          <w:rFonts w:cstheme="minorHAnsi"/>
        </w:rPr>
        <w:t>s</w:t>
      </w:r>
      <w:r w:rsidRPr="0017357E">
        <w:rPr>
          <w:rFonts w:cstheme="minorHAnsi"/>
        </w:rPr>
        <w:t xml:space="preserve"> on equality, diversity and inclusivity should </w:t>
      </w:r>
      <w:r w:rsidR="00305815">
        <w:rPr>
          <w:rFonts w:cstheme="minorHAnsi"/>
        </w:rPr>
        <w:t xml:space="preserve">seek to </w:t>
      </w:r>
      <w:r w:rsidRPr="0017357E">
        <w:rPr>
          <w:rFonts w:cstheme="minorHAnsi"/>
        </w:rPr>
        <w:t>engage</w:t>
      </w:r>
      <w:r w:rsidR="00305815">
        <w:rPr>
          <w:rFonts w:cstheme="minorHAnsi"/>
        </w:rPr>
        <w:t xml:space="preserve"> more</w:t>
      </w:r>
      <w:r w:rsidRPr="0017357E">
        <w:rPr>
          <w:rFonts w:cstheme="minorHAnsi"/>
        </w:rPr>
        <w:t xml:space="preserve"> with male members.</w:t>
      </w:r>
      <w:bookmarkEnd w:id="87"/>
      <w:r w:rsidRPr="0017357E">
        <w:rPr>
          <w:rFonts w:cstheme="minorHAnsi"/>
        </w:rPr>
        <w:t xml:space="preserve"> </w:t>
      </w:r>
    </w:p>
    <w:p w14:paraId="4E6EAE9D" w14:textId="77777777" w:rsidR="00B97B97" w:rsidRDefault="00B97B97" w:rsidP="00150391">
      <w:pPr>
        <w:spacing w:line="259" w:lineRule="auto"/>
        <w:jc w:val="both"/>
        <w:rPr>
          <w:rFonts w:cstheme="minorHAnsi"/>
        </w:rPr>
      </w:pPr>
    </w:p>
    <w:p w14:paraId="36633011" w14:textId="77777777" w:rsidR="00773F7C" w:rsidRPr="0017357E" w:rsidRDefault="00773F7C" w:rsidP="00C32017">
      <w:pPr>
        <w:autoSpaceDE w:val="0"/>
        <w:autoSpaceDN w:val="0"/>
        <w:adjustRightInd w:val="0"/>
        <w:jc w:val="center"/>
        <w:rPr>
          <w:rFonts w:cstheme="minorHAnsi"/>
        </w:rPr>
      </w:pPr>
      <w:r w:rsidRPr="0017357E">
        <w:rPr>
          <w:rFonts w:cstheme="minorHAnsi"/>
          <w:noProof/>
        </w:rPr>
        <w:lastRenderedPageBreak/>
        <w:drawing>
          <wp:inline distT="0" distB="0" distL="0" distR="0" wp14:anchorId="53F69F9E" wp14:editId="74BB6E45">
            <wp:extent cx="5243064" cy="3218100"/>
            <wp:effectExtent l="19050" t="19050" r="15240" b="20955"/>
            <wp:docPr id="41" name="Picture 41"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graph of a bar graph&#10;&#10;Description automatically generated with medium confidenc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252932" cy="3224157"/>
                    </a:xfrm>
                    <a:prstGeom prst="rect">
                      <a:avLst/>
                    </a:prstGeom>
                    <a:noFill/>
                    <a:ln>
                      <a:solidFill>
                        <a:schemeClr val="bg2"/>
                      </a:solidFill>
                    </a:ln>
                  </pic:spPr>
                </pic:pic>
              </a:graphicData>
            </a:graphic>
          </wp:inline>
        </w:drawing>
      </w:r>
    </w:p>
    <w:p w14:paraId="7A0BCC61" w14:textId="64ED1135" w:rsidR="0076019C" w:rsidRPr="0017357E" w:rsidRDefault="0076019C" w:rsidP="0076019C">
      <w:pPr>
        <w:pStyle w:val="Caption"/>
        <w:spacing w:after="0" w:line="259" w:lineRule="auto"/>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Pr>
          <w:rFonts w:cstheme="minorHAnsi"/>
          <w:i w:val="0"/>
          <w:iCs w:val="0"/>
          <w:color w:val="000000" w:themeColor="text1"/>
          <w:sz w:val="24"/>
          <w:szCs w:val="24"/>
          <w:u w:val="single"/>
        </w:rPr>
        <w:t xml:space="preserve"> 18</w:t>
      </w:r>
      <w:r w:rsidRPr="00E10527">
        <w:rPr>
          <w:rFonts w:cstheme="minorHAnsi"/>
          <w:i w:val="0"/>
          <w:color w:val="000000" w:themeColor="text1"/>
          <w:sz w:val="24"/>
          <w:szCs w:val="24"/>
        </w:rPr>
        <w:t xml:space="preserve">: </w:t>
      </w:r>
      <w:r w:rsidRPr="0017357E">
        <w:rPr>
          <w:rFonts w:cstheme="minorHAnsi"/>
          <w:i w:val="0"/>
          <w:iCs w:val="0"/>
          <w:color w:val="000000" w:themeColor="text1"/>
          <w:sz w:val="24"/>
          <w:szCs w:val="24"/>
        </w:rPr>
        <w:t>Difference in attitude between gender categories</w:t>
      </w:r>
    </w:p>
    <w:p w14:paraId="2C310192" w14:textId="77777777" w:rsidR="00773F7C" w:rsidRPr="0017357E" w:rsidRDefault="00773F7C" w:rsidP="00E35E2F">
      <w:pPr>
        <w:spacing w:line="259" w:lineRule="auto"/>
        <w:jc w:val="both"/>
        <w:rPr>
          <w:rFonts w:cstheme="minorHAnsi"/>
          <w:shd w:val="clear" w:color="auto" w:fill="FFFFFF"/>
        </w:rPr>
      </w:pPr>
    </w:p>
    <w:p w14:paraId="7584DB5B" w14:textId="1900C489" w:rsidR="00773F7C" w:rsidRDefault="00773F7C" w:rsidP="00EB11F2">
      <w:pPr>
        <w:spacing w:line="259" w:lineRule="auto"/>
        <w:rPr>
          <w:shd w:val="clear" w:color="auto" w:fill="FFFFFF"/>
        </w:rPr>
      </w:pPr>
      <w:r w:rsidRPr="2F1CA799">
        <w:rPr>
          <w:shd w:val="clear" w:color="auto" w:fill="FFFFFF"/>
        </w:rPr>
        <w:t xml:space="preserve">Further analyses revealed that participants who have spent </w:t>
      </w:r>
      <w:r w:rsidR="00CA3693" w:rsidRPr="2F1CA799">
        <w:rPr>
          <w:shd w:val="clear" w:color="auto" w:fill="FFFFFF"/>
        </w:rPr>
        <w:t>three to four</w:t>
      </w:r>
      <w:r w:rsidRPr="2F1CA799" w:rsidDel="00CA3693">
        <w:rPr>
          <w:shd w:val="clear" w:color="auto" w:fill="FFFFFF"/>
        </w:rPr>
        <w:t xml:space="preserve"> </w:t>
      </w:r>
      <w:r w:rsidRPr="2F1CA799">
        <w:rPr>
          <w:shd w:val="clear" w:color="auto" w:fill="FFFFFF"/>
        </w:rPr>
        <w:t xml:space="preserve">years studying or working within the University reported </w:t>
      </w:r>
      <w:r w:rsidR="00424B16">
        <w:rPr>
          <w:shd w:val="clear" w:color="auto" w:fill="FFFFFF"/>
        </w:rPr>
        <w:t xml:space="preserve">a </w:t>
      </w:r>
      <w:r w:rsidRPr="2F1CA799">
        <w:rPr>
          <w:shd w:val="clear" w:color="auto" w:fill="FFFFFF"/>
        </w:rPr>
        <w:t xml:space="preserve">significantly higher level of prejudice (see Figure </w:t>
      </w:r>
      <w:r w:rsidR="00B97B97">
        <w:rPr>
          <w:shd w:val="clear" w:color="auto" w:fill="FFFFFF"/>
        </w:rPr>
        <w:t>1</w:t>
      </w:r>
      <w:r w:rsidRPr="2F1CA799">
        <w:rPr>
          <w:shd w:val="clear" w:color="auto" w:fill="FFFFFF"/>
        </w:rPr>
        <w:t xml:space="preserve">9). Three to four years ago </w:t>
      </w:r>
      <w:r w:rsidR="00D34864" w:rsidRPr="2F1CA799">
        <w:rPr>
          <w:shd w:val="clear" w:color="auto" w:fill="FFFFFF"/>
        </w:rPr>
        <w:t>(f</w:t>
      </w:r>
      <w:r w:rsidRPr="2F1CA799">
        <w:rPr>
          <w:shd w:val="clear" w:color="auto" w:fill="FFFFFF"/>
        </w:rPr>
        <w:t xml:space="preserve">rom the time when the questionnaire was distributed) </w:t>
      </w:r>
      <w:r w:rsidR="00D34864" w:rsidRPr="2F1CA799">
        <w:rPr>
          <w:shd w:val="clear" w:color="auto" w:fill="FFFFFF"/>
        </w:rPr>
        <w:t xml:space="preserve">marks </w:t>
      </w:r>
      <w:r w:rsidRPr="2F1CA799">
        <w:rPr>
          <w:shd w:val="clear" w:color="auto" w:fill="FFFFFF"/>
        </w:rPr>
        <w:t xml:space="preserve">the start of the lockdown </w:t>
      </w:r>
      <w:r w:rsidR="00D34864" w:rsidRPr="2F1CA799">
        <w:rPr>
          <w:shd w:val="clear" w:color="auto" w:fill="FFFFFF"/>
        </w:rPr>
        <w:t>during the</w:t>
      </w:r>
      <w:r w:rsidRPr="2F1CA799">
        <w:rPr>
          <w:shd w:val="clear" w:color="auto" w:fill="FFFFFF"/>
        </w:rPr>
        <w:t xml:space="preserve"> Covid-19 pandemic. During the spring term of 2020 and the academic year of 202</w:t>
      </w:r>
      <w:r w:rsidR="002E30EE" w:rsidRPr="2F1CA799">
        <w:rPr>
          <w:shd w:val="clear" w:color="auto" w:fill="FFFFFF"/>
        </w:rPr>
        <w:t>0</w:t>
      </w:r>
      <w:r w:rsidR="00424B16">
        <w:rPr>
          <w:rFonts w:ascii="Calibri" w:hAnsi="Calibri" w:cs="Calibri"/>
          <w:shd w:val="clear" w:color="auto" w:fill="FFFFFF"/>
        </w:rPr>
        <w:t>/</w:t>
      </w:r>
      <w:r w:rsidRPr="2F1CA799">
        <w:rPr>
          <w:shd w:val="clear" w:color="auto" w:fill="FFFFFF"/>
        </w:rPr>
        <w:t>21, most teaching was delivered remotely. The restriction also applied to social and intergroup contacts, which make up a crucial part of the university experience. According to existing research</w:t>
      </w:r>
      <w:r w:rsidR="002E30EE" w:rsidRPr="2F1CA799">
        <w:rPr>
          <w:shd w:val="clear" w:color="auto" w:fill="FFFFFF"/>
        </w:rPr>
        <w:t>,</w:t>
      </w:r>
      <w:r w:rsidRPr="2F1CA799">
        <w:rPr>
          <w:shd w:val="clear" w:color="auto" w:fill="FFFFFF"/>
        </w:rPr>
        <w:t xml:space="preserve"> increased intergroup contacts reduces prejudice.</w:t>
      </w:r>
      <w:r w:rsidR="002E30EE" w:rsidRPr="2F1CA799">
        <w:rPr>
          <w:rStyle w:val="FootnoteReference"/>
          <w:shd w:val="clear" w:color="auto" w:fill="FFFFFF"/>
        </w:rPr>
        <w:footnoteReference w:id="197"/>
      </w:r>
      <w:r w:rsidRPr="2F1CA799">
        <w:rPr>
          <w:shd w:val="clear" w:color="auto" w:fill="FFFFFF"/>
        </w:rPr>
        <w:t xml:space="preserve"> This temporal and societal context could potentially explain the significantly higher scoring on prejudiced attitude</w:t>
      </w:r>
      <w:r w:rsidR="002E30EE" w:rsidRPr="2F1CA799">
        <w:rPr>
          <w:shd w:val="clear" w:color="auto" w:fill="FFFFFF"/>
        </w:rPr>
        <w:t>s</w:t>
      </w:r>
      <w:r w:rsidRPr="2F1CA799">
        <w:rPr>
          <w:shd w:val="clear" w:color="auto" w:fill="FFFFFF"/>
        </w:rPr>
        <w:t xml:space="preserve"> for participants who joined the University </w:t>
      </w:r>
      <w:r w:rsidR="0017025F" w:rsidRPr="2F1CA799">
        <w:rPr>
          <w:shd w:val="clear" w:color="auto" w:fill="FFFFFF"/>
        </w:rPr>
        <w:t>three to four</w:t>
      </w:r>
      <w:r w:rsidRPr="2F1CA799">
        <w:rPr>
          <w:shd w:val="clear" w:color="auto" w:fill="FFFFFF"/>
        </w:rPr>
        <w:t xml:space="preserve"> years</w:t>
      </w:r>
      <w:r w:rsidR="002E30EE" w:rsidRPr="2F1CA799">
        <w:rPr>
          <w:shd w:val="clear" w:color="auto" w:fill="FFFFFF"/>
        </w:rPr>
        <w:t xml:space="preserve"> ago</w:t>
      </w:r>
      <w:r w:rsidRPr="2F1CA799">
        <w:rPr>
          <w:shd w:val="clear" w:color="auto" w:fill="FFFFFF"/>
        </w:rPr>
        <w:t>. It also impli</w:t>
      </w:r>
      <w:r w:rsidR="002E30EE" w:rsidRPr="2F1CA799">
        <w:rPr>
          <w:shd w:val="clear" w:color="auto" w:fill="FFFFFF"/>
        </w:rPr>
        <w:t>es</w:t>
      </w:r>
      <w:r w:rsidRPr="2F1CA799">
        <w:rPr>
          <w:shd w:val="clear" w:color="auto" w:fill="FFFFFF"/>
        </w:rPr>
        <w:t xml:space="preserve"> that social contact in higher education setting</w:t>
      </w:r>
      <w:r w:rsidR="002E30EE" w:rsidRPr="2F1CA799">
        <w:rPr>
          <w:shd w:val="clear" w:color="auto" w:fill="FFFFFF"/>
        </w:rPr>
        <w:t>s</w:t>
      </w:r>
      <w:r w:rsidRPr="2F1CA799">
        <w:rPr>
          <w:shd w:val="clear" w:color="auto" w:fill="FFFFFF"/>
        </w:rPr>
        <w:t xml:space="preserve"> may be crucial </w:t>
      </w:r>
      <w:r w:rsidR="002E30EE" w:rsidRPr="2F1CA799">
        <w:rPr>
          <w:shd w:val="clear" w:color="auto" w:fill="FFFFFF"/>
        </w:rPr>
        <w:t>for</w:t>
      </w:r>
      <w:r w:rsidRPr="2F1CA799">
        <w:rPr>
          <w:shd w:val="clear" w:color="auto" w:fill="FFFFFF"/>
        </w:rPr>
        <w:t xml:space="preserve"> reducing racial prejudice</w:t>
      </w:r>
      <w:r w:rsidR="0017025F" w:rsidRPr="2F1CA799">
        <w:rPr>
          <w:shd w:val="clear" w:color="auto" w:fill="FFFFFF"/>
        </w:rPr>
        <w:t>, but f</w:t>
      </w:r>
      <w:r w:rsidRPr="2F1CA799">
        <w:rPr>
          <w:shd w:val="clear" w:color="auto" w:fill="FFFFFF"/>
        </w:rPr>
        <w:t xml:space="preserve">uture and follow-up research is needed to </w:t>
      </w:r>
      <w:bookmarkStart w:id="88" w:name="_Hlk179903007"/>
      <w:r w:rsidRPr="2F1CA799">
        <w:rPr>
          <w:shd w:val="clear" w:color="auto" w:fill="FFFFFF"/>
        </w:rPr>
        <w:t xml:space="preserve">test this </w:t>
      </w:r>
      <w:bookmarkEnd w:id="88"/>
      <w:r w:rsidR="0017025F" w:rsidRPr="2F1CA799">
        <w:rPr>
          <w:shd w:val="clear" w:color="auto" w:fill="FFFFFF"/>
        </w:rPr>
        <w:t>hypothesis</w:t>
      </w:r>
      <w:r w:rsidRPr="2F1CA799">
        <w:rPr>
          <w:shd w:val="clear" w:color="auto" w:fill="FFFFFF"/>
        </w:rPr>
        <w:t>.</w:t>
      </w:r>
    </w:p>
    <w:p w14:paraId="45887563" w14:textId="77777777" w:rsidR="00C57785" w:rsidRDefault="00C57785" w:rsidP="00E35E2F">
      <w:pPr>
        <w:spacing w:line="259" w:lineRule="auto"/>
        <w:jc w:val="both"/>
        <w:rPr>
          <w:shd w:val="clear" w:color="auto" w:fill="FFFFFF"/>
        </w:rPr>
      </w:pPr>
    </w:p>
    <w:p w14:paraId="04E0376F" w14:textId="77777777" w:rsidR="00773F7C" w:rsidRPr="0017357E" w:rsidRDefault="00773F7C" w:rsidP="00E10527">
      <w:pPr>
        <w:autoSpaceDE w:val="0"/>
        <w:autoSpaceDN w:val="0"/>
        <w:adjustRightInd w:val="0"/>
        <w:spacing w:before="240"/>
        <w:rPr>
          <w:rFonts w:cstheme="minorHAnsi"/>
        </w:rPr>
      </w:pPr>
      <w:r w:rsidRPr="0017357E">
        <w:rPr>
          <w:rFonts w:cstheme="minorHAnsi"/>
          <w:noProof/>
        </w:rPr>
        <w:lastRenderedPageBreak/>
        <w:drawing>
          <wp:inline distT="0" distB="0" distL="0" distR="0" wp14:anchorId="04793730" wp14:editId="55823D4F">
            <wp:extent cx="5584038" cy="3535033"/>
            <wp:effectExtent l="19050" t="19050" r="17145" b="27940"/>
            <wp:docPr id="52" name="Picture 52" descr="A graph of blue rectangular column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aph of blue rectangular columns with black text&#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08846" cy="3550738"/>
                    </a:xfrm>
                    <a:prstGeom prst="rect">
                      <a:avLst/>
                    </a:prstGeom>
                    <a:noFill/>
                    <a:ln>
                      <a:solidFill>
                        <a:schemeClr val="bg2"/>
                      </a:solidFill>
                    </a:ln>
                  </pic:spPr>
                </pic:pic>
              </a:graphicData>
            </a:graphic>
          </wp:inline>
        </w:drawing>
      </w:r>
    </w:p>
    <w:p w14:paraId="28BB5D17" w14:textId="5DAC1BA0" w:rsidR="00773F7C" w:rsidRPr="0076019C" w:rsidRDefault="0076019C" w:rsidP="00E35E2F">
      <w:pPr>
        <w:pStyle w:val="Caption"/>
        <w:spacing w:after="0" w:line="259" w:lineRule="auto"/>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Pr>
          <w:rFonts w:cstheme="minorHAnsi"/>
          <w:i w:val="0"/>
          <w:iCs w:val="0"/>
          <w:color w:val="000000" w:themeColor="text1"/>
          <w:sz w:val="24"/>
          <w:szCs w:val="24"/>
          <w:u w:val="single"/>
        </w:rPr>
        <w:t xml:space="preserve"> 19</w:t>
      </w:r>
      <w:r w:rsidRPr="00CE41BA">
        <w:rPr>
          <w:rFonts w:cstheme="minorHAnsi"/>
          <w:i w:val="0"/>
          <w:iCs w:val="0"/>
          <w:color w:val="000000" w:themeColor="text1"/>
          <w:sz w:val="24"/>
          <w:szCs w:val="24"/>
        </w:rPr>
        <w:t>:</w:t>
      </w:r>
      <w:r w:rsidRPr="00CE41BA">
        <w:rPr>
          <w:rFonts w:cstheme="minorHAnsi"/>
          <w:color w:val="000000" w:themeColor="text1"/>
        </w:rPr>
        <w:t xml:space="preserve"> </w:t>
      </w:r>
      <w:r w:rsidRPr="0017357E">
        <w:rPr>
          <w:rFonts w:cstheme="minorHAnsi"/>
          <w:i w:val="0"/>
          <w:iCs w:val="0"/>
          <w:color w:val="000000" w:themeColor="text1"/>
          <w:sz w:val="24"/>
          <w:szCs w:val="24"/>
        </w:rPr>
        <w:t xml:space="preserve">Difference in </w:t>
      </w:r>
      <w:r w:rsidRPr="0076019C">
        <w:rPr>
          <w:rFonts w:cstheme="minorHAnsi"/>
          <w:i w:val="0"/>
          <w:iCs w:val="0"/>
          <w:color w:val="000000" w:themeColor="text1"/>
          <w:sz w:val="24"/>
          <w:szCs w:val="24"/>
        </w:rPr>
        <w:t>participant</w:t>
      </w:r>
      <w:r w:rsidRPr="00CE41BA">
        <w:rPr>
          <w:rFonts w:cstheme="minorHAnsi"/>
          <w:i w:val="0"/>
          <w:iCs w:val="0"/>
          <w:color w:val="000000" w:themeColor="text1"/>
          <w:sz w:val="24"/>
          <w:szCs w:val="24"/>
        </w:rPr>
        <w:t>s’</w:t>
      </w:r>
      <w:r w:rsidRPr="0076019C">
        <w:rPr>
          <w:rFonts w:cstheme="minorHAnsi"/>
          <w:i w:val="0"/>
          <w:iCs w:val="0"/>
          <w:color w:val="000000" w:themeColor="text1"/>
          <w:sz w:val="24"/>
          <w:szCs w:val="24"/>
        </w:rPr>
        <w:t xml:space="preserve"> mean scores depending on the time spent in the University</w:t>
      </w:r>
    </w:p>
    <w:p w14:paraId="67A78EE0" w14:textId="77777777" w:rsidR="00251B98" w:rsidRDefault="00251B98" w:rsidP="00EB11F2">
      <w:pPr>
        <w:spacing w:line="259" w:lineRule="auto"/>
        <w:rPr>
          <w:rFonts w:cstheme="minorHAnsi"/>
        </w:rPr>
      </w:pPr>
    </w:p>
    <w:p w14:paraId="36EF04F0" w14:textId="50D3C7DF" w:rsidR="00773F7C" w:rsidRPr="0017357E" w:rsidRDefault="00773F7C" w:rsidP="00EB11F2">
      <w:pPr>
        <w:spacing w:line="259" w:lineRule="auto"/>
        <w:rPr>
          <w:rFonts w:cstheme="minorHAnsi"/>
        </w:rPr>
      </w:pPr>
      <w:r w:rsidRPr="0017357E">
        <w:rPr>
          <w:rFonts w:cstheme="minorHAnsi"/>
        </w:rPr>
        <w:t>The</w:t>
      </w:r>
      <w:r w:rsidR="002629FE">
        <w:rPr>
          <w:rFonts w:cstheme="minorHAnsi"/>
        </w:rPr>
        <w:t>se</w:t>
      </w:r>
      <w:r w:rsidRPr="0017357E">
        <w:rPr>
          <w:rFonts w:cstheme="minorHAnsi"/>
        </w:rPr>
        <w:t xml:space="preserve"> synthesised findings </w:t>
      </w:r>
      <w:r w:rsidR="002629FE">
        <w:rPr>
          <w:rFonts w:cstheme="minorHAnsi"/>
        </w:rPr>
        <w:t>suggest</w:t>
      </w:r>
      <w:r w:rsidRPr="0017357E">
        <w:rPr>
          <w:rFonts w:cstheme="minorHAnsi"/>
        </w:rPr>
        <w:t xml:space="preserve"> directions for future actions on decolonisation, as well as </w:t>
      </w:r>
      <w:r w:rsidR="002629FE">
        <w:rPr>
          <w:rFonts w:cstheme="minorHAnsi"/>
        </w:rPr>
        <w:t xml:space="preserve">for </w:t>
      </w:r>
      <w:r w:rsidRPr="0017357E">
        <w:rPr>
          <w:rFonts w:cstheme="minorHAnsi"/>
        </w:rPr>
        <w:t xml:space="preserve">improving and working toward racial equality. </w:t>
      </w:r>
      <w:r w:rsidR="002629FE">
        <w:rPr>
          <w:rFonts w:cstheme="minorHAnsi"/>
        </w:rPr>
        <w:t>E</w:t>
      </w:r>
      <w:r w:rsidRPr="0017357E">
        <w:rPr>
          <w:rFonts w:cstheme="minorHAnsi"/>
        </w:rPr>
        <w:t xml:space="preserve">ducation and social contact are </w:t>
      </w:r>
      <w:r w:rsidR="002629FE">
        <w:rPr>
          <w:rFonts w:cstheme="minorHAnsi"/>
        </w:rPr>
        <w:t>pivotal for</w:t>
      </w:r>
      <w:r w:rsidRPr="0017357E">
        <w:rPr>
          <w:rFonts w:cstheme="minorHAnsi"/>
        </w:rPr>
        <w:t xml:space="preserve"> reducing people’s prejudiced attitude toward racially and ethnically minoritised members. It is </w:t>
      </w:r>
      <w:r w:rsidR="002629FE">
        <w:rPr>
          <w:rFonts w:cstheme="minorHAnsi"/>
        </w:rPr>
        <w:t xml:space="preserve">therefore </w:t>
      </w:r>
      <w:r w:rsidRPr="0017357E">
        <w:rPr>
          <w:rFonts w:cstheme="minorHAnsi"/>
        </w:rPr>
        <w:t xml:space="preserve">useful to consider how best to </w:t>
      </w:r>
      <w:r w:rsidR="00114490">
        <w:rPr>
          <w:rFonts w:cstheme="minorHAnsi"/>
        </w:rPr>
        <w:t xml:space="preserve">improve </w:t>
      </w:r>
      <w:r w:rsidRPr="0017357E">
        <w:rPr>
          <w:rFonts w:cstheme="minorHAnsi"/>
        </w:rPr>
        <w:t>various aspects of student life (e.g.</w:t>
      </w:r>
      <w:r w:rsidR="00114490">
        <w:rPr>
          <w:rFonts w:cstheme="minorHAnsi"/>
        </w:rPr>
        <w:t xml:space="preserve"> </w:t>
      </w:r>
      <w:r w:rsidR="007E3759">
        <w:rPr>
          <w:rFonts w:cstheme="minorHAnsi"/>
        </w:rPr>
        <w:t xml:space="preserve">from </w:t>
      </w:r>
      <w:r w:rsidR="00114490">
        <w:rPr>
          <w:rFonts w:cstheme="minorHAnsi"/>
        </w:rPr>
        <w:t>pedagogic design</w:t>
      </w:r>
      <w:r w:rsidR="007E3759">
        <w:rPr>
          <w:rFonts w:cstheme="minorHAnsi"/>
        </w:rPr>
        <w:t xml:space="preserve"> to</w:t>
      </w:r>
      <w:r w:rsidRPr="0017357E">
        <w:rPr>
          <w:rFonts w:cstheme="minorHAnsi"/>
        </w:rPr>
        <w:t xml:space="preserve"> learning</w:t>
      </w:r>
      <w:r w:rsidR="00114490">
        <w:rPr>
          <w:rFonts w:cstheme="minorHAnsi"/>
        </w:rPr>
        <w:t xml:space="preserve"> e</w:t>
      </w:r>
      <w:r w:rsidR="007E3759">
        <w:rPr>
          <w:rFonts w:cstheme="minorHAnsi"/>
        </w:rPr>
        <w:t xml:space="preserve">xperiences to student </w:t>
      </w:r>
      <w:r w:rsidRPr="0017357E">
        <w:rPr>
          <w:rFonts w:cstheme="minorHAnsi"/>
        </w:rPr>
        <w:t xml:space="preserve">accommodation </w:t>
      </w:r>
      <w:r w:rsidR="007E3759">
        <w:rPr>
          <w:rFonts w:cstheme="minorHAnsi"/>
        </w:rPr>
        <w:t>etc.</w:t>
      </w:r>
      <w:r w:rsidRPr="0017357E">
        <w:rPr>
          <w:rFonts w:cstheme="minorHAnsi"/>
        </w:rPr>
        <w:t>)</w:t>
      </w:r>
      <w:r w:rsidR="001818A7">
        <w:rPr>
          <w:rFonts w:cstheme="minorHAnsi"/>
        </w:rPr>
        <w:t xml:space="preserve">, increase </w:t>
      </w:r>
      <w:r w:rsidRPr="0017357E">
        <w:rPr>
          <w:rFonts w:cstheme="minorHAnsi"/>
        </w:rPr>
        <w:t xml:space="preserve">staff support, </w:t>
      </w:r>
      <w:r w:rsidR="001818A7">
        <w:rPr>
          <w:rFonts w:cstheme="minorHAnsi"/>
        </w:rPr>
        <w:t>build a</w:t>
      </w:r>
      <w:r w:rsidRPr="0017357E">
        <w:rPr>
          <w:rFonts w:cstheme="minorHAnsi"/>
        </w:rPr>
        <w:t xml:space="preserve"> campus t</w:t>
      </w:r>
      <w:r w:rsidR="001818A7">
        <w:rPr>
          <w:rFonts w:cstheme="minorHAnsi"/>
        </w:rPr>
        <w:t>hat</w:t>
      </w:r>
      <w:r w:rsidRPr="0017357E">
        <w:rPr>
          <w:rFonts w:cstheme="minorHAnsi"/>
        </w:rPr>
        <w:t xml:space="preserve"> foster</w:t>
      </w:r>
      <w:r w:rsidR="001818A7">
        <w:rPr>
          <w:rFonts w:cstheme="minorHAnsi"/>
        </w:rPr>
        <w:t>s</w:t>
      </w:r>
      <w:r w:rsidRPr="0017357E">
        <w:rPr>
          <w:rFonts w:cstheme="minorHAnsi"/>
        </w:rPr>
        <w:t xml:space="preserve"> an integrated and dynamic space, and encourage</w:t>
      </w:r>
      <w:r w:rsidR="001818A7">
        <w:rPr>
          <w:rFonts w:cstheme="minorHAnsi"/>
        </w:rPr>
        <w:t>s</w:t>
      </w:r>
      <w:r w:rsidRPr="0017357E">
        <w:rPr>
          <w:rFonts w:cstheme="minorHAnsi"/>
        </w:rPr>
        <w:t xml:space="preserve"> intercultural and intergroup integration. </w:t>
      </w:r>
    </w:p>
    <w:p w14:paraId="0A9D2CE7" w14:textId="77777777" w:rsidR="00773F7C" w:rsidRDefault="00773F7C" w:rsidP="00EB11F2">
      <w:pPr>
        <w:spacing w:line="259" w:lineRule="auto"/>
        <w:ind w:firstLine="720"/>
        <w:rPr>
          <w:rFonts w:cstheme="minorHAnsi"/>
        </w:rPr>
      </w:pPr>
      <w:r w:rsidRPr="0017357E">
        <w:rPr>
          <w:rFonts w:cstheme="minorHAnsi"/>
        </w:rPr>
        <w:t xml:space="preserve">The graphs below describe the demographics of participants for Q1. </w:t>
      </w:r>
    </w:p>
    <w:p w14:paraId="454F30BB" w14:textId="77777777" w:rsidR="0080706A" w:rsidRDefault="0080706A" w:rsidP="00EB11F2">
      <w:pPr>
        <w:spacing w:line="259" w:lineRule="auto"/>
        <w:rPr>
          <w:rFonts w:cstheme="minorHAnsi"/>
        </w:rPr>
      </w:pPr>
    </w:p>
    <w:p w14:paraId="4AD058DB" w14:textId="77777777" w:rsidR="00773F7C" w:rsidRDefault="00773F7C" w:rsidP="00E10527">
      <w:pPr>
        <w:keepNext/>
        <w:autoSpaceDE w:val="0"/>
        <w:autoSpaceDN w:val="0"/>
        <w:adjustRightInd w:val="0"/>
        <w:rPr>
          <w:rFonts w:cstheme="minorHAnsi"/>
        </w:rPr>
      </w:pPr>
      <w:r w:rsidRPr="0017357E">
        <w:rPr>
          <w:rFonts w:cstheme="minorHAnsi"/>
          <w:noProof/>
        </w:rPr>
        <w:lastRenderedPageBreak/>
        <w:drawing>
          <wp:inline distT="0" distB="0" distL="0" distR="0" wp14:anchorId="71A0E7CD" wp14:editId="4CB1DE83">
            <wp:extent cx="5208104" cy="3797311"/>
            <wp:effectExtent l="19050" t="19050" r="12065" b="12700"/>
            <wp:docPr id="12" name="Picture 12" descr="A pie chart of a stud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e chart of a student&#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208104" cy="3797311"/>
                    </a:xfrm>
                    <a:prstGeom prst="rect">
                      <a:avLst/>
                    </a:prstGeom>
                    <a:noFill/>
                    <a:ln>
                      <a:solidFill>
                        <a:schemeClr val="bg2"/>
                      </a:solidFill>
                    </a:ln>
                  </pic:spPr>
                </pic:pic>
              </a:graphicData>
            </a:graphic>
          </wp:inline>
        </w:drawing>
      </w:r>
    </w:p>
    <w:p w14:paraId="2940F2F9" w14:textId="28F98133" w:rsidR="00497CD3" w:rsidRPr="00E10527" w:rsidRDefault="009E5197" w:rsidP="00E10527">
      <w:pPr>
        <w:pStyle w:val="Caption"/>
        <w:jc w:val="center"/>
        <w:rPr>
          <w:rFonts w:cstheme="minorHAnsi"/>
          <w:color w:val="000000" w:themeColor="text1"/>
        </w:rPr>
      </w:pPr>
      <w:r w:rsidRPr="0017357E">
        <w:rPr>
          <w:rFonts w:cstheme="minorHAnsi"/>
          <w:i w:val="0"/>
          <w:iCs w:val="0"/>
          <w:color w:val="000000" w:themeColor="text1"/>
          <w:sz w:val="24"/>
          <w:szCs w:val="24"/>
          <w:u w:val="single"/>
        </w:rPr>
        <w:t>Figure</w:t>
      </w:r>
      <w:r>
        <w:rPr>
          <w:rFonts w:cstheme="minorHAnsi"/>
          <w:i w:val="0"/>
          <w:iCs w:val="0"/>
          <w:color w:val="000000" w:themeColor="text1"/>
          <w:sz w:val="24"/>
          <w:szCs w:val="24"/>
          <w:u w:val="single"/>
        </w:rPr>
        <w:t xml:space="preserve"> 20</w:t>
      </w:r>
      <w:r w:rsidRPr="00E10527">
        <w:rPr>
          <w:rFonts w:cstheme="minorHAnsi"/>
          <w:i w:val="0"/>
          <w:color w:val="000000" w:themeColor="text1"/>
          <w:sz w:val="24"/>
          <w:szCs w:val="24"/>
        </w:rPr>
        <w:t xml:space="preserve">: </w:t>
      </w:r>
      <w:r w:rsidRPr="0017357E">
        <w:rPr>
          <w:rFonts w:cstheme="minorHAnsi"/>
          <w:i w:val="0"/>
          <w:iCs w:val="0"/>
          <w:color w:val="000000" w:themeColor="text1"/>
          <w:sz w:val="24"/>
          <w:szCs w:val="24"/>
        </w:rPr>
        <w:t>Distribution of participants by their roles in the University</w:t>
      </w:r>
    </w:p>
    <w:p w14:paraId="257079ED" w14:textId="79B9388B" w:rsidR="00497CD3" w:rsidRDefault="00773F7C" w:rsidP="00497CD3">
      <w:pPr>
        <w:keepNext/>
        <w:spacing w:before="240"/>
        <w:jc w:val="center"/>
        <w:rPr>
          <w:rFonts w:cstheme="minorHAnsi"/>
        </w:rPr>
      </w:pPr>
      <w:r w:rsidRPr="0017357E">
        <w:rPr>
          <w:rFonts w:cstheme="minorHAnsi"/>
          <w:noProof/>
        </w:rPr>
        <w:drawing>
          <wp:inline distT="0" distB="0" distL="0" distR="0" wp14:anchorId="5338CA02" wp14:editId="74FFB3AA">
            <wp:extent cx="5598746" cy="3891085"/>
            <wp:effectExtent l="12700" t="12700" r="15240" b="8255"/>
            <wp:docPr id="48" name="Picture 48" descr="A pie chart with numbers and a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e chart with numbers and a number&#10;&#10;Description automatically generate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4524" cy="3999349"/>
                    </a:xfrm>
                    <a:prstGeom prst="rect">
                      <a:avLst/>
                    </a:prstGeom>
                    <a:noFill/>
                    <a:ln>
                      <a:solidFill>
                        <a:schemeClr val="bg2"/>
                      </a:solidFill>
                    </a:ln>
                  </pic:spPr>
                </pic:pic>
              </a:graphicData>
            </a:graphic>
          </wp:inline>
        </w:drawing>
      </w:r>
    </w:p>
    <w:p w14:paraId="369C9721" w14:textId="693C1792" w:rsidR="00497CD3" w:rsidRDefault="007201D4" w:rsidP="00E10527">
      <w:pPr>
        <w:keepNext/>
        <w:spacing w:before="240"/>
        <w:jc w:val="center"/>
        <w:rPr>
          <w:rFonts w:cstheme="minorHAnsi"/>
        </w:rPr>
      </w:pPr>
      <w:r w:rsidRPr="0017357E">
        <w:rPr>
          <w:rFonts w:cstheme="minorHAnsi"/>
          <w:color w:val="000000" w:themeColor="text1"/>
          <w:u w:val="single"/>
        </w:rPr>
        <w:t xml:space="preserve">Figure </w:t>
      </w:r>
      <w:r w:rsidRPr="00E10527">
        <w:rPr>
          <w:rFonts w:cstheme="minorHAnsi"/>
          <w:color w:val="000000" w:themeColor="text1"/>
          <w:u w:val="single"/>
        </w:rPr>
        <w:t>21</w:t>
      </w:r>
      <w:r w:rsidRPr="00E10527">
        <w:rPr>
          <w:rFonts w:cstheme="minorHAnsi"/>
          <w:color w:val="000000" w:themeColor="text1"/>
        </w:rPr>
        <w:t>:</w:t>
      </w:r>
      <w:r w:rsidRPr="007201D4">
        <w:rPr>
          <w:rFonts w:cstheme="minorHAnsi"/>
          <w:color w:val="000000" w:themeColor="text1"/>
        </w:rPr>
        <w:t xml:space="preserve"> </w:t>
      </w:r>
      <w:r w:rsidRPr="0017357E">
        <w:rPr>
          <w:rFonts w:cstheme="minorHAnsi"/>
          <w:color w:val="000000" w:themeColor="text1"/>
        </w:rPr>
        <w:t>Distribution of participants by the gender categories they wished to include</w:t>
      </w:r>
    </w:p>
    <w:p w14:paraId="64243264" w14:textId="77777777" w:rsidR="007201D4" w:rsidRDefault="007201D4" w:rsidP="00497CD3">
      <w:pPr>
        <w:pStyle w:val="Caption"/>
        <w:rPr>
          <w:rFonts w:cstheme="minorHAnsi"/>
          <w:i w:val="0"/>
          <w:iCs w:val="0"/>
          <w:color w:val="000000" w:themeColor="text1"/>
          <w:sz w:val="24"/>
          <w:szCs w:val="24"/>
          <w:u w:val="single"/>
        </w:rPr>
      </w:pPr>
    </w:p>
    <w:p w14:paraId="77441E9F" w14:textId="77777777" w:rsidR="00497CD3" w:rsidRPr="0017357E" w:rsidRDefault="00497CD3" w:rsidP="00E10527">
      <w:pPr>
        <w:keepNext/>
        <w:spacing w:before="240"/>
        <w:rPr>
          <w:rFonts w:cstheme="minorHAnsi"/>
        </w:rPr>
      </w:pPr>
    </w:p>
    <w:p w14:paraId="4D58653C" w14:textId="77777777" w:rsidR="005B2249" w:rsidRDefault="00773F7C" w:rsidP="005B2249">
      <w:pPr>
        <w:keepNext/>
        <w:autoSpaceDE w:val="0"/>
        <w:autoSpaceDN w:val="0"/>
        <w:adjustRightInd w:val="0"/>
        <w:spacing w:before="240"/>
        <w:jc w:val="center"/>
        <w:rPr>
          <w:rFonts w:cstheme="minorHAnsi"/>
          <w:color w:val="000000" w:themeColor="text1"/>
          <w:u w:val="single"/>
        </w:rPr>
      </w:pPr>
      <w:r w:rsidRPr="0017357E">
        <w:rPr>
          <w:rFonts w:cstheme="minorHAnsi"/>
          <w:noProof/>
        </w:rPr>
        <w:drawing>
          <wp:inline distT="0" distB="0" distL="0" distR="0" wp14:anchorId="5FBB7806" wp14:editId="7B76EAC2">
            <wp:extent cx="5043493" cy="3149288"/>
            <wp:effectExtent l="19050" t="19050" r="17780" b="25400"/>
            <wp:docPr id="8" name="Picture 8" descr="A graph of age gro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ge groups&#10;&#10;Description automatically generated"/>
                    <pic:cNvPicPr>
                      <a:picLocks noChangeAspect="1" noChangeArrowheads="1"/>
                    </pic:cNvPicPr>
                  </pic:nvPicPr>
                  <pic:blipFill rotWithShape="1">
                    <a:blip r:embed="rId98">
                      <a:extLst>
                        <a:ext uri="{28A0092B-C50C-407E-A947-70E740481C1C}">
                          <a14:useLocalDpi xmlns:a14="http://schemas.microsoft.com/office/drawing/2010/main" val="0"/>
                        </a:ext>
                      </a:extLst>
                    </a:blip>
                    <a:srcRect l="-1" t="914" r="-586"/>
                    <a:stretch/>
                  </pic:blipFill>
                  <pic:spPr bwMode="auto">
                    <a:xfrm>
                      <a:off x="0" y="0"/>
                      <a:ext cx="5043493" cy="3149288"/>
                    </a:xfrm>
                    <a:prstGeom prst="rect">
                      <a:avLst/>
                    </a:prstGeom>
                    <a:noFill/>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A875E3" w14:textId="77777777" w:rsidR="00EE1821" w:rsidRPr="0017357E" w:rsidRDefault="00EE1821" w:rsidP="00E10527">
      <w:pPr>
        <w:pStyle w:val="Caption"/>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Pr>
          <w:rFonts w:cstheme="minorHAnsi"/>
          <w:i w:val="0"/>
          <w:iCs w:val="0"/>
          <w:color w:val="000000" w:themeColor="text1"/>
          <w:sz w:val="24"/>
          <w:szCs w:val="24"/>
          <w:u w:val="single"/>
        </w:rPr>
        <w:t xml:space="preserve"> 22</w:t>
      </w:r>
      <w:r w:rsidRPr="00E10527">
        <w:rPr>
          <w:rFonts w:cstheme="minorHAnsi"/>
          <w:i w:val="0"/>
          <w:color w:val="000000" w:themeColor="text1"/>
          <w:sz w:val="24"/>
          <w:szCs w:val="24"/>
        </w:rPr>
        <w:t xml:space="preserve">: </w:t>
      </w:r>
      <w:r w:rsidRPr="0017357E">
        <w:rPr>
          <w:rFonts w:cstheme="minorHAnsi"/>
          <w:i w:val="0"/>
          <w:iCs w:val="0"/>
          <w:color w:val="000000" w:themeColor="text1"/>
          <w:sz w:val="24"/>
          <w:szCs w:val="24"/>
        </w:rPr>
        <w:t>Distribution of participants</w:t>
      </w:r>
      <w:r>
        <w:rPr>
          <w:rFonts w:cstheme="minorHAnsi"/>
          <w:i w:val="0"/>
          <w:iCs w:val="0"/>
          <w:color w:val="000000" w:themeColor="text1"/>
          <w:sz w:val="24"/>
          <w:szCs w:val="24"/>
        </w:rPr>
        <w:t>’</w:t>
      </w:r>
      <w:r w:rsidRPr="0017357E">
        <w:rPr>
          <w:rFonts w:cstheme="minorHAnsi"/>
          <w:i w:val="0"/>
          <w:iCs w:val="0"/>
          <w:color w:val="000000" w:themeColor="text1"/>
          <w:sz w:val="24"/>
          <w:szCs w:val="24"/>
        </w:rPr>
        <w:t xml:space="preserve"> age groups</w:t>
      </w:r>
    </w:p>
    <w:p w14:paraId="7783E417" w14:textId="77777777" w:rsidR="00477D98" w:rsidRPr="0017357E" w:rsidRDefault="00477D98" w:rsidP="00EE1821">
      <w:pPr>
        <w:keepNext/>
        <w:autoSpaceDE w:val="0"/>
        <w:autoSpaceDN w:val="0"/>
        <w:adjustRightInd w:val="0"/>
        <w:spacing w:before="240"/>
        <w:jc w:val="center"/>
        <w:rPr>
          <w:rFonts w:cstheme="minorHAnsi"/>
        </w:rPr>
      </w:pPr>
    </w:p>
    <w:p w14:paraId="6832E8A1" w14:textId="77777777" w:rsidR="00773F7C" w:rsidRDefault="00773F7C" w:rsidP="00C32017">
      <w:pPr>
        <w:keepNext/>
        <w:autoSpaceDE w:val="0"/>
        <w:autoSpaceDN w:val="0"/>
        <w:adjustRightInd w:val="0"/>
        <w:rPr>
          <w:rFonts w:cstheme="minorHAnsi"/>
        </w:rPr>
      </w:pPr>
      <w:r w:rsidRPr="0017357E">
        <w:rPr>
          <w:rFonts w:cstheme="minorHAnsi"/>
          <w:noProof/>
        </w:rPr>
        <w:drawing>
          <wp:inline distT="0" distB="0" distL="0" distR="0" wp14:anchorId="15FECAD7" wp14:editId="7D267FDF">
            <wp:extent cx="5881418" cy="4755515"/>
            <wp:effectExtent l="19050" t="19050" r="24130" b="26035"/>
            <wp:docPr id="9" name="Picture 9" descr="A graph with green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aph with green bars&#10;&#10;Description automatically generated"/>
                    <pic:cNvPicPr>
                      <a:picLocks noChangeAspect="1" noChangeArrowheads="1"/>
                    </pic:cNvPicPr>
                  </pic:nvPicPr>
                  <pic:blipFill rotWithShape="1">
                    <a:blip r:embed="rId99">
                      <a:extLst>
                        <a:ext uri="{28A0092B-C50C-407E-A947-70E740481C1C}">
                          <a14:useLocalDpi xmlns:a14="http://schemas.microsoft.com/office/drawing/2010/main" val="0"/>
                        </a:ext>
                      </a:extLst>
                    </a:blip>
                    <a:srcRect l="1058" t="472" r="603"/>
                    <a:stretch/>
                  </pic:blipFill>
                  <pic:spPr bwMode="auto">
                    <a:xfrm>
                      <a:off x="0" y="0"/>
                      <a:ext cx="5881418" cy="4755515"/>
                    </a:xfrm>
                    <a:prstGeom prst="rect">
                      <a:avLst/>
                    </a:prstGeom>
                    <a:noFill/>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2810A69" w14:textId="501AC174" w:rsidR="00097A8C" w:rsidRPr="00E10527" w:rsidRDefault="006C26B2" w:rsidP="00E10527">
      <w:pPr>
        <w:pStyle w:val="Caption"/>
        <w:jc w:val="center"/>
        <w:rPr>
          <w:rFonts w:cstheme="minorHAnsi"/>
          <w:color w:val="000000" w:themeColor="text1"/>
        </w:rPr>
      </w:pPr>
      <w:r w:rsidRPr="0017357E">
        <w:rPr>
          <w:rFonts w:cstheme="minorHAnsi"/>
          <w:i w:val="0"/>
          <w:iCs w:val="0"/>
          <w:color w:val="000000" w:themeColor="text1"/>
          <w:sz w:val="24"/>
          <w:szCs w:val="24"/>
          <w:u w:val="single"/>
        </w:rPr>
        <w:t xml:space="preserve">Figure </w:t>
      </w:r>
      <w:r w:rsidR="009E43CF">
        <w:rPr>
          <w:rFonts w:cstheme="minorHAnsi"/>
          <w:i w:val="0"/>
          <w:iCs w:val="0"/>
          <w:color w:val="000000" w:themeColor="text1"/>
          <w:sz w:val="24"/>
          <w:szCs w:val="24"/>
          <w:u w:val="single"/>
        </w:rPr>
        <w:t>23</w:t>
      </w:r>
      <w:r w:rsidR="009E43CF" w:rsidRPr="00E10527">
        <w:rPr>
          <w:rFonts w:cstheme="minorHAnsi"/>
          <w:i w:val="0"/>
          <w:color w:val="000000" w:themeColor="text1"/>
          <w:sz w:val="24"/>
          <w:szCs w:val="24"/>
        </w:rPr>
        <w:t xml:space="preserve">: </w:t>
      </w:r>
      <w:r w:rsidRPr="0017357E">
        <w:rPr>
          <w:rFonts w:cstheme="minorHAnsi"/>
          <w:i w:val="0"/>
          <w:iCs w:val="0"/>
          <w:color w:val="000000" w:themeColor="text1"/>
          <w:sz w:val="24"/>
          <w:szCs w:val="24"/>
        </w:rPr>
        <w:t>Distribution of participants by ethnic group</w:t>
      </w:r>
      <w:r w:rsidR="009E43CF">
        <w:rPr>
          <w:rFonts w:cstheme="minorHAnsi"/>
          <w:i w:val="0"/>
          <w:iCs w:val="0"/>
          <w:color w:val="000000" w:themeColor="text1"/>
          <w:sz w:val="24"/>
          <w:szCs w:val="24"/>
        </w:rPr>
        <w:t>s</w:t>
      </w:r>
    </w:p>
    <w:p w14:paraId="759BD761" w14:textId="77777777" w:rsidR="00773F7C" w:rsidRDefault="00773F7C" w:rsidP="00E10527">
      <w:pPr>
        <w:keepNext/>
        <w:autoSpaceDE w:val="0"/>
        <w:autoSpaceDN w:val="0"/>
        <w:adjustRightInd w:val="0"/>
        <w:spacing w:before="240"/>
        <w:ind w:left="-709"/>
        <w:rPr>
          <w:rFonts w:cstheme="minorHAnsi"/>
        </w:rPr>
      </w:pPr>
      <w:r w:rsidRPr="0017357E">
        <w:rPr>
          <w:rFonts w:cstheme="minorHAnsi"/>
          <w:noProof/>
        </w:rPr>
        <w:drawing>
          <wp:inline distT="0" distB="0" distL="0" distR="0" wp14:anchorId="3E901BC1" wp14:editId="79F08FDB">
            <wp:extent cx="6459904" cy="2321064"/>
            <wp:effectExtent l="12700" t="12700" r="17145" b="15875"/>
            <wp:docPr id="49" name="Picture 49" descr="A graph with purpl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aph with purple bars&#10;&#10;Description automatically generated"/>
                    <pic:cNvPicPr>
                      <a:picLocks noChangeAspect="1" noChangeArrowheads="1"/>
                    </pic:cNvPicPr>
                  </pic:nvPicPr>
                  <pic:blipFill rotWithShape="1">
                    <a:blip r:embed="rId100">
                      <a:extLst>
                        <a:ext uri="{28A0092B-C50C-407E-A947-70E740481C1C}">
                          <a14:useLocalDpi xmlns:a14="http://schemas.microsoft.com/office/drawing/2010/main" val="0"/>
                        </a:ext>
                      </a:extLst>
                    </a:blip>
                    <a:srcRect r="2057" b="3542"/>
                    <a:stretch/>
                  </pic:blipFill>
                  <pic:spPr bwMode="auto">
                    <a:xfrm>
                      <a:off x="0" y="0"/>
                      <a:ext cx="6459904" cy="2321064"/>
                    </a:xfrm>
                    <a:prstGeom prst="rect">
                      <a:avLst/>
                    </a:prstGeom>
                    <a:noFill/>
                    <a:ln>
                      <a:solidFill>
                        <a:schemeClr val="bg2"/>
                      </a:solidFill>
                    </a:ln>
                    <a:extLst>
                      <a:ext uri="{53640926-AAD7-44D8-BBD7-CCE9431645EC}">
                        <a14:shadowObscured xmlns:a14="http://schemas.microsoft.com/office/drawing/2010/main"/>
                      </a:ext>
                    </a:extLst>
                  </pic:spPr>
                </pic:pic>
              </a:graphicData>
            </a:graphic>
          </wp:inline>
        </w:drawing>
      </w:r>
    </w:p>
    <w:p w14:paraId="442AD980" w14:textId="6ED9FAFC" w:rsidR="00CE41BA" w:rsidRPr="0017357E" w:rsidRDefault="00CE41BA" w:rsidP="00CE41BA">
      <w:pPr>
        <w:pStyle w:val="Caption"/>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Pr>
          <w:rFonts w:cstheme="minorHAnsi"/>
          <w:i w:val="0"/>
          <w:iCs w:val="0"/>
          <w:color w:val="000000" w:themeColor="text1"/>
          <w:sz w:val="24"/>
          <w:szCs w:val="24"/>
          <w:u w:val="single"/>
        </w:rPr>
        <w:t xml:space="preserve"> 24</w:t>
      </w:r>
      <w:r w:rsidRPr="00E10527">
        <w:rPr>
          <w:rFonts w:cstheme="minorHAnsi"/>
          <w:i w:val="0"/>
          <w:color w:val="000000" w:themeColor="text1"/>
          <w:sz w:val="24"/>
          <w:szCs w:val="24"/>
        </w:rPr>
        <w:t xml:space="preserve">: </w:t>
      </w:r>
      <w:r w:rsidRPr="0017357E">
        <w:rPr>
          <w:rFonts w:cstheme="minorHAnsi"/>
          <w:i w:val="0"/>
          <w:iCs w:val="0"/>
          <w:color w:val="000000" w:themeColor="text1"/>
          <w:sz w:val="24"/>
          <w:szCs w:val="24"/>
        </w:rPr>
        <w:t>Numbers of participants in each religious group</w:t>
      </w:r>
    </w:p>
    <w:p w14:paraId="558E1B1E" w14:textId="77777777" w:rsidR="005B2249" w:rsidRPr="0017357E" w:rsidRDefault="005B2249" w:rsidP="00C32017">
      <w:pPr>
        <w:keepNext/>
        <w:autoSpaceDE w:val="0"/>
        <w:autoSpaceDN w:val="0"/>
        <w:adjustRightInd w:val="0"/>
        <w:spacing w:before="240"/>
        <w:ind w:hanging="709"/>
        <w:rPr>
          <w:rFonts w:cstheme="minorHAnsi"/>
        </w:rPr>
      </w:pPr>
    </w:p>
    <w:p w14:paraId="5546DA5B" w14:textId="77777777" w:rsidR="00773F7C" w:rsidRPr="0017357E" w:rsidRDefault="00773F7C" w:rsidP="00C32017">
      <w:pPr>
        <w:keepNext/>
        <w:autoSpaceDE w:val="0"/>
        <w:autoSpaceDN w:val="0"/>
        <w:adjustRightInd w:val="0"/>
        <w:ind w:hanging="567"/>
        <w:rPr>
          <w:rFonts w:cstheme="minorHAnsi"/>
        </w:rPr>
      </w:pPr>
      <w:r w:rsidRPr="0017357E">
        <w:rPr>
          <w:rFonts w:cstheme="minorHAnsi"/>
          <w:noProof/>
        </w:rPr>
        <w:drawing>
          <wp:inline distT="0" distB="0" distL="0" distR="0" wp14:anchorId="53FB0E76" wp14:editId="0501EC3B">
            <wp:extent cx="6417310" cy="5915576"/>
            <wp:effectExtent l="19050" t="19050" r="21590" b="28575"/>
            <wp:docPr id="18" name="Picture 18" descr="A graph of a number of partici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aph of a number of participants&#10;&#10;Description automatically generated"/>
                    <pic:cNvPicPr>
                      <a:picLocks noChangeAspect="1" noChangeArrowheads="1"/>
                    </pic:cNvPicPr>
                  </pic:nvPicPr>
                  <pic:blipFill rotWithShape="1">
                    <a:blip r:embed="rId101">
                      <a:extLst>
                        <a:ext uri="{28A0092B-C50C-407E-A947-70E740481C1C}">
                          <a14:useLocalDpi xmlns:a14="http://schemas.microsoft.com/office/drawing/2010/main" val="0"/>
                        </a:ext>
                      </a:extLst>
                    </a:blip>
                    <a:srcRect l="408" t="2747" r="1080"/>
                    <a:stretch/>
                  </pic:blipFill>
                  <pic:spPr bwMode="auto">
                    <a:xfrm>
                      <a:off x="0" y="0"/>
                      <a:ext cx="6422079" cy="5919972"/>
                    </a:xfrm>
                    <a:prstGeom prst="rect">
                      <a:avLst/>
                    </a:prstGeom>
                    <a:noFill/>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33B87E" w14:textId="58DDCC88" w:rsidR="00773F7C" w:rsidRPr="0017357E" w:rsidRDefault="00773F7C" w:rsidP="00C32017">
      <w:pPr>
        <w:pStyle w:val="Caption"/>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00CE41BA" w:rsidRPr="00E10527">
        <w:rPr>
          <w:rFonts w:cstheme="minorHAnsi"/>
          <w:i w:val="0"/>
          <w:color w:val="000000" w:themeColor="text1"/>
          <w:sz w:val="24"/>
          <w:szCs w:val="24"/>
          <w:u w:val="single"/>
        </w:rPr>
        <w:t xml:space="preserve"> 25</w:t>
      </w:r>
      <w:r w:rsidR="00CE41BA">
        <w:rPr>
          <w:rFonts w:cstheme="minorHAnsi"/>
          <w:i w:val="0"/>
          <w:iCs w:val="0"/>
          <w:color w:val="000000" w:themeColor="text1"/>
          <w:sz w:val="24"/>
          <w:szCs w:val="24"/>
        </w:rPr>
        <w:t>:</w:t>
      </w:r>
      <w:r w:rsidRPr="0017357E">
        <w:rPr>
          <w:rFonts w:cstheme="minorHAnsi"/>
          <w:i w:val="0"/>
          <w:iCs w:val="0"/>
          <w:color w:val="000000" w:themeColor="text1"/>
          <w:sz w:val="24"/>
          <w:szCs w:val="24"/>
        </w:rPr>
        <w:t xml:space="preserve"> Participants</w:t>
      </w:r>
      <w:r w:rsidR="00CE41BA">
        <w:rPr>
          <w:rFonts w:cstheme="minorHAnsi"/>
          <w:i w:val="0"/>
          <w:iCs w:val="0"/>
          <w:color w:val="000000" w:themeColor="text1"/>
          <w:sz w:val="24"/>
          <w:szCs w:val="24"/>
        </w:rPr>
        <w:t>’</w:t>
      </w:r>
      <w:r w:rsidRPr="0017357E">
        <w:rPr>
          <w:rFonts w:cstheme="minorHAnsi"/>
          <w:i w:val="0"/>
          <w:iCs w:val="0"/>
          <w:color w:val="000000" w:themeColor="text1"/>
          <w:sz w:val="24"/>
          <w:szCs w:val="24"/>
        </w:rPr>
        <w:t xml:space="preserve"> affiliated Departments/Schools within the University</w:t>
      </w:r>
    </w:p>
    <w:p w14:paraId="4D396EAC" w14:textId="77777777" w:rsidR="00773F7C" w:rsidRPr="0017357E" w:rsidRDefault="00773F7C" w:rsidP="00C32017">
      <w:pPr>
        <w:keepNext/>
        <w:autoSpaceDE w:val="0"/>
        <w:autoSpaceDN w:val="0"/>
        <w:adjustRightInd w:val="0"/>
        <w:ind w:hanging="567"/>
        <w:rPr>
          <w:rFonts w:cstheme="minorHAnsi"/>
        </w:rPr>
      </w:pPr>
      <w:r w:rsidRPr="0017357E">
        <w:rPr>
          <w:rFonts w:cstheme="minorHAnsi"/>
          <w:noProof/>
        </w:rPr>
        <w:lastRenderedPageBreak/>
        <w:drawing>
          <wp:inline distT="0" distB="0" distL="0" distR="0" wp14:anchorId="377C0798" wp14:editId="35D0475C">
            <wp:extent cx="6429802" cy="2594754"/>
            <wp:effectExtent l="19050" t="19050" r="28575" b="15240"/>
            <wp:docPr id="19" name="Picture 19" descr="A graph with purpl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aph with purple and black text&#10;&#10;Description automatically generated"/>
                    <pic:cNvPicPr>
                      <a:picLocks noChangeAspect="1" noChangeArrowheads="1"/>
                    </pic:cNvPicPr>
                  </pic:nvPicPr>
                  <pic:blipFill rotWithShape="1">
                    <a:blip r:embed="rId102">
                      <a:extLst>
                        <a:ext uri="{28A0092B-C50C-407E-A947-70E740481C1C}">
                          <a14:useLocalDpi xmlns:a14="http://schemas.microsoft.com/office/drawing/2010/main" val="0"/>
                        </a:ext>
                      </a:extLst>
                    </a:blip>
                    <a:srcRect l="2814" r="1488" b="2032"/>
                    <a:stretch/>
                  </pic:blipFill>
                  <pic:spPr bwMode="auto">
                    <a:xfrm>
                      <a:off x="0" y="0"/>
                      <a:ext cx="6450546" cy="2603125"/>
                    </a:xfrm>
                    <a:prstGeom prst="rect">
                      <a:avLst/>
                    </a:prstGeom>
                    <a:noFill/>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579F77" w14:textId="570EBBD2" w:rsidR="00773F7C" w:rsidRPr="0017357E" w:rsidRDefault="00773F7C" w:rsidP="00C32017">
      <w:pPr>
        <w:pStyle w:val="Caption"/>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00CE41BA">
        <w:rPr>
          <w:rFonts w:cstheme="minorHAnsi"/>
          <w:i w:val="0"/>
          <w:iCs w:val="0"/>
          <w:color w:val="000000" w:themeColor="text1"/>
          <w:sz w:val="24"/>
          <w:szCs w:val="24"/>
          <w:u w:val="single"/>
        </w:rPr>
        <w:t xml:space="preserve"> 26</w:t>
      </w:r>
      <w:r w:rsidR="00CE41BA" w:rsidRPr="00E10527">
        <w:rPr>
          <w:rFonts w:cstheme="minorHAnsi"/>
          <w:i w:val="0"/>
          <w:color w:val="000000" w:themeColor="text1"/>
          <w:sz w:val="24"/>
          <w:szCs w:val="24"/>
        </w:rPr>
        <w:t xml:space="preserve">: </w:t>
      </w:r>
      <w:r w:rsidRPr="0017357E">
        <w:rPr>
          <w:rFonts w:cstheme="minorHAnsi"/>
          <w:i w:val="0"/>
          <w:iCs w:val="0"/>
          <w:color w:val="000000" w:themeColor="text1"/>
          <w:sz w:val="24"/>
          <w:szCs w:val="24"/>
        </w:rPr>
        <w:t xml:space="preserve">The </w:t>
      </w:r>
      <w:r w:rsidR="00CE41BA">
        <w:rPr>
          <w:rFonts w:cstheme="minorHAnsi"/>
          <w:i w:val="0"/>
          <w:iCs w:val="0"/>
          <w:color w:val="000000" w:themeColor="text1"/>
          <w:sz w:val="24"/>
          <w:szCs w:val="24"/>
        </w:rPr>
        <w:t>h</w:t>
      </w:r>
      <w:r w:rsidRPr="0017357E">
        <w:rPr>
          <w:rFonts w:cstheme="minorHAnsi"/>
          <w:i w:val="0"/>
          <w:iCs w:val="0"/>
          <w:color w:val="000000" w:themeColor="text1"/>
          <w:sz w:val="24"/>
          <w:szCs w:val="24"/>
        </w:rPr>
        <w:t>ighest qualifications attained by participants</w:t>
      </w:r>
    </w:p>
    <w:p w14:paraId="4F8D700C" w14:textId="77777777" w:rsidR="00773F7C" w:rsidRPr="0017357E" w:rsidRDefault="00773F7C" w:rsidP="00C32017">
      <w:pPr>
        <w:keepNext/>
        <w:autoSpaceDE w:val="0"/>
        <w:autoSpaceDN w:val="0"/>
        <w:adjustRightInd w:val="0"/>
        <w:rPr>
          <w:rFonts w:cstheme="minorHAnsi"/>
        </w:rPr>
      </w:pPr>
      <w:r w:rsidRPr="0017357E">
        <w:rPr>
          <w:rFonts w:cstheme="minorHAnsi"/>
          <w:noProof/>
        </w:rPr>
        <w:drawing>
          <wp:inline distT="0" distB="0" distL="0" distR="0" wp14:anchorId="181793CB" wp14:editId="124E698B">
            <wp:extent cx="5699561" cy="2877185"/>
            <wp:effectExtent l="19050" t="19050" r="15875" b="18415"/>
            <wp:docPr id="17" name="Picture 17" descr="A graph with numbers and a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 with numbers and a bar&#10;&#10;Description automatically generated"/>
                    <pic:cNvPicPr>
                      <a:picLocks noChangeAspect="1" noChangeArrowheads="1"/>
                    </pic:cNvPicPr>
                  </pic:nvPicPr>
                  <pic:blipFill rotWithShape="1">
                    <a:blip r:embed="rId103">
                      <a:extLst>
                        <a:ext uri="{28A0092B-C50C-407E-A947-70E740481C1C}">
                          <a14:useLocalDpi xmlns:a14="http://schemas.microsoft.com/office/drawing/2010/main" val="0"/>
                        </a:ext>
                      </a:extLst>
                    </a:blip>
                    <a:srcRect t="732" b="-1"/>
                    <a:stretch/>
                  </pic:blipFill>
                  <pic:spPr bwMode="auto">
                    <a:xfrm>
                      <a:off x="0" y="0"/>
                      <a:ext cx="5720534" cy="2887772"/>
                    </a:xfrm>
                    <a:prstGeom prst="rect">
                      <a:avLst/>
                    </a:prstGeom>
                    <a:noFill/>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01051B5" w14:textId="0B8344B9" w:rsidR="00773F7C" w:rsidRPr="0017357E" w:rsidRDefault="00773F7C" w:rsidP="00C32017">
      <w:pPr>
        <w:pStyle w:val="Caption"/>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00CE41BA">
        <w:rPr>
          <w:rFonts w:cstheme="minorHAnsi"/>
          <w:i w:val="0"/>
          <w:iCs w:val="0"/>
          <w:color w:val="000000" w:themeColor="text1"/>
          <w:sz w:val="24"/>
          <w:szCs w:val="24"/>
          <w:u w:val="single"/>
        </w:rPr>
        <w:t xml:space="preserve"> 27</w:t>
      </w:r>
      <w:r w:rsidR="00CE41BA" w:rsidRPr="00E10527">
        <w:rPr>
          <w:rFonts w:cstheme="minorHAnsi"/>
          <w:i w:val="0"/>
          <w:color w:val="000000" w:themeColor="text1"/>
          <w:sz w:val="24"/>
          <w:szCs w:val="24"/>
        </w:rPr>
        <w:t>:</w:t>
      </w:r>
      <w:r w:rsidRPr="0017357E">
        <w:rPr>
          <w:rFonts w:cstheme="minorHAnsi"/>
          <w:i w:val="0"/>
          <w:iCs w:val="0"/>
          <w:color w:val="000000" w:themeColor="text1"/>
          <w:sz w:val="24"/>
          <w:szCs w:val="24"/>
        </w:rPr>
        <w:t xml:space="preserve"> Time spent in the University for participants</w:t>
      </w:r>
    </w:p>
    <w:p w14:paraId="3F29DC50" w14:textId="77777777" w:rsidR="00773F7C" w:rsidRPr="0017357E" w:rsidRDefault="00773F7C" w:rsidP="00E35E2F">
      <w:pPr>
        <w:pStyle w:val="Heading5"/>
      </w:pPr>
    </w:p>
    <w:p w14:paraId="0D1B3BF6" w14:textId="3805012E" w:rsidR="00773F7C" w:rsidRPr="0017357E" w:rsidRDefault="00773F7C" w:rsidP="00E35663">
      <w:pPr>
        <w:pStyle w:val="Heading3"/>
      </w:pPr>
      <w:bookmarkStart w:id="89" w:name="_Toc190939430"/>
      <w:bookmarkStart w:id="90" w:name="_Toc202627113"/>
      <w:r w:rsidRPr="0017357E">
        <w:t xml:space="preserve">Questionnaire 2: </w:t>
      </w:r>
      <w:r w:rsidR="00CD1E9D">
        <w:t>Understanding</w:t>
      </w:r>
      <w:r w:rsidRPr="0017357E">
        <w:t xml:space="preserve"> People’s Experiences of Racial Discrimination</w:t>
      </w:r>
      <w:bookmarkEnd w:id="89"/>
      <w:bookmarkEnd w:id="90"/>
    </w:p>
    <w:p w14:paraId="5C48CB0F" w14:textId="77777777" w:rsidR="00E35663" w:rsidRDefault="00E35663" w:rsidP="00E35E2F">
      <w:pPr>
        <w:spacing w:line="259" w:lineRule="auto"/>
        <w:jc w:val="both"/>
        <w:rPr>
          <w:rFonts w:cstheme="minorHAnsi"/>
        </w:rPr>
      </w:pPr>
    </w:p>
    <w:p w14:paraId="68D8107A" w14:textId="1E5F9E70" w:rsidR="00773F7C" w:rsidRPr="0017357E" w:rsidRDefault="00CD1E9D" w:rsidP="00EB11F2">
      <w:pPr>
        <w:spacing w:line="259" w:lineRule="auto"/>
        <w:rPr>
          <w:rFonts w:cstheme="minorHAnsi"/>
          <w:color w:val="000000" w:themeColor="text1"/>
        </w:rPr>
      </w:pPr>
      <w:r>
        <w:rPr>
          <w:rFonts w:cstheme="minorHAnsi"/>
        </w:rPr>
        <w:t>The</w:t>
      </w:r>
      <w:r w:rsidR="00773F7C" w:rsidRPr="0017357E">
        <w:rPr>
          <w:rFonts w:cstheme="minorHAnsi"/>
        </w:rPr>
        <w:t xml:space="preserve"> results</w:t>
      </w:r>
      <w:r>
        <w:rPr>
          <w:rFonts w:cstheme="minorHAnsi"/>
        </w:rPr>
        <w:t xml:space="preserve"> of Q2</w:t>
      </w:r>
      <w:r w:rsidR="00773F7C" w:rsidRPr="0017357E">
        <w:rPr>
          <w:rFonts w:cstheme="minorHAnsi"/>
        </w:rPr>
        <w:t xml:space="preserve"> showed that par</w:t>
      </w:r>
      <w:r w:rsidR="00773F7C" w:rsidRPr="0017357E">
        <w:rPr>
          <w:rFonts w:cstheme="minorHAnsi"/>
          <w:color w:val="000000" w:themeColor="text1"/>
        </w:rPr>
        <w:t>ticipants who self-identify as a racially/ethnically minoritised member</w:t>
      </w:r>
      <w:r>
        <w:rPr>
          <w:rFonts w:cstheme="minorHAnsi"/>
          <w:color w:val="000000" w:themeColor="text1"/>
        </w:rPr>
        <w:t>s</w:t>
      </w:r>
      <w:r w:rsidR="00773F7C" w:rsidRPr="0017357E">
        <w:rPr>
          <w:rFonts w:cstheme="minorHAnsi"/>
          <w:color w:val="000000" w:themeColor="text1"/>
        </w:rPr>
        <w:t xml:space="preserve"> experienced racism whilst studying or working in the </w:t>
      </w:r>
      <w:r w:rsidR="00A27530">
        <w:rPr>
          <w:rFonts w:cstheme="minorHAnsi"/>
          <w:color w:val="000000" w:themeColor="text1"/>
        </w:rPr>
        <w:t>University of Edinburgh</w:t>
      </w:r>
      <w:r w:rsidR="00773F7C" w:rsidRPr="0017357E">
        <w:rPr>
          <w:rFonts w:cstheme="minorHAnsi"/>
          <w:color w:val="000000" w:themeColor="text1"/>
        </w:rPr>
        <w:t xml:space="preserve"> (see normal distribution of the scores in Figure </w:t>
      </w:r>
      <w:r w:rsidR="003C5721">
        <w:rPr>
          <w:rFonts w:cstheme="minorHAnsi"/>
          <w:color w:val="000000" w:themeColor="text1"/>
        </w:rPr>
        <w:t>2</w:t>
      </w:r>
      <w:r w:rsidR="00773F7C" w:rsidRPr="0017357E">
        <w:rPr>
          <w:rFonts w:cstheme="minorHAnsi"/>
          <w:color w:val="000000" w:themeColor="text1"/>
        </w:rPr>
        <w:t xml:space="preserve">8 below). </w:t>
      </w:r>
    </w:p>
    <w:p w14:paraId="43FD0416" w14:textId="77777777" w:rsidR="00773F7C" w:rsidRPr="0017357E" w:rsidRDefault="00773F7C" w:rsidP="00C32017">
      <w:pPr>
        <w:keepNext/>
        <w:autoSpaceDE w:val="0"/>
        <w:autoSpaceDN w:val="0"/>
        <w:adjustRightInd w:val="0"/>
        <w:rPr>
          <w:rFonts w:cstheme="minorHAnsi"/>
        </w:rPr>
      </w:pPr>
      <w:r w:rsidRPr="0017357E">
        <w:rPr>
          <w:rFonts w:cstheme="minorHAnsi"/>
          <w:noProof/>
        </w:rPr>
        <w:lastRenderedPageBreak/>
        <w:drawing>
          <wp:inline distT="0" distB="0" distL="0" distR="0" wp14:anchorId="60012344" wp14:editId="6533BA28">
            <wp:extent cx="5863135" cy="3681095"/>
            <wp:effectExtent l="19050" t="19050" r="23495" b="14605"/>
            <wp:docPr id="33" name="Picture 33" descr="A graph of a black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aph of a black person&#10;&#10;Description automatically generated with medium confidence"/>
                    <pic:cNvPicPr>
                      <a:picLocks noChangeAspect="1" noChangeArrowheads="1"/>
                    </pic:cNvPicPr>
                  </pic:nvPicPr>
                  <pic:blipFill rotWithShape="1">
                    <a:blip r:embed="rId104">
                      <a:extLst>
                        <a:ext uri="{28A0092B-C50C-407E-A947-70E740481C1C}">
                          <a14:useLocalDpi xmlns:a14="http://schemas.microsoft.com/office/drawing/2010/main" val="0"/>
                        </a:ext>
                      </a:extLst>
                    </a:blip>
                    <a:srcRect t="904" r="8479" b="1387"/>
                    <a:stretch/>
                  </pic:blipFill>
                  <pic:spPr bwMode="auto">
                    <a:xfrm>
                      <a:off x="0" y="0"/>
                      <a:ext cx="5886754" cy="3695924"/>
                    </a:xfrm>
                    <a:prstGeom prst="rect">
                      <a:avLst/>
                    </a:prstGeom>
                    <a:noFill/>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C92999B" w14:textId="0F88404F" w:rsidR="00773F7C" w:rsidRPr="0017357E" w:rsidRDefault="00773F7C" w:rsidP="00E35E2F">
      <w:pPr>
        <w:pStyle w:val="Caption"/>
        <w:spacing w:after="0" w:line="259" w:lineRule="auto"/>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Pr="0017357E" w:rsidDel="003C5721">
        <w:rPr>
          <w:rFonts w:cstheme="minorHAnsi"/>
          <w:i w:val="0"/>
          <w:iCs w:val="0"/>
          <w:color w:val="000000" w:themeColor="text1"/>
          <w:sz w:val="24"/>
          <w:szCs w:val="24"/>
          <w:u w:val="single"/>
        </w:rPr>
        <w:t xml:space="preserve"> </w:t>
      </w:r>
      <w:r w:rsidR="003C5721">
        <w:rPr>
          <w:rFonts w:cstheme="minorHAnsi"/>
          <w:i w:val="0"/>
          <w:iCs w:val="0"/>
          <w:color w:val="000000" w:themeColor="text1"/>
          <w:sz w:val="24"/>
          <w:szCs w:val="24"/>
          <w:u w:val="single"/>
        </w:rPr>
        <w:t>28</w:t>
      </w:r>
      <w:r w:rsidR="003C5721">
        <w:rPr>
          <w:rFonts w:cstheme="minorHAnsi"/>
          <w:i w:val="0"/>
          <w:iCs w:val="0"/>
          <w:color w:val="000000" w:themeColor="text1"/>
          <w:sz w:val="24"/>
          <w:szCs w:val="24"/>
        </w:rPr>
        <w:t>:</w:t>
      </w:r>
      <w:r w:rsidRPr="0017357E">
        <w:rPr>
          <w:rFonts w:cstheme="minorHAnsi"/>
          <w:i w:val="0"/>
          <w:iCs w:val="0"/>
          <w:color w:val="000000" w:themeColor="text1"/>
          <w:sz w:val="24"/>
          <w:szCs w:val="24"/>
        </w:rPr>
        <w:t xml:space="preserve"> Distribution of the mean scorings</w:t>
      </w:r>
    </w:p>
    <w:p w14:paraId="247D85E7" w14:textId="77777777" w:rsidR="00773F7C" w:rsidRPr="0017357E" w:rsidRDefault="00773F7C" w:rsidP="00E35E2F">
      <w:pPr>
        <w:spacing w:line="259" w:lineRule="auto"/>
        <w:jc w:val="both"/>
        <w:rPr>
          <w:rFonts w:cstheme="minorHAnsi"/>
          <w:color w:val="000000"/>
        </w:rPr>
      </w:pPr>
    </w:p>
    <w:p w14:paraId="7F1BB26F" w14:textId="28FD937C" w:rsidR="00773F7C" w:rsidRPr="0017357E" w:rsidRDefault="00773F7C" w:rsidP="00EB11F2">
      <w:pPr>
        <w:spacing w:line="259" w:lineRule="auto"/>
        <w:rPr>
          <w:rFonts w:cstheme="minorHAnsi"/>
          <w:color w:val="000000"/>
        </w:rPr>
      </w:pPr>
      <w:r w:rsidRPr="06D755CD">
        <w:rPr>
          <w:color w:val="000000" w:themeColor="text1"/>
        </w:rPr>
        <w:t>Participants who self-identified as Black African, Black Caribbean, Chinese, Indian and Mixed</w:t>
      </w:r>
      <w:r w:rsidR="005B224D" w:rsidRPr="06D755CD">
        <w:rPr>
          <w:color w:val="000000" w:themeColor="text1"/>
        </w:rPr>
        <w:t xml:space="preserve"> (</w:t>
      </w:r>
      <w:r w:rsidRPr="06D755CD">
        <w:rPr>
          <w:color w:val="000000" w:themeColor="text1"/>
        </w:rPr>
        <w:t>White and Black Caribbean</w:t>
      </w:r>
      <w:r w:rsidR="005B224D" w:rsidRPr="06D755CD">
        <w:rPr>
          <w:color w:val="000000" w:themeColor="text1"/>
        </w:rPr>
        <w:t xml:space="preserve">) </w:t>
      </w:r>
      <w:r w:rsidRPr="06D755CD">
        <w:rPr>
          <w:color w:val="000000" w:themeColor="text1"/>
        </w:rPr>
        <w:t xml:space="preserve">experienced racism more frequently than their </w:t>
      </w:r>
      <w:r w:rsidR="00532D37">
        <w:rPr>
          <w:color w:val="000000" w:themeColor="text1"/>
        </w:rPr>
        <w:t>W</w:t>
      </w:r>
      <w:r w:rsidR="00532D37" w:rsidRPr="06D755CD">
        <w:rPr>
          <w:color w:val="000000" w:themeColor="text1"/>
        </w:rPr>
        <w:t xml:space="preserve">hite </w:t>
      </w:r>
      <w:r w:rsidRPr="06D755CD">
        <w:rPr>
          <w:color w:val="000000" w:themeColor="text1"/>
        </w:rPr>
        <w:t xml:space="preserve">counterparts. </w:t>
      </w:r>
    </w:p>
    <w:p w14:paraId="64995870" w14:textId="77777777" w:rsidR="00773F7C" w:rsidRPr="0017357E" w:rsidRDefault="00773F7C" w:rsidP="00C32017">
      <w:pPr>
        <w:autoSpaceDE w:val="0"/>
        <w:autoSpaceDN w:val="0"/>
        <w:adjustRightInd w:val="0"/>
        <w:spacing w:before="240"/>
        <w:ind w:hanging="567"/>
        <w:rPr>
          <w:rFonts w:cstheme="minorHAnsi"/>
        </w:rPr>
      </w:pPr>
      <w:r w:rsidRPr="0017357E">
        <w:rPr>
          <w:rFonts w:cstheme="minorHAnsi"/>
          <w:noProof/>
        </w:rPr>
        <w:lastRenderedPageBreak/>
        <w:drawing>
          <wp:inline distT="0" distB="0" distL="0" distR="0" wp14:anchorId="332D9DDE" wp14:editId="0C79875F">
            <wp:extent cx="6312738" cy="4282477"/>
            <wp:effectExtent l="19050" t="19050" r="12065" b="22860"/>
            <wp:docPr id="59" name="Picture 59" descr="A graph of black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graph of black people&#10;&#10;Description automatically generated with medium confidence"/>
                    <pic:cNvPicPr>
                      <a:picLocks noChangeAspect="1" noChangeArrowheads="1"/>
                    </pic:cNvPicPr>
                  </pic:nvPicPr>
                  <pic:blipFill rotWithShape="1">
                    <a:blip r:embed="rId105">
                      <a:extLst>
                        <a:ext uri="{28A0092B-C50C-407E-A947-70E740481C1C}">
                          <a14:useLocalDpi xmlns:a14="http://schemas.microsoft.com/office/drawing/2010/main" val="0"/>
                        </a:ext>
                      </a:extLst>
                    </a:blip>
                    <a:srcRect r="2109"/>
                    <a:stretch/>
                  </pic:blipFill>
                  <pic:spPr bwMode="auto">
                    <a:xfrm>
                      <a:off x="0" y="0"/>
                      <a:ext cx="6327921" cy="4292777"/>
                    </a:xfrm>
                    <a:prstGeom prst="rect">
                      <a:avLst/>
                    </a:prstGeom>
                    <a:noFill/>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E2B426" w14:textId="36008117" w:rsidR="00773F7C" w:rsidRPr="0017357E" w:rsidRDefault="00773F7C" w:rsidP="00E35E2F">
      <w:pPr>
        <w:pStyle w:val="Caption"/>
        <w:spacing w:after="0" w:line="259" w:lineRule="auto"/>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Pr="0017357E" w:rsidDel="009D5BC3">
        <w:rPr>
          <w:rFonts w:cstheme="minorHAnsi"/>
          <w:i w:val="0"/>
          <w:iCs w:val="0"/>
          <w:color w:val="000000" w:themeColor="text1"/>
          <w:sz w:val="24"/>
          <w:szCs w:val="24"/>
          <w:u w:val="single"/>
        </w:rPr>
        <w:t xml:space="preserve"> </w:t>
      </w:r>
      <w:r w:rsidR="009D5BC3">
        <w:rPr>
          <w:rFonts w:cstheme="minorHAnsi"/>
          <w:i w:val="0"/>
          <w:iCs w:val="0"/>
          <w:color w:val="000000" w:themeColor="text1"/>
          <w:sz w:val="24"/>
          <w:szCs w:val="24"/>
          <w:u w:val="single"/>
        </w:rPr>
        <w:t>29</w:t>
      </w:r>
      <w:r w:rsidR="009D5BC3" w:rsidRPr="00E10527">
        <w:rPr>
          <w:rFonts w:cstheme="minorHAnsi"/>
          <w:i w:val="0"/>
          <w:iCs w:val="0"/>
          <w:color w:val="000000" w:themeColor="text1"/>
          <w:sz w:val="24"/>
          <w:szCs w:val="24"/>
        </w:rPr>
        <w:t>:</w:t>
      </w:r>
      <w:r w:rsidRPr="0017357E" w:rsidDel="009D5BC3">
        <w:rPr>
          <w:rFonts w:cstheme="minorHAnsi"/>
          <w:i w:val="0"/>
          <w:iCs w:val="0"/>
          <w:color w:val="000000" w:themeColor="text1"/>
          <w:sz w:val="24"/>
          <w:szCs w:val="24"/>
        </w:rPr>
        <w:t xml:space="preserve"> </w:t>
      </w:r>
      <w:r w:rsidRPr="0017357E">
        <w:rPr>
          <w:rFonts w:cstheme="minorHAnsi"/>
          <w:i w:val="0"/>
          <w:iCs w:val="0"/>
          <w:color w:val="000000" w:themeColor="text1"/>
          <w:sz w:val="24"/>
          <w:szCs w:val="24"/>
        </w:rPr>
        <w:t xml:space="preserve">Mean scores of perceived experiences </w:t>
      </w:r>
      <w:r w:rsidRPr="0017357E">
        <w:rPr>
          <w:rFonts w:cstheme="minorHAnsi"/>
          <w:i w:val="0"/>
          <w:iCs w:val="0"/>
          <w:noProof/>
          <w:color w:val="000000" w:themeColor="text1"/>
          <w:sz w:val="24"/>
          <w:szCs w:val="24"/>
        </w:rPr>
        <w:t>of racism for each ethnic group</w:t>
      </w:r>
    </w:p>
    <w:p w14:paraId="2428E747" w14:textId="77777777" w:rsidR="00773F7C" w:rsidRPr="0017357E" w:rsidRDefault="00773F7C" w:rsidP="00E35E2F">
      <w:pPr>
        <w:spacing w:line="259" w:lineRule="auto"/>
        <w:jc w:val="both"/>
        <w:rPr>
          <w:rFonts w:cstheme="minorHAnsi"/>
          <w:color w:val="000000" w:themeColor="text1"/>
        </w:rPr>
      </w:pPr>
    </w:p>
    <w:p w14:paraId="3926127C" w14:textId="70CB2376" w:rsidR="00773F7C" w:rsidRPr="0017357E" w:rsidRDefault="00773F7C" w:rsidP="00EB11F2">
      <w:pPr>
        <w:spacing w:line="259" w:lineRule="auto"/>
        <w:rPr>
          <w:rFonts w:cstheme="minorHAnsi"/>
          <w:color w:val="000000" w:themeColor="text1"/>
        </w:rPr>
      </w:pPr>
      <w:r w:rsidRPr="0017357E">
        <w:rPr>
          <w:rFonts w:cstheme="minorHAnsi"/>
          <w:color w:val="000000" w:themeColor="text1"/>
        </w:rPr>
        <w:t>No differences in experiences of racism were found between students and staff members, different age groups, participants holding different levels of qualifications</w:t>
      </w:r>
      <w:r w:rsidR="005B224D">
        <w:rPr>
          <w:rFonts w:cstheme="minorHAnsi"/>
          <w:color w:val="000000" w:themeColor="text1"/>
        </w:rPr>
        <w:t xml:space="preserve"> or </w:t>
      </w:r>
      <w:r w:rsidRPr="0017357E">
        <w:rPr>
          <w:rFonts w:cstheme="minorHAnsi"/>
          <w:color w:val="000000" w:themeColor="text1"/>
        </w:rPr>
        <w:t>staff members working on different contract types and receiving different pay range. These findings provide strong evidence for participants’ racial and ethnic backgrounds in determining their experiences of racism. Figure</w:t>
      </w:r>
      <w:r w:rsidR="009E73B5">
        <w:rPr>
          <w:rFonts w:cstheme="minorHAnsi"/>
          <w:color w:val="000000" w:themeColor="text1"/>
        </w:rPr>
        <w:t>s</w:t>
      </w:r>
      <w:r w:rsidRPr="0017357E">
        <w:rPr>
          <w:rFonts w:cstheme="minorHAnsi"/>
          <w:color w:val="000000" w:themeColor="text1"/>
        </w:rPr>
        <w:t xml:space="preserve"> </w:t>
      </w:r>
      <w:r w:rsidR="009E73B5">
        <w:rPr>
          <w:rFonts w:cstheme="minorHAnsi"/>
          <w:color w:val="000000" w:themeColor="text1"/>
        </w:rPr>
        <w:t>3</w:t>
      </w:r>
      <w:r w:rsidRPr="0017357E">
        <w:rPr>
          <w:rFonts w:cstheme="minorHAnsi"/>
          <w:color w:val="000000" w:themeColor="text1"/>
        </w:rPr>
        <w:t xml:space="preserve">0 to </w:t>
      </w:r>
      <w:r w:rsidR="009E73B5">
        <w:rPr>
          <w:rFonts w:cstheme="minorHAnsi"/>
          <w:color w:val="000000" w:themeColor="text1"/>
        </w:rPr>
        <w:t>3</w:t>
      </w:r>
      <w:r w:rsidRPr="0017357E">
        <w:rPr>
          <w:rFonts w:cstheme="minorHAnsi"/>
          <w:color w:val="000000" w:themeColor="text1"/>
        </w:rPr>
        <w:t>8 below display the mean scores between groups of participants by different demographics.</w:t>
      </w:r>
    </w:p>
    <w:p w14:paraId="04A0027B" w14:textId="77777777" w:rsidR="00773F7C" w:rsidRPr="0017357E" w:rsidRDefault="00773F7C" w:rsidP="00C32017">
      <w:pPr>
        <w:autoSpaceDE w:val="0"/>
        <w:autoSpaceDN w:val="0"/>
        <w:adjustRightInd w:val="0"/>
        <w:rPr>
          <w:rFonts w:cstheme="minorHAnsi"/>
        </w:rPr>
      </w:pPr>
      <w:r w:rsidRPr="0017357E">
        <w:rPr>
          <w:rFonts w:cstheme="minorHAnsi"/>
          <w:noProof/>
        </w:rPr>
        <w:lastRenderedPageBreak/>
        <w:drawing>
          <wp:inline distT="0" distB="0" distL="0" distR="0" wp14:anchorId="4FA973A1" wp14:editId="2D4AFE23">
            <wp:extent cx="5644771" cy="3347713"/>
            <wp:effectExtent l="19050" t="19050" r="13335" b="24765"/>
            <wp:docPr id="60" name="Picture 60" descr="A graph of numbers and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graph of numbers and a number of people&#10;&#10;Description automatically generated with medium confidence"/>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649601" cy="3350578"/>
                    </a:xfrm>
                    <a:prstGeom prst="rect">
                      <a:avLst/>
                    </a:prstGeom>
                    <a:noFill/>
                    <a:ln>
                      <a:solidFill>
                        <a:schemeClr val="bg2"/>
                      </a:solidFill>
                    </a:ln>
                  </pic:spPr>
                </pic:pic>
              </a:graphicData>
            </a:graphic>
          </wp:inline>
        </w:drawing>
      </w:r>
    </w:p>
    <w:p w14:paraId="098BDD96" w14:textId="4CC45CD0" w:rsidR="00773F7C" w:rsidRPr="0017357E" w:rsidRDefault="00773F7C" w:rsidP="00E35E2F">
      <w:pPr>
        <w:pStyle w:val="Caption"/>
        <w:spacing w:after="0" w:line="259" w:lineRule="auto"/>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009E73B5">
        <w:rPr>
          <w:rFonts w:cstheme="minorHAnsi"/>
          <w:i w:val="0"/>
          <w:iCs w:val="0"/>
          <w:color w:val="000000" w:themeColor="text1"/>
          <w:sz w:val="24"/>
          <w:szCs w:val="24"/>
          <w:u w:val="single"/>
        </w:rPr>
        <w:t xml:space="preserve"> 30</w:t>
      </w:r>
      <w:r w:rsidR="009E73B5" w:rsidRPr="00E10527">
        <w:rPr>
          <w:rFonts w:cstheme="minorHAnsi"/>
          <w:i w:val="0"/>
          <w:color w:val="000000" w:themeColor="text1"/>
          <w:sz w:val="24"/>
          <w:szCs w:val="24"/>
        </w:rPr>
        <w:t>:</w:t>
      </w:r>
      <w:r w:rsidRPr="0017357E" w:rsidDel="009E73B5">
        <w:rPr>
          <w:rFonts w:cstheme="minorHAnsi"/>
          <w:i w:val="0"/>
          <w:color w:val="000000" w:themeColor="text1"/>
          <w:sz w:val="24"/>
          <w:szCs w:val="24"/>
        </w:rPr>
        <w:t xml:space="preserve"> </w:t>
      </w:r>
      <w:r w:rsidRPr="0017357E">
        <w:rPr>
          <w:rFonts w:cstheme="minorHAnsi"/>
          <w:i w:val="0"/>
          <w:iCs w:val="0"/>
          <w:color w:val="000000" w:themeColor="text1"/>
          <w:sz w:val="24"/>
          <w:szCs w:val="24"/>
        </w:rPr>
        <w:t>Perceived experiences of racism based on the duration participants have spent in the University</w:t>
      </w:r>
    </w:p>
    <w:p w14:paraId="55C0801C" w14:textId="77777777" w:rsidR="00773F7C" w:rsidRPr="0017357E" w:rsidRDefault="00773F7C" w:rsidP="00C32017">
      <w:pPr>
        <w:autoSpaceDE w:val="0"/>
        <w:autoSpaceDN w:val="0"/>
        <w:adjustRightInd w:val="0"/>
        <w:spacing w:before="240"/>
        <w:jc w:val="center"/>
        <w:rPr>
          <w:rFonts w:cstheme="minorHAnsi"/>
        </w:rPr>
      </w:pPr>
      <w:r w:rsidRPr="0017357E">
        <w:rPr>
          <w:rFonts w:cstheme="minorHAnsi"/>
          <w:noProof/>
        </w:rPr>
        <w:drawing>
          <wp:inline distT="0" distB="0" distL="0" distR="0" wp14:anchorId="66D8CDB9" wp14:editId="31044827">
            <wp:extent cx="5429131" cy="2313966"/>
            <wp:effectExtent l="19050" t="19050" r="19685" b="10160"/>
            <wp:docPr id="61" name="Picture 61" descr="A pink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nk rectangular object with black text&#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46357" cy="2321308"/>
                    </a:xfrm>
                    <a:prstGeom prst="rect">
                      <a:avLst/>
                    </a:prstGeom>
                    <a:noFill/>
                    <a:ln>
                      <a:solidFill>
                        <a:schemeClr val="bg2"/>
                      </a:solidFill>
                    </a:ln>
                  </pic:spPr>
                </pic:pic>
              </a:graphicData>
            </a:graphic>
          </wp:inline>
        </w:drawing>
      </w:r>
    </w:p>
    <w:p w14:paraId="54FF89FD" w14:textId="1DF3C753" w:rsidR="00773F7C" w:rsidRPr="0017357E" w:rsidRDefault="00773F7C" w:rsidP="00E35E2F">
      <w:pPr>
        <w:pStyle w:val="Caption"/>
        <w:spacing w:after="0" w:line="259" w:lineRule="auto"/>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Pr="0017357E" w:rsidDel="00045CF3">
        <w:rPr>
          <w:rFonts w:cstheme="minorHAnsi"/>
          <w:i w:val="0"/>
          <w:iCs w:val="0"/>
          <w:color w:val="000000" w:themeColor="text1"/>
          <w:sz w:val="24"/>
          <w:szCs w:val="24"/>
          <w:u w:val="single"/>
        </w:rPr>
        <w:t xml:space="preserve"> </w:t>
      </w:r>
      <w:r w:rsidR="00045CF3">
        <w:rPr>
          <w:rFonts w:cstheme="minorHAnsi"/>
          <w:i w:val="0"/>
          <w:iCs w:val="0"/>
          <w:color w:val="000000" w:themeColor="text1"/>
          <w:sz w:val="24"/>
          <w:szCs w:val="24"/>
          <w:u w:val="single"/>
        </w:rPr>
        <w:t>31</w:t>
      </w:r>
      <w:r w:rsidR="00045CF3" w:rsidRPr="00E10527">
        <w:rPr>
          <w:rFonts w:cstheme="minorHAnsi"/>
          <w:i w:val="0"/>
          <w:iCs w:val="0"/>
          <w:color w:val="000000" w:themeColor="text1"/>
          <w:sz w:val="24"/>
          <w:szCs w:val="24"/>
        </w:rPr>
        <w:t>:</w:t>
      </w:r>
      <w:r w:rsidRPr="0017357E" w:rsidDel="00045CF3">
        <w:rPr>
          <w:rFonts w:cstheme="minorHAnsi"/>
          <w:i w:val="0"/>
          <w:iCs w:val="0"/>
          <w:color w:val="000000" w:themeColor="text1"/>
          <w:sz w:val="24"/>
          <w:szCs w:val="24"/>
        </w:rPr>
        <w:t xml:space="preserve"> </w:t>
      </w:r>
      <w:r w:rsidRPr="0017357E">
        <w:rPr>
          <w:rFonts w:cstheme="minorHAnsi"/>
          <w:i w:val="0"/>
          <w:iCs w:val="0"/>
          <w:color w:val="000000" w:themeColor="text1"/>
          <w:sz w:val="24"/>
          <w:szCs w:val="24"/>
        </w:rPr>
        <w:t>Mean scores in perceived experiences of racism for students and staff members</w:t>
      </w:r>
    </w:p>
    <w:p w14:paraId="6A5D8440" w14:textId="77777777" w:rsidR="00773F7C" w:rsidRPr="0017357E" w:rsidRDefault="00773F7C" w:rsidP="00C32017">
      <w:pPr>
        <w:autoSpaceDE w:val="0"/>
        <w:autoSpaceDN w:val="0"/>
        <w:adjustRightInd w:val="0"/>
        <w:spacing w:before="240"/>
        <w:jc w:val="center"/>
        <w:rPr>
          <w:rFonts w:cstheme="minorHAnsi"/>
        </w:rPr>
      </w:pPr>
      <w:r w:rsidRPr="0017357E">
        <w:rPr>
          <w:rFonts w:cstheme="minorHAnsi"/>
          <w:noProof/>
        </w:rPr>
        <w:lastRenderedPageBreak/>
        <w:drawing>
          <wp:inline distT="0" distB="0" distL="0" distR="0" wp14:anchorId="41A2F4DC" wp14:editId="0C50C5EE">
            <wp:extent cx="5260880" cy="3078991"/>
            <wp:effectExtent l="19050" t="19050" r="16510" b="26670"/>
            <wp:docPr id="62" name="Picture 62" descr="A graph of pink rectangular objects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graph of pink rectangular objects with black text&#10;&#10;Description automatically generated with medium confidence"/>
                    <pic:cNvPicPr>
                      <a:picLocks noChangeAspect="1" noChangeArrowheads="1"/>
                    </pic:cNvPicPr>
                  </pic:nvPicPr>
                  <pic:blipFill rotWithShape="1">
                    <a:blip r:embed="rId108">
                      <a:extLst>
                        <a:ext uri="{28A0092B-C50C-407E-A947-70E740481C1C}">
                          <a14:useLocalDpi xmlns:a14="http://schemas.microsoft.com/office/drawing/2010/main" val="0"/>
                        </a:ext>
                      </a:extLst>
                    </a:blip>
                    <a:srcRect b="4457"/>
                    <a:stretch/>
                  </pic:blipFill>
                  <pic:spPr bwMode="auto">
                    <a:xfrm>
                      <a:off x="0" y="0"/>
                      <a:ext cx="5262343" cy="3079847"/>
                    </a:xfrm>
                    <a:prstGeom prst="rect">
                      <a:avLst/>
                    </a:prstGeom>
                    <a:noFill/>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A7872F" w14:textId="5061FC98" w:rsidR="00773F7C" w:rsidRPr="0017357E" w:rsidRDefault="00773F7C" w:rsidP="00C32017">
      <w:pPr>
        <w:pStyle w:val="Caption"/>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Pr="0017357E" w:rsidDel="00045CF3">
        <w:rPr>
          <w:rFonts w:cstheme="minorHAnsi"/>
          <w:i w:val="0"/>
          <w:iCs w:val="0"/>
          <w:color w:val="000000" w:themeColor="text1"/>
          <w:sz w:val="24"/>
          <w:szCs w:val="24"/>
          <w:u w:val="single"/>
        </w:rPr>
        <w:t xml:space="preserve"> </w:t>
      </w:r>
      <w:r w:rsidR="00045CF3">
        <w:rPr>
          <w:rFonts w:cstheme="minorHAnsi"/>
          <w:i w:val="0"/>
          <w:iCs w:val="0"/>
          <w:color w:val="000000" w:themeColor="text1"/>
          <w:sz w:val="24"/>
          <w:szCs w:val="24"/>
          <w:u w:val="single"/>
        </w:rPr>
        <w:t>32</w:t>
      </w:r>
      <w:r w:rsidR="00045CF3">
        <w:rPr>
          <w:rFonts w:cstheme="minorHAnsi"/>
          <w:i w:val="0"/>
          <w:iCs w:val="0"/>
          <w:color w:val="000000" w:themeColor="text1"/>
          <w:sz w:val="24"/>
          <w:szCs w:val="24"/>
        </w:rPr>
        <w:t>:</w:t>
      </w:r>
      <w:r w:rsidRPr="0017357E">
        <w:rPr>
          <w:rFonts w:cstheme="minorHAnsi"/>
          <w:i w:val="0"/>
          <w:iCs w:val="0"/>
          <w:color w:val="000000" w:themeColor="text1"/>
          <w:sz w:val="24"/>
          <w:szCs w:val="24"/>
        </w:rPr>
        <w:t xml:space="preserve"> Mean scores in perceived experiences of racism for different gender categories</w:t>
      </w:r>
    </w:p>
    <w:p w14:paraId="55F9DA2F" w14:textId="77777777" w:rsidR="00773F7C" w:rsidRPr="0017357E" w:rsidRDefault="00773F7C" w:rsidP="00C32017">
      <w:pPr>
        <w:autoSpaceDE w:val="0"/>
        <w:autoSpaceDN w:val="0"/>
        <w:adjustRightInd w:val="0"/>
        <w:spacing w:before="240"/>
        <w:jc w:val="center"/>
        <w:rPr>
          <w:rFonts w:cstheme="minorHAnsi"/>
        </w:rPr>
      </w:pPr>
      <w:r w:rsidRPr="0017357E">
        <w:rPr>
          <w:rFonts w:cstheme="minorHAnsi"/>
          <w:noProof/>
        </w:rPr>
        <w:drawing>
          <wp:inline distT="0" distB="0" distL="0" distR="0" wp14:anchorId="29245FF2" wp14:editId="11C5F310">
            <wp:extent cx="5597004" cy="3185443"/>
            <wp:effectExtent l="19050" t="19050" r="22860" b="15240"/>
            <wp:docPr id="63" name="Picture 63"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aph of a number of people&#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02791" cy="3188736"/>
                    </a:xfrm>
                    <a:prstGeom prst="rect">
                      <a:avLst/>
                    </a:prstGeom>
                    <a:noFill/>
                    <a:ln>
                      <a:solidFill>
                        <a:schemeClr val="bg2"/>
                      </a:solidFill>
                    </a:ln>
                  </pic:spPr>
                </pic:pic>
              </a:graphicData>
            </a:graphic>
          </wp:inline>
        </w:drawing>
      </w:r>
    </w:p>
    <w:p w14:paraId="6D341B2F" w14:textId="471100AC" w:rsidR="00773F7C" w:rsidRPr="0017357E" w:rsidRDefault="00773F7C" w:rsidP="00C32017">
      <w:pPr>
        <w:pStyle w:val="Caption"/>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Pr="0017357E" w:rsidDel="00225DB5">
        <w:rPr>
          <w:rFonts w:cstheme="minorHAnsi"/>
          <w:i w:val="0"/>
          <w:iCs w:val="0"/>
          <w:color w:val="000000" w:themeColor="text1"/>
          <w:sz w:val="24"/>
          <w:szCs w:val="24"/>
          <w:u w:val="single"/>
        </w:rPr>
        <w:t xml:space="preserve"> </w:t>
      </w:r>
      <w:r w:rsidR="00225DB5">
        <w:rPr>
          <w:rFonts w:cstheme="minorHAnsi"/>
          <w:i w:val="0"/>
          <w:iCs w:val="0"/>
          <w:color w:val="000000" w:themeColor="text1"/>
          <w:sz w:val="24"/>
          <w:szCs w:val="24"/>
          <w:u w:val="single"/>
        </w:rPr>
        <w:t>33</w:t>
      </w:r>
      <w:r w:rsidR="00225DB5" w:rsidRPr="00E10527">
        <w:rPr>
          <w:rFonts w:cstheme="minorHAnsi"/>
          <w:i w:val="0"/>
          <w:iCs w:val="0"/>
          <w:color w:val="000000" w:themeColor="text1"/>
          <w:sz w:val="24"/>
          <w:szCs w:val="24"/>
        </w:rPr>
        <w:t>:</w:t>
      </w:r>
      <w:r w:rsidRPr="0017357E" w:rsidDel="00225DB5">
        <w:rPr>
          <w:rFonts w:cstheme="minorHAnsi"/>
          <w:i w:val="0"/>
          <w:iCs w:val="0"/>
          <w:color w:val="000000" w:themeColor="text1"/>
          <w:sz w:val="24"/>
          <w:szCs w:val="24"/>
        </w:rPr>
        <w:t xml:space="preserve"> </w:t>
      </w:r>
      <w:r w:rsidRPr="0017357E">
        <w:rPr>
          <w:rFonts w:cstheme="minorHAnsi"/>
          <w:i w:val="0"/>
          <w:iCs w:val="0"/>
          <w:color w:val="000000" w:themeColor="text1"/>
          <w:sz w:val="24"/>
          <w:szCs w:val="24"/>
        </w:rPr>
        <w:t>Mean scores in perceived experiences of racism for different age groups</w:t>
      </w:r>
    </w:p>
    <w:p w14:paraId="0303B950" w14:textId="77777777" w:rsidR="00773F7C" w:rsidRPr="0017357E" w:rsidRDefault="00773F7C" w:rsidP="00C32017">
      <w:pPr>
        <w:autoSpaceDE w:val="0"/>
        <w:autoSpaceDN w:val="0"/>
        <w:adjustRightInd w:val="0"/>
        <w:jc w:val="center"/>
        <w:rPr>
          <w:rFonts w:cstheme="minorHAnsi"/>
        </w:rPr>
      </w:pPr>
      <w:r w:rsidRPr="0017357E">
        <w:rPr>
          <w:rFonts w:cstheme="minorHAnsi"/>
          <w:noProof/>
        </w:rPr>
        <w:lastRenderedPageBreak/>
        <w:drawing>
          <wp:inline distT="0" distB="0" distL="0" distR="0" wp14:anchorId="4EC7605F" wp14:editId="720A57BE">
            <wp:extent cx="5731510" cy="2547620"/>
            <wp:effectExtent l="19050" t="19050" r="21590" b="24130"/>
            <wp:docPr id="64" name="Picture 64" descr="A pink bar graph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nk bar graph with black text&#10;&#10;Description automatically generated"/>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1510" cy="2547620"/>
                    </a:xfrm>
                    <a:prstGeom prst="rect">
                      <a:avLst/>
                    </a:prstGeom>
                    <a:noFill/>
                    <a:ln>
                      <a:solidFill>
                        <a:schemeClr val="bg2"/>
                      </a:solidFill>
                    </a:ln>
                  </pic:spPr>
                </pic:pic>
              </a:graphicData>
            </a:graphic>
          </wp:inline>
        </w:drawing>
      </w:r>
    </w:p>
    <w:p w14:paraId="40E8E072" w14:textId="4C3843B8" w:rsidR="00773F7C" w:rsidRPr="0017357E" w:rsidRDefault="00773F7C" w:rsidP="00C32017">
      <w:pPr>
        <w:pStyle w:val="Caption"/>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Pr="0017357E" w:rsidDel="00225DB5">
        <w:rPr>
          <w:rFonts w:cstheme="minorHAnsi"/>
          <w:i w:val="0"/>
          <w:iCs w:val="0"/>
          <w:color w:val="000000" w:themeColor="text1"/>
          <w:sz w:val="24"/>
          <w:szCs w:val="24"/>
          <w:u w:val="single"/>
        </w:rPr>
        <w:t xml:space="preserve"> </w:t>
      </w:r>
      <w:r w:rsidR="00225DB5">
        <w:rPr>
          <w:rFonts w:cstheme="minorHAnsi"/>
          <w:i w:val="0"/>
          <w:iCs w:val="0"/>
          <w:color w:val="000000" w:themeColor="text1"/>
          <w:sz w:val="24"/>
          <w:szCs w:val="24"/>
          <w:u w:val="single"/>
        </w:rPr>
        <w:t>34</w:t>
      </w:r>
      <w:r w:rsidR="00225DB5" w:rsidRPr="00E10527">
        <w:rPr>
          <w:rFonts w:cstheme="minorHAnsi"/>
          <w:i w:val="0"/>
          <w:iCs w:val="0"/>
          <w:color w:val="000000" w:themeColor="text1"/>
          <w:sz w:val="24"/>
          <w:szCs w:val="24"/>
        </w:rPr>
        <w:t>:</w:t>
      </w:r>
      <w:r w:rsidRPr="0017357E" w:rsidDel="00225DB5">
        <w:rPr>
          <w:rFonts w:cstheme="minorHAnsi"/>
          <w:i w:val="0"/>
          <w:iCs w:val="0"/>
          <w:color w:val="000000" w:themeColor="text1"/>
          <w:sz w:val="24"/>
          <w:szCs w:val="24"/>
        </w:rPr>
        <w:t xml:space="preserve"> </w:t>
      </w:r>
      <w:r w:rsidRPr="0017357E">
        <w:rPr>
          <w:rFonts w:cstheme="minorHAnsi"/>
          <w:i w:val="0"/>
          <w:iCs w:val="0"/>
          <w:color w:val="000000" w:themeColor="text1"/>
          <w:sz w:val="24"/>
          <w:szCs w:val="24"/>
        </w:rPr>
        <w:t>Mean scores in perceived experiences of racism for different religious groups</w:t>
      </w:r>
    </w:p>
    <w:p w14:paraId="40F7399A" w14:textId="77777777" w:rsidR="00773F7C" w:rsidRPr="0017357E" w:rsidRDefault="00773F7C" w:rsidP="00C32017">
      <w:pPr>
        <w:autoSpaceDE w:val="0"/>
        <w:autoSpaceDN w:val="0"/>
        <w:adjustRightInd w:val="0"/>
        <w:spacing w:before="240"/>
        <w:jc w:val="center"/>
        <w:rPr>
          <w:rFonts w:cstheme="minorHAnsi"/>
        </w:rPr>
      </w:pPr>
      <w:r w:rsidRPr="0017357E">
        <w:rPr>
          <w:rFonts w:cstheme="minorHAnsi"/>
          <w:noProof/>
        </w:rPr>
        <w:drawing>
          <wp:inline distT="0" distB="0" distL="0" distR="0" wp14:anchorId="2668E351" wp14:editId="36EBA171">
            <wp:extent cx="5731510" cy="2626360"/>
            <wp:effectExtent l="19050" t="19050" r="21590" b="21590"/>
            <wp:docPr id="65" name="Picture 65" descr="A graph with pink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graph with pink squares&#10;&#10;Description automatically generated with medium confidenc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1510" cy="2626360"/>
                    </a:xfrm>
                    <a:prstGeom prst="rect">
                      <a:avLst/>
                    </a:prstGeom>
                    <a:noFill/>
                    <a:ln>
                      <a:solidFill>
                        <a:schemeClr val="bg2"/>
                      </a:solidFill>
                    </a:ln>
                  </pic:spPr>
                </pic:pic>
              </a:graphicData>
            </a:graphic>
          </wp:inline>
        </w:drawing>
      </w:r>
    </w:p>
    <w:p w14:paraId="67699EA9" w14:textId="3B9DDE0B" w:rsidR="00773F7C" w:rsidRPr="0017357E" w:rsidRDefault="00773F7C" w:rsidP="00C32017">
      <w:pPr>
        <w:pStyle w:val="Caption"/>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Pr="0017357E" w:rsidDel="00225DB5">
        <w:rPr>
          <w:rFonts w:cstheme="minorHAnsi"/>
          <w:i w:val="0"/>
          <w:iCs w:val="0"/>
          <w:color w:val="000000" w:themeColor="text1"/>
          <w:sz w:val="24"/>
          <w:szCs w:val="24"/>
          <w:u w:val="single"/>
        </w:rPr>
        <w:t xml:space="preserve"> </w:t>
      </w:r>
      <w:r w:rsidR="00225DB5">
        <w:rPr>
          <w:rFonts w:cstheme="minorHAnsi"/>
          <w:i w:val="0"/>
          <w:iCs w:val="0"/>
          <w:color w:val="000000" w:themeColor="text1"/>
          <w:sz w:val="24"/>
          <w:szCs w:val="24"/>
          <w:u w:val="single"/>
        </w:rPr>
        <w:t>35</w:t>
      </w:r>
      <w:r w:rsidR="00225DB5" w:rsidRPr="00E10527">
        <w:rPr>
          <w:rFonts w:cstheme="minorHAnsi"/>
          <w:i w:val="0"/>
          <w:iCs w:val="0"/>
          <w:color w:val="000000" w:themeColor="text1"/>
          <w:sz w:val="24"/>
          <w:szCs w:val="24"/>
        </w:rPr>
        <w:t>:</w:t>
      </w:r>
      <w:r w:rsidRPr="00225DB5">
        <w:rPr>
          <w:rFonts w:cstheme="minorHAnsi"/>
          <w:i w:val="0"/>
          <w:iCs w:val="0"/>
          <w:color w:val="000000" w:themeColor="text1"/>
          <w:sz w:val="24"/>
          <w:szCs w:val="24"/>
        </w:rPr>
        <w:t xml:space="preserve"> </w:t>
      </w:r>
      <w:r w:rsidRPr="0017357E">
        <w:rPr>
          <w:rFonts w:cstheme="minorHAnsi"/>
          <w:i w:val="0"/>
          <w:iCs w:val="0"/>
          <w:color w:val="000000" w:themeColor="text1"/>
          <w:sz w:val="24"/>
          <w:szCs w:val="24"/>
        </w:rPr>
        <w:t>Differences in perceived experiences of racism based on the highest qualifications that participants have attained</w:t>
      </w:r>
    </w:p>
    <w:p w14:paraId="59F8B1CE" w14:textId="77777777" w:rsidR="00773F7C" w:rsidRPr="0017357E" w:rsidRDefault="00773F7C" w:rsidP="00C32017">
      <w:pPr>
        <w:autoSpaceDE w:val="0"/>
        <w:autoSpaceDN w:val="0"/>
        <w:adjustRightInd w:val="0"/>
        <w:jc w:val="center"/>
        <w:rPr>
          <w:rFonts w:cstheme="minorHAnsi"/>
        </w:rPr>
      </w:pPr>
      <w:r w:rsidRPr="0017357E">
        <w:rPr>
          <w:rFonts w:cstheme="minorHAnsi"/>
          <w:noProof/>
        </w:rPr>
        <w:lastRenderedPageBreak/>
        <w:drawing>
          <wp:inline distT="0" distB="0" distL="0" distR="0" wp14:anchorId="1A9C498E" wp14:editId="089D35EF">
            <wp:extent cx="5396985" cy="3608554"/>
            <wp:effectExtent l="19050" t="19050" r="13335" b="11430"/>
            <wp:docPr id="66" name="Picture 66" descr="A graph of pink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graph of pink bars&#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8696" cy="3616384"/>
                    </a:xfrm>
                    <a:prstGeom prst="rect">
                      <a:avLst/>
                    </a:prstGeom>
                    <a:noFill/>
                    <a:ln>
                      <a:solidFill>
                        <a:schemeClr val="bg2"/>
                      </a:solidFill>
                    </a:ln>
                  </pic:spPr>
                </pic:pic>
              </a:graphicData>
            </a:graphic>
          </wp:inline>
        </w:drawing>
      </w:r>
    </w:p>
    <w:p w14:paraId="34CA01B4" w14:textId="42AEDB3F" w:rsidR="00773F7C" w:rsidRPr="0017357E" w:rsidRDefault="00773F7C" w:rsidP="00C32017">
      <w:pPr>
        <w:pStyle w:val="Caption"/>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Pr="0017357E" w:rsidDel="00225DB5">
        <w:rPr>
          <w:rFonts w:cstheme="minorHAnsi"/>
          <w:i w:val="0"/>
          <w:iCs w:val="0"/>
          <w:color w:val="000000" w:themeColor="text1"/>
          <w:sz w:val="24"/>
          <w:szCs w:val="24"/>
          <w:u w:val="single"/>
        </w:rPr>
        <w:t xml:space="preserve"> </w:t>
      </w:r>
      <w:r w:rsidR="008D5B01">
        <w:rPr>
          <w:rFonts w:cstheme="minorHAnsi"/>
          <w:i w:val="0"/>
          <w:iCs w:val="0"/>
          <w:color w:val="000000" w:themeColor="text1"/>
          <w:sz w:val="24"/>
          <w:szCs w:val="24"/>
          <w:u w:val="single"/>
        </w:rPr>
        <w:t>3</w:t>
      </w:r>
      <w:r w:rsidR="00225DB5">
        <w:rPr>
          <w:rFonts w:cstheme="minorHAnsi"/>
          <w:i w:val="0"/>
          <w:iCs w:val="0"/>
          <w:color w:val="000000" w:themeColor="text1"/>
          <w:sz w:val="24"/>
          <w:szCs w:val="24"/>
          <w:u w:val="single"/>
        </w:rPr>
        <w:t xml:space="preserve">6: </w:t>
      </w:r>
      <w:r w:rsidRPr="0017357E">
        <w:rPr>
          <w:rFonts w:cstheme="minorHAnsi"/>
          <w:i w:val="0"/>
          <w:iCs w:val="0"/>
          <w:color w:val="000000" w:themeColor="text1"/>
          <w:sz w:val="24"/>
          <w:szCs w:val="24"/>
        </w:rPr>
        <w:t>Perceived experiences of racism for student participants with different grade</w:t>
      </w:r>
      <w:r w:rsidR="003B1B7D">
        <w:rPr>
          <w:rFonts w:cstheme="minorHAnsi"/>
          <w:i w:val="0"/>
          <w:iCs w:val="0"/>
          <w:color w:val="000000" w:themeColor="text1"/>
          <w:sz w:val="24"/>
          <w:szCs w:val="24"/>
        </w:rPr>
        <w:t>s</w:t>
      </w:r>
    </w:p>
    <w:p w14:paraId="44B03660" w14:textId="77777777" w:rsidR="00773F7C" w:rsidRPr="0017357E" w:rsidRDefault="00773F7C" w:rsidP="00C32017">
      <w:pPr>
        <w:autoSpaceDE w:val="0"/>
        <w:autoSpaceDN w:val="0"/>
        <w:adjustRightInd w:val="0"/>
        <w:spacing w:before="240"/>
        <w:ind w:hanging="284"/>
        <w:rPr>
          <w:rFonts w:cstheme="minorHAnsi"/>
        </w:rPr>
      </w:pPr>
      <w:r w:rsidRPr="0017357E">
        <w:rPr>
          <w:rFonts w:cstheme="minorHAnsi"/>
          <w:noProof/>
        </w:rPr>
        <w:drawing>
          <wp:inline distT="0" distB="0" distL="0" distR="0" wp14:anchorId="407469C7" wp14:editId="122AC90D">
            <wp:extent cx="5948968" cy="2318028"/>
            <wp:effectExtent l="19050" t="19050" r="13970" b="25400"/>
            <wp:docPr id="69" name="Picture 69" descr="A pink bar graph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nk bar graph with black text&#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50921" cy="2318789"/>
                    </a:xfrm>
                    <a:prstGeom prst="rect">
                      <a:avLst/>
                    </a:prstGeom>
                    <a:noFill/>
                    <a:ln>
                      <a:solidFill>
                        <a:schemeClr val="bg2"/>
                      </a:solidFill>
                    </a:ln>
                  </pic:spPr>
                </pic:pic>
              </a:graphicData>
            </a:graphic>
          </wp:inline>
        </w:drawing>
      </w:r>
    </w:p>
    <w:p w14:paraId="3722CE80" w14:textId="3A54F779" w:rsidR="00773F7C" w:rsidRPr="0017357E" w:rsidRDefault="00773F7C" w:rsidP="00C32017">
      <w:pPr>
        <w:pStyle w:val="Caption"/>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Pr="0017357E" w:rsidDel="008D5B01">
        <w:rPr>
          <w:rFonts w:cstheme="minorHAnsi"/>
          <w:i w:val="0"/>
          <w:iCs w:val="0"/>
          <w:color w:val="000000" w:themeColor="text1"/>
          <w:sz w:val="24"/>
          <w:szCs w:val="24"/>
          <w:u w:val="single"/>
        </w:rPr>
        <w:t xml:space="preserve"> </w:t>
      </w:r>
      <w:r w:rsidR="008D5B01">
        <w:rPr>
          <w:rFonts w:cstheme="minorHAnsi"/>
          <w:i w:val="0"/>
          <w:iCs w:val="0"/>
          <w:color w:val="000000" w:themeColor="text1"/>
          <w:sz w:val="24"/>
          <w:szCs w:val="24"/>
          <w:u w:val="single"/>
        </w:rPr>
        <w:t>37</w:t>
      </w:r>
      <w:r w:rsidR="008D5B01" w:rsidRPr="00E10527">
        <w:rPr>
          <w:rFonts w:cstheme="minorHAnsi"/>
          <w:i w:val="0"/>
          <w:iCs w:val="0"/>
          <w:color w:val="000000" w:themeColor="text1"/>
          <w:sz w:val="24"/>
          <w:szCs w:val="24"/>
        </w:rPr>
        <w:t>:</w:t>
      </w:r>
      <w:r w:rsidRPr="0017357E" w:rsidDel="008D5B01">
        <w:rPr>
          <w:rFonts w:cstheme="minorHAnsi"/>
          <w:i w:val="0"/>
          <w:iCs w:val="0"/>
          <w:color w:val="000000" w:themeColor="text1"/>
          <w:sz w:val="24"/>
          <w:szCs w:val="24"/>
        </w:rPr>
        <w:t xml:space="preserve"> </w:t>
      </w:r>
      <w:r w:rsidRPr="0017357E">
        <w:rPr>
          <w:rFonts w:cstheme="minorHAnsi"/>
          <w:i w:val="0"/>
          <w:iCs w:val="0"/>
          <w:color w:val="000000" w:themeColor="text1"/>
          <w:sz w:val="24"/>
          <w:szCs w:val="24"/>
        </w:rPr>
        <w:t>Perceived experiences of racism for staff participants working on different contract types</w:t>
      </w:r>
    </w:p>
    <w:p w14:paraId="4D58E53B" w14:textId="77777777" w:rsidR="00773F7C" w:rsidRPr="0017357E" w:rsidRDefault="00773F7C" w:rsidP="00C32017">
      <w:pPr>
        <w:autoSpaceDE w:val="0"/>
        <w:autoSpaceDN w:val="0"/>
        <w:adjustRightInd w:val="0"/>
        <w:ind w:hanging="426"/>
        <w:rPr>
          <w:rFonts w:cstheme="minorHAnsi"/>
        </w:rPr>
      </w:pPr>
      <w:r w:rsidRPr="0017357E">
        <w:rPr>
          <w:rFonts w:cstheme="minorHAnsi"/>
          <w:noProof/>
        </w:rPr>
        <w:lastRenderedPageBreak/>
        <w:drawing>
          <wp:inline distT="0" distB="0" distL="0" distR="0" wp14:anchorId="30BB7168" wp14:editId="11D5174D">
            <wp:extent cx="6122958" cy="2899045"/>
            <wp:effectExtent l="19050" t="19050" r="11430" b="15875"/>
            <wp:docPr id="68" name="Picture 68"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graph of a bar graph&#10;&#10;Description automatically generated with medium confidence"/>
                    <pic:cNvPicPr>
                      <a:picLocks noChangeAspect="1" noChangeArrowheads="1"/>
                    </pic:cNvPicPr>
                  </pic:nvPicPr>
                  <pic:blipFill rotWithShape="1">
                    <a:blip r:embed="rId114">
                      <a:extLst>
                        <a:ext uri="{28A0092B-C50C-407E-A947-70E740481C1C}">
                          <a14:useLocalDpi xmlns:a14="http://schemas.microsoft.com/office/drawing/2010/main" val="0"/>
                        </a:ext>
                      </a:extLst>
                    </a:blip>
                    <a:srcRect t="2074"/>
                    <a:stretch/>
                  </pic:blipFill>
                  <pic:spPr bwMode="auto">
                    <a:xfrm>
                      <a:off x="0" y="0"/>
                      <a:ext cx="6127383" cy="2901140"/>
                    </a:xfrm>
                    <a:prstGeom prst="rect">
                      <a:avLst/>
                    </a:prstGeom>
                    <a:noFill/>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5EF561" w14:textId="4403EBD2" w:rsidR="00773F7C" w:rsidRPr="0017357E" w:rsidRDefault="00773F7C" w:rsidP="008E25E3">
      <w:pPr>
        <w:pStyle w:val="Caption"/>
        <w:spacing w:after="0" w:line="259" w:lineRule="auto"/>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Pr="0017357E" w:rsidDel="008D5B01">
        <w:rPr>
          <w:rFonts w:cstheme="minorHAnsi"/>
          <w:i w:val="0"/>
          <w:iCs w:val="0"/>
          <w:color w:val="000000" w:themeColor="text1"/>
          <w:sz w:val="24"/>
          <w:szCs w:val="24"/>
          <w:u w:val="single"/>
        </w:rPr>
        <w:t xml:space="preserve"> </w:t>
      </w:r>
      <w:r w:rsidR="008D5B01">
        <w:rPr>
          <w:rFonts w:cstheme="minorHAnsi"/>
          <w:i w:val="0"/>
          <w:iCs w:val="0"/>
          <w:color w:val="000000" w:themeColor="text1"/>
          <w:sz w:val="24"/>
          <w:szCs w:val="24"/>
          <w:u w:val="single"/>
        </w:rPr>
        <w:t>38</w:t>
      </w:r>
      <w:r w:rsidR="008D5B01" w:rsidRPr="00E10527">
        <w:rPr>
          <w:rFonts w:cstheme="minorHAnsi"/>
          <w:i w:val="0"/>
          <w:iCs w:val="0"/>
          <w:color w:val="000000" w:themeColor="text1"/>
          <w:sz w:val="24"/>
          <w:szCs w:val="24"/>
        </w:rPr>
        <w:t>:</w:t>
      </w:r>
      <w:r w:rsidRPr="008D5B01">
        <w:rPr>
          <w:rFonts w:cstheme="minorHAnsi"/>
          <w:i w:val="0"/>
          <w:iCs w:val="0"/>
          <w:color w:val="000000" w:themeColor="text1"/>
          <w:sz w:val="24"/>
          <w:szCs w:val="24"/>
        </w:rPr>
        <w:t xml:space="preserve"> </w:t>
      </w:r>
      <w:r w:rsidRPr="0017357E">
        <w:rPr>
          <w:rFonts w:cstheme="minorHAnsi"/>
          <w:i w:val="0"/>
          <w:iCs w:val="0"/>
          <w:color w:val="000000" w:themeColor="text1"/>
          <w:sz w:val="24"/>
          <w:szCs w:val="24"/>
        </w:rPr>
        <w:t xml:space="preserve">Perceived experiences of racism for staff participants on different pay </w:t>
      </w:r>
      <w:r w:rsidR="0023166E">
        <w:rPr>
          <w:rFonts w:cstheme="minorHAnsi"/>
          <w:i w:val="0"/>
          <w:iCs w:val="0"/>
          <w:color w:val="000000" w:themeColor="text1"/>
          <w:sz w:val="24"/>
          <w:szCs w:val="24"/>
        </w:rPr>
        <w:t>scales</w:t>
      </w:r>
    </w:p>
    <w:p w14:paraId="62F18745" w14:textId="77777777" w:rsidR="00773F7C" w:rsidRPr="0017357E" w:rsidRDefault="00773F7C" w:rsidP="008E25E3">
      <w:pPr>
        <w:pStyle w:val="NormalWeb"/>
        <w:spacing w:before="0" w:beforeAutospacing="0" w:after="0" w:afterAutospacing="0" w:line="259" w:lineRule="auto"/>
        <w:jc w:val="both"/>
        <w:rPr>
          <w:rFonts w:asciiTheme="minorHAnsi" w:hAnsiTheme="minorHAnsi" w:cstheme="minorHAnsi"/>
        </w:rPr>
      </w:pPr>
    </w:p>
    <w:p w14:paraId="63F8681F" w14:textId="4F67FC22" w:rsidR="00773F7C" w:rsidRPr="0017357E" w:rsidRDefault="00773F7C" w:rsidP="00EB11F2">
      <w:pPr>
        <w:pStyle w:val="NormalWeb"/>
        <w:spacing w:before="0" w:beforeAutospacing="0" w:after="0" w:afterAutospacing="0" w:line="259" w:lineRule="auto"/>
        <w:rPr>
          <w:rFonts w:asciiTheme="minorHAnsi" w:hAnsiTheme="minorHAnsi" w:cstheme="minorHAnsi"/>
        </w:rPr>
      </w:pPr>
      <w:r w:rsidRPr="0017357E">
        <w:rPr>
          <w:rFonts w:asciiTheme="minorHAnsi" w:hAnsiTheme="minorHAnsi" w:cstheme="minorHAnsi"/>
        </w:rPr>
        <w:t xml:space="preserve">Participants indicated how they cope with their recent and general experiences of racism (see Figure </w:t>
      </w:r>
      <w:r w:rsidR="008D5B01">
        <w:rPr>
          <w:rFonts w:asciiTheme="minorHAnsi" w:hAnsiTheme="minorHAnsi" w:cstheme="minorHAnsi"/>
        </w:rPr>
        <w:t>3</w:t>
      </w:r>
      <w:r w:rsidRPr="0017357E">
        <w:rPr>
          <w:rFonts w:asciiTheme="minorHAnsi" w:hAnsiTheme="minorHAnsi" w:cstheme="minorHAnsi"/>
        </w:rPr>
        <w:t xml:space="preserve">9). </w:t>
      </w:r>
      <w:r w:rsidR="0023166E">
        <w:rPr>
          <w:rFonts w:asciiTheme="minorHAnsi" w:hAnsiTheme="minorHAnsi" w:cstheme="minorHAnsi"/>
        </w:rPr>
        <w:t>F</w:t>
      </w:r>
      <w:r w:rsidR="0023166E" w:rsidRPr="0017357E">
        <w:rPr>
          <w:rFonts w:asciiTheme="minorHAnsi" w:hAnsiTheme="minorHAnsi" w:cstheme="minorHAnsi"/>
        </w:rPr>
        <w:t>or both recent and general experiences of racism</w:t>
      </w:r>
      <w:r w:rsidR="0023166E">
        <w:rPr>
          <w:rFonts w:asciiTheme="minorHAnsi" w:hAnsiTheme="minorHAnsi" w:cstheme="minorHAnsi"/>
        </w:rPr>
        <w:t>,</w:t>
      </w:r>
      <w:r w:rsidR="0023166E" w:rsidRPr="0017357E">
        <w:rPr>
          <w:rFonts w:asciiTheme="minorHAnsi" w:hAnsiTheme="minorHAnsi" w:cstheme="minorHAnsi"/>
        </w:rPr>
        <w:t xml:space="preserve"> </w:t>
      </w:r>
      <w:r w:rsidRPr="0017357E">
        <w:rPr>
          <w:rFonts w:asciiTheme="minorHAnsi" w:hAnsiTheme="minorHAnsi" w:cstheme="minorHAnsi"/>
        </w:rPr>
        <w:t xml:space="preserve">‘Telling families/friends about it’ </w:t>
      </w:r>
      <w:r w:rsidR="0023166E">
        <w:rPr>
          <w:rFonts w:asciiTheme="minorHAnsi" w:hAnsiTheme="minorHAnsi" w:cstheme="minorHAnsi"/>
        </w:rPr>
        <w:t>was</w:t>
      </w:r>
      <w:r w:rsidRPr="0017357E">
        <w:rPr>
          <w:rFonts w:asciiTheme="minorHAnsi" w:hAnsiTheme="minorHAnsi" w:cstheme="minorHAnsi"/>
        </w:rPr>
        <w:t xml:space="preserve"> the most common coping strategy indicated by participants</w:t>
      </w:r>
      <w:r w:rsidR="0023166E">
        <w:rPr>
          <w:rFonts w:asciiTheme="minorHAnsi" w:hAnsiTheme="minorHAnsi" w:cstheme="minorHAnsi"/>
        </w:rPr>
        <w:t>, while r</w:t>
      </w:r>
      <w:r w:rsidRPr="0017357E">
        <w:rPr>
          <w:rFonts w:asciiTheme="minorHAnsi" w:hAnsiTheme="minorHAnsi" w:cstheme="minorHAnsi"/>
        </w:rPr>
        <w:t xml:space="preserve">eporting racism to the police was the least common way of responding to racism. </w:t>
      </w:r>
    </w:p>
    <w:p w14:paraId="4BBF5DF4" w14:textId="77777777" w:rsidR="00773F7C" w:rsidRPr="0017357E" w:rsidRDefault="00773F7C" w:rsidP="7ACE002B">
      <w:pPr>
        <w:pStyle w:val="NormalWeb"/>
        <w:keepNext/>
        <w:spacing w:before="240" w:beforeAutospacing="0" w:after="240" w:afterAutospacing="0"/>
        <w:ind w:hanging="567"/>
        <w:jc w:val="center"/>
        <w:rPr>
          <w:rFonts w:asciiTheme="minorHAnsi" w:hAnsiTheme="minorHAnsi" w:cstheme="minorBidi"/>
        </w:rPr>
      </w:pPr>
      <w:r w:rsidRPr="0017357E">
        <w:rPr>
          <w:rFonts w:asciiTheme="minorHAnsi" w:hAnsiTheme="minorHAnsi" w:cstheme="minorHAnsi"/>
          <w:noProof/>
        </w:rPr>
        <w:drawing>
          <wp:inline distT="0" distB="0" distL="0" distR="0" wp14:anchorId="20FBF7E7" wp14:editId="7D621A2D">
            <wp:extent cx="6529705" cy="3804249"/>
            <wp:effectExtent l="0" t="0" r="4445" b="6350"/>
            <wp:docPr id="1450297234" name="Chart 1450297234">
              <a:extLst xmlns:a="http://schemas.openxmlformats.org/drawingml/2006/main">
                <a:ext uri="{FF2B5EF4-FFF2-40B4-BE49-F238E27FC236}">
                  <a16:creationId xmlns:a16="http://schemas.microsoft.com/office/drawing/2014/main" id="{E5CDA5E3-8D83-45CA-89F7-02E37CF88A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7843AAD" w14:textId="52B5BB18" w:rsidR="00773F7C" w:rsidRPr="0017357E" w:rsidRDefault="00773F7C" w:rsidP="008E25E3">
      <w:pPr>
        <w:pStyle w:val="Caption"/>
        <w:spacing w:after="0" w:line="259" w:lineRule="auto"/>
        <w:jc w:val="center"/>
        <w:rPr>
          <w:rFonts w:cstheme="minorHAnsi"/>
          <w:i w:val="0"/>
          <w:iCs w:val="0"/>
          <w:color w:val="000000" w:themeColor="text1"/>
          <w:sz w:val="24"/>
          <w:szCs w:val="24"/>
        </w:rPr>
      </w:pPr>
      <w:r w:rsidRPr="0017357E">
        <w:rPr>
          <w:rFonts w:cstheme="minorHAnsi"/>
          <w:i w:val="0"/>
          <w:iCs w:val="0"/>
          <w:color w:val="000000" w:themeColor="text1"/>
          <w:sz w:val="24"/>
          <w:szCs w:val="24"/>
          <w:u w:val="single"/>
        </w:rPr>
        <w:t>Figure</w:t>
      </w:r>
      <w:r w:rsidRPr="0017357E" w:rsidDel="00590DAD">
        <w:rPr>
          <w:rFonts w:cstheme="minorHAnsi"/>
          <w:i w:val="0"/>
          <w:iCs w:val="0"/>
          <w:color w:val="000000" w:themeColor="text1"/>
          <w:sz w:val="24"/>
          <w:szCs w:val="24"/>
          <w:u w:val="single"/>
        </w:rPr>
        <w:t xml:space="preserve"> </w:t>
      </w:r>
      <w:r w:rsidR="00590DAD">
        <w:rPr>
          <w:rFonts w:cstheme="minorHAnsi"/>
          <w:i w:val="0"/>
          <w:iCs w:val="0"/>
          <w:color w:val="000000" w:themeColor="text1"/>
          <w:sz w:val="24"/>
          <w:szCs w:val="24"/>
          <w:u w:val="single"/>
        </w:rPr>
        <w:t>39</w:t>
      </w:r>
      <w:r w:rsidR="00590DAD" w:rsidRPr="00E10527">
        <w:rPr>
          <w:rFonts w:cstheme="minorHAnsi"/>
          <w:i w:val="0"/>
          <w:color w:val="000000" w:themeColor="text1"/>
          <w:sz w:val="24"/>
          <w:szCs w:val="24"/>
        </w:rPr>
        <w:t xml:space="preserve">: </w:t>
      </w:r>
      <w:r w:rsidRPr="0017357E">
        <w:rPr>
          <w:rFonts w:cstheme="minorHAnsi"/>
          <w:i w:val="0"/>
          <w:iCs w:val="0"/>
          <w:color w:val="000000" w:themeColor="text1"/>
          <w:sz w:val="24"/>
          <w:szCs w:val="24"/>
        </w:rPr>
        <w:t>Participants</w:t>
      </w:r>
      <w:r w:rsidR="00590DAD">
        <w:rPr>
          <w:rFonts w:cstheme="minorHAnsi"/>
          <w:i w:val="0"/>
          <w:iCs w:val="0"/>
          <w:color w:val="000000" w:themeColor="text1"/>
          <w:sz w:val="24"/>
          <w:szCs w:val="24"/>
        </w:rPr>
        <w:t>’</w:t>
      </w:r>
      <w:r w:rsidRPr="0017357E">
        <w:rPr>
          <w:rFonts w:cstheme="minorHAnsi"/>
          <w:i w:val="0"/>
          <w:iCs w:val="0"/>
          <w:color w:val="000000" w:themeColor="text1"/>
          <w:sz w:val="24"/>
          <w:szCs w:val="24"/>
        </w:rPr>
        <w:t xml:space="preserve"> ways of coping with their latest, and overall, experiences of racism</w:t>
      </w:r>
    </w:p>
    <w:p w14:paraId="76CBBAF0" w14:textId="77777777" w:rsidR="00773F7C" w:rsidRPr="0017357E" w:rsidRDefault="00773F7C" w:rsidP="00C32017">
      <w:pPr>
        <w:pStyle w:val="NormalWeb"/>
        <w:spacing w:before="240" w:beforeAutospacing="0" w:after="240" w:afterAutospacing="0"/>
        <w:jc w:val="both"/>
        <w:rPr>
          <w:rFonts w:asciiTheme="minorHAnsi" w:hAnsiTheme="minorHAnsi" w:cstheme="minorHAnsi"/>
        </w:rPr>
      </w:pPr>
    </w:p>
    <w:p w14:paraId="21741892" w14:textId="36AA4DB3" w:rsidR="00773F7C" w:rsidRPr="00C9020D" w:rsidRDefault="00773F7C" w:rsidP="00EB11F2">
      <w:pPr>
        <w:pStyle w:val="NormalWeb"/>
        <w:spacing w:before="0" w:beforeAutospacing="0" w:after="0" w:afterAutospacing="0" w:line="259" w:lineRule="auto"/>
        <w:rPr>
          <w:rFonts w:asciiTheme="minorHAnsi" w:hAnsiTheme="minorHAnsi" w:cstheme="minorHAnsi"/>
          <w:color w:val="000000"/>
        </w:rPr>
      </w:pPr>
      <w:r w:rsidRPr="3C6D1E23">
        <w:rPr>
          <w:rFonts w:asciiTheme="minorHAnsi" w:hAnsiTheme="minorHAnsi" w:cstheme="minorBidi"/>
        </w:rPr>
        <w:lastRenderedPageBreak/>
        <w:t xml:space="preserve">Participants’ reported responses to experiences of racism suggest that support from colleagues or members of staff from the </w:t>
      </w:r>
      <w:r w:rsidR="00532D37">
        <w:rPr>
          <w:rFonts w:asciiTheme="minorHAnsi" w:hAnsiTheme="minorHAnsi" w:cstheme="minorBidi"/>
        </w:rPr>
        <w:t>U</w:t>
      </w:r>
      <w:r w:rsidR="00532D37" w:rsidRPr="3C6D1E23">
        <w:rPr>
          <w:rFonts w:asciiTheme="minorHAnsi" w:hAnsiTheme="minorHAnsi" w:cstheme="minorBidi"/>
        </w:rPr>
        <w:t xml:space="preserve">niversity </w:t>
      </w:r>
      <w:r w:rsidRPr="3C6D1E23">
        <w:rPr>
          <w:rFonts w:asciiTheme="minorHAnsi" w:hAnsiTheme="minorHAnsi" w:cstheme="minorBidi"/>
        </w:rPr>
        <w:t>was not often sought. This implies a lack of, and potentially inadequate, support from staff members in the University</w:t>
      </w:r>
      <w:r w:rsidR="00B01FBC">
        <w:rPr>
          <w:rFonts w:asciiTheme="minorHAnsi" w:hAnsiTheme="minorHAnsi" w:cstheme="minorBidi"/>
        </w:rPr>
        <w:t xml:space="preserve">, again </w:t>
      </w:r>
      <w:r w:rsidR="00D21202">
        <w:rPr>
          <w:rFonts w:asciiTheme="minorHAnsi" w:hAnsiTheme="minorHAnsi" w:cstheme="minorBidi"/>
        </w:rPr>
        <w:t>support</w:t>
      </w:r>
      <w:r w:rsidR="00B01FBC">
        <w:rPr>
          <w:rFonts w:asciiTheme="minorHAnsi" w:hAnsiTheme="minorHAnsi" w:cstheme="minorBidi"/>
        </w:rPr>
        <w:t>ing</w:t>
      </w:r>
      <w:r w:rsidR="00D21202">
        <w:rPr>
          <w:rFonts w:asciiTheme="minorHAnsi" w:hAnsiTheme="minorHAnsi" w:cstheme="minorBidi"/>
        </w:rPr>
        <w:t xml:space="preserve"> </w:t>
      </w:r>
      <w:r w:rsidR="00DB28E8">
        <w:rPr>
          <w:rFonts w:asciiTheme="minorHAnsi" w:hAnsiTheme="minorHAnsi" w:cstheme="minorBidi"/>
        </w:rPr>
        <w:t xml:space="preserve">the need to improve </w:t>
      </w:r>
      <w:r w:rsidR="00FB4579" w:rsidRPr="00D41CB8">
        <w:rPr>
          <w:rFonts w:ascii="Calibri" w:hAnsi="Calibri" w:cs="Calibri"/>
        </w:rPr>
        <w:t>reporting mechanisms</w:t>
      </w:r>
      <w:r w:rsidR="00FB4579">
        <w:rPr>
          <w:rFonts w:ascii="Calibri" w:hAnsi="Calibri" w:cs="Calibri"/>
        </w:rPr>
        <w:t xml:space="preserve"> and</w:t>
      </w:r>
      <w:r w:rsidR="00FB4579" w:rsidRPr="00D41CB8">
        <w:rPr>
          <w:rFonts w:ascii="Calibri" w:hAnsi="Calibri" w:cs="Calibri"/>
        </w:rPr>
        <w:t xml:space="preserve"> </w:t>
      </w:r>
      <w:r w:rsidR="00DB28E8">
        <w:rPr>
          <w:rFonts w:asciiTheme="minorHAnsi" w:hAnsiTheme="minorHAnsi" w:cstheme="minorBidi"/>
        </w:rPr>
        <w:t>racial literacy among staff and students</w:t>
      </w:r>
      <w:r w:rsidRPr="3C6D1E23">
        <w:rPr>
          <w:rFonts w:asciiTheme="minorHAnsi" w:hAnsiTheme="minorHAnsi" w:cstheme="minorBidi"/>
        </w:rPr>
        <w:t>.</w:t>
      </w:r>
      <w:r w:rsidR="00DB28E8">
        <w:rPr>
          <w:rStyle w:val="FootnoteReference"/>
          <w:rFonts w:asciiTheme="minorHAnsi" w:hAnsiTheme="minorHAnsi" w:cstheme="minorBidi"/>
        </w:rPr>
        <w:footnoteReference w:id="198"/>
      </w:r>
      <w:r w:rsidRPr="3C6D1E23">
        <w:rPr>
          <w:rFonts w:asciiTheme="minorHAnsi" w:hAnsiTheme="minorHAnsi" w:cstheme="minorBidi"/>
        </w:rPr>
        <w:t xml:space="preserve"> It may </w:t>
      </w:r>
      <w:r w:rsidR="00052E93" w:rsidRPr="3C6D1E23">
        <w:rPr>
          <w:rFonts w:asciiTheme="minorHAnsi" w:hAnsiTheme="minorHAnsi" w:cstheme="minorBidi"/>
        </w:rPr>
        <w:t xml:space="preserve">also </w:t>
      </w:r>
      <w:r w:rsidRPr="3C6D1E23">
        <w:rPr>
          <w:rFonts w:asciiTheme="minorHAnsi" w:hAnsiTheme="minorHAnsi" w:cstheme="minorBidi"/>
        </w:rPr>
        <w:t>be that the participants did not feel comfortable seeking help from their tutors, supervisors or colleagues. According to Xie, ‘the experience of racism, and the entitlement to know and claim such experience, tie with not only a person's victimhood, but also historically, culturally and categorially who (or which group of people) is more likely to be targeted and abused racially’</w:t>
      </w:r>
      <w:r w:rsidR="00052E93" w:rsidRPr="3C6D1E23">
        <w:rPr>
          <w:rFonts w:asciiTheme="minorHAnsi" w:hAnsiTheme="minorHAnsi" w:cstheme="minorBidi"/>
        </w:rPr>
        <w:t>.</w:t>
      </w:r>
      <w:r w:rsidR="00052E93" w:rsidRPr="3C6D1E23">
        <w:rPr>
          <w:rStyle w:val="FootnoteReference"/>
          <w:rFonts w:asciiTheme="minorHAnsi" w:eastAsiaTheme="majorEastAsia" w:hAnsiTheme="minorHAnsi" w:cstheme="minorBidi"/>
        </w:rPr>
        <w:footnoteReference w:id="199"/>
      </w:r>
      <w:r w:rsidRPr="3C6D1E23">
        <w:rPr>
          <w:rFonts w:asciiTheme="minorHAnsi" w:hAnsiTheme="minorHAnsi" w:cstheme="minorBidi"/>
        </w:rPr>
        <w:t xml:space="preserve"> Sharing experiences of racism with staff members (wherein the majority is of white ethnicity) may therefore be challenging. As </w:t>
      </w:r>
      <w:r w:rsidR="00DD4997" w:rsidRPr="00F67CE3">
        <w:rPr>
          <w:rFonts w:asciiTheme="minorHAnsi" w:hAnsiTheme="minorHAnsi" w:cstheme="minorBidi"/>
        </w:rPr>
        <w:t>Part 3</w:t>
      </w:r>
      <w:r w:rsidR="00C9020D" w:rsidRPr="00F67CE3">
        <w:rPr>
          <w:rFonts w:asciiTheme="minorHAnsi" w:hAnsiTheme="minorHAnsi" w:cstheme="minorBidi"/>
        </w:rPr>
        <w:t xml:space="preserve"> and </w:t>
      </w:r>
      <w:r w:rsidR="00C9020D" w:rsidRPr="00D72A0F">
        <w:rPr>
          <w:rFonts w:asciiTheme="minorHAnsi" w:hAnsiTheme="minorHAnsi" w:cstheme="minorBidi"/>
        </w:rPr>
        <w:t>Appendix</w:t>
      </w:r>
      <w:r w:rsidR="00C9020D" w:rsidRPr="00D72A0F" w:rsidDel="00DD4997">
        <w:rPr>
          <w:rFonts w:asciiTheme="minorHAnsi" w:hAnsiTheme="minorHAnsi" w:cstheme="minorBidi"/>
        </w:rPr>
        <w:t xml:space="preserve"> </w:t>
      </w:r>
      <w:r w:rsidR="00DD4997" w:rsidRPr="00D72A0F">
        <w:rPr>
          <w:rFonts w:asciiTheme="minorHAnsi" w:hAnsiTheme="minorHAnsi" w:cstheme="minorBidi"/>
        </w:rPr>
        <w:t xml:space="preserve">4 </w:t>
      </w:r>
      <w:r w:rsidRPr="00D72A0F">
        <w:rPr>
          <w:rFonts w:asciiTheme="minorHAnsi" w:hAnsiTheme="minorHAnsi" w:cstheme="minorBidi"/>
          <w:color w:val="000000"/>
        </w:rPr>
        <w:t>show,</w:t>
      </w:r>
      <w:r w:rsidRPr="3C6D1E23">
        <w:rPr>
          <w:rFonts w:asciiTheme="minorHAnsi" w:hAnsiTheme="minorHAnsi" w:cstheme="minorBidi"/>
          <w:color w:val="000000"/>
        </w:rPr>
        <w:t xml:space="preserve"> </w:t>
      </w:r>
      <w:r w:rsidRPr="3C6D1E23">
        <w:rPr>
          <w:rFonts w:asciiTheme="minorHAnsi" w:hAnsiTheme="minorHAnsi" w:cstheme="minorBidi"/>
        </w:rPr>
        <w:t xml:space="preserve">ethnically and racially minoritised staff members are under-represented in the University. </w:t>
      </w:r>
      <w:bookmarkStart w:id="91" w:name="_Hlk179817492"/>
      <w:r w:rsidRPr="3C6D1E23">
        <w:rPr>
          <w:rFonts w:asciiTheme="minorHAnsi" w:hAnsiTheme="minorHAnsi" w:cstheme="minorBidi"/>
        </w:rPr>
        <w:t>Therefore, increasing the number of staff members from eth</w:t>
      </w:r>
      <w:r w:rsidR="00532D37">
        <w:rPr>
          <w:rFonts w:asciiTheme="minorHAnsi" w:hAnsiTheme="minorHAnsi" w:cstheme="minorBidi"/>
        </w:rPr>
        <w:t>n</w:t>
      </w:r>
      <w:r w:rsidRPr="3C6D1E23">
        <w:rPr>
          <w:rFonts w:asciiTheme="minorHAnsi" w:hAnsiTheme="minorHAnsi" w:cstheme="minorBidi"/>
        </w:rPr>
        <w:t>ically and racially under-represented background</w:t>
      </w:r>
      <w:r w:rsidR="00AF2B6E">
        <w:rPr>
          <w:rFonts w:asciiTheme="minorHAnsi" w:hAnsiTheme="minorHAnsi" w:cstheme="minorBidi"/>
        </w:rPr>
        <w:t>s</w:t>
      </w:r>
      <w:r w:rsidRPr="3C6D1E23">
        <w:rPr>
          <w:rFonts w:asciiTheme="minorHAnsi" w:hAnsiTheme="minorHAnsi" w:cstheme="minorBidi"/>
        </w:rPr>
        <w:t xml:space="preserve"> can be crucial in building rapport and trust with students and staff members (of ethnically minoritised </w:t>
      </w:r>
      <w:r w:rsidRPr="0017357E">
        <w:rPr>
          <w:rFonts w:ascii="Calibri" w:hAnsi="Calibri" w:cs="Calibri"/>
        </w:rPr>
        <w:t>backgrounds)</w:t>
      </w:r>
      <w:r w:rsidR="007C0C75">
        <w:rPr>
          <w:rFonts w:ascii="Calibri" w:hAnsi="Calibri" w:cs="Calibri"/>
        </w:rPr>
        <w:t>.</w:t>
      </w:r>
      <w:r w:rsidR="00264AFB">
        <w:rPr>
          <w:rFonts w:ascii="Calibri" w:hAnsi="Calibri" w:cs="Calibri"/>
        </w:rPr>
        <w:t xml:space="preserve"> This could also</w:t>
      </w:r>
      <w:r w:rsidRPr="0017357E">
        <w:rPr>
          <w:rFonts w:ascii="Calibri" w:hAnsi="Calibri" w:cs="Calibri"/>
        </w:rPr>
        <w:t xml:space="preserve"> help to improve the experiences of reporting racism and provid</w:t>
      </w:r>
      <w:r w:rsidR="00264AFB">
        <w:rPr>
          <w:rFonts w:ascii="Calibri" w:hAnsi="Calibri" w:cs="Calibri"/>
        </w:rPr>
        <w:t>e</w:t>
      </w:r>
      <w:r w:rsidRPr="0017357E">
        <w:rPr>
          <w:rFonts w:ascii="Calibri" w:hAnsi="Calibri" w:cs="Calibri"/>
        </w:rPr>
        <w:t xml:space="preserve"> support for members who experience racism.</w:t>
      </w:r>
      <w:bookmarkEnd w:id="91"/>
      <w:r w:rsidR="00BB3B65">
        <w:rPr>
          <w:rFonts w:ascii="Calibri" w:hAnsi="Calibri" w:cs="Calibri"/>
        </w:rPr>
        <w:t xml:space="preserve"> </w:t>
      </w:r>
      <w:r w:rsidR="002C39BD">
        <w:rPr>
          <w:rFonts w:ascii="Calibri" w:hAnsi="Calibri" w:cs="Calibri"/>
        </w:rPr>
        <w:t>Further work is also needed to consider the effective</w:t>
      </w:r>
      <w:r w:rsidR="006C5624">
        <w:rPr>
          <w:rFonts w:ascii="Calibri" w:hAnsi="Calibri" w:cs="Calibri"/>
        </w:rPr>
        <w:t>ness</w:t>
      </w:r>
      <w:r w:rsidR="002C39BD">
        <w:rPr>
          <w:rFonts w:ascii="Calibri" w:hAnsi="Calibri" w:cs="Calibri"/>
        </w:rPr>
        <w:t xml:space="preserve"> of current anti-racism training and develop more effect</w:t>
      </w:r>
      <w:r w:rsidR="006C5624">
        <w:rPr>
          <w:rFonts w:ascii="Calibri" w:hAnsi="Calibri" w:cs="Calibri"/>
        </w:rPr>
        <w:t>ive</w:t>
      </w:r>
      <w:r w:rsidR="002C39BD">
        <w:rPr>
          <w:rFonts w:ascii="Calibri" w:hAnsi="Calibri" w:cs="Calibri"/>
        </w:rPr>
        <w:t xml:space="preserve"> ways</w:t>
      </w:r>
      <w:r w:rsidR="00B973B7">
        <w:rPr>
          <w:rFonts w:ascii="Calibri" w:hAnsi="Calibri" w:cs="Calibri"/>
        </w:rPr>
        <w:t xml:space="preserve"> </w:t>
      </w:r>
      <w:r w:rsidR="006C5624">
        <w:rPr>
          <w:rFonts w:ascii="Calibri" w:hAnsi="Calibri" w:cs="Calibri"/>
        </w:rPr>
        <w:t>of</w:t>
      </w:r>
      <w:r w:rsidR="00B973B7">
        <w:rPr>
          <w:rFonts w:ascii="Calibri" w:hAnsi="Calibri" w:cs="Calibri"/>
        </w:rPr>
        <w:t xml:space="preserve"> </w:t>
      </w:r>
      <w:r w:rsidR="002C39BD">
        <w:rPr>
          <w:rFonts w:ascii="Calibri" w:hAnsi="Calibri" w:cs="Calibri"/>
        </w:rPr>
        <w:t>improv</w:t>
      </w:r>
      <w:r w:rsidR="006C5624">
        <w:rPr>
          <w:rFonts w:ascii="Calibri" w:hAnsi="Calibri" w:cs="Calibri"/>
        </w:rPr>
        <w:t>ing</w:t>
      </w:r>
      <w:r w:rsidR="00B973B7">
        <w:rPr>
          <w:rFonts w:ascii="Calibri" w:hAnsi="Calibri" w:cs="Calibri"/>
        </w:rPr>
        <w:t xml:space="preserve"> racial literacy</w:t>
      </w:r>
      <w:r w:rsidR="002C39BD">
        <w:rPr>
          <w:rFonts w:ascii="Calibri" w:hAnsi="Calibri" w:cs="Calibri"/>
        </w:rPr>
        <w:t>.</w:t>
      </w:r>
    </w:p>
    <w:p w14:paraId="32F9688B" w14:textId="1A1F7920" w:rsidR="00773F7C" w:rsidRPr="0017357E" w:rsidRDefault="00773F7C" w:rsidP="00EB11F2">
      <w:pPr>
        <w:pStyle w:val="NormalWeb"/>
        <w:spacing w:before="0" w:beforeAutospacing="0" w:after="0" w:afterAutospacing="0" w:line="259" w:lineRule="auto"/>
        <w:ind w:firstLine="720"/>
        <w:rPr>
          <w:rFonts w:ascii="Calibri" w:hAnsi="Calibri" w:cs="Calibri"/>
          <w:highlight w:val="green"/>
        </w:rPr>
      </w:pPr>
      <w:r w:rsidRPr="0017357E">
        <w:rPr>
          <w:rFonts w:ascii="Calibri" w:hAnsi="Calibri" w:cs="Calibri"/>
          <w:color w:val="000000" w:themeColor="text1"/>
        </w:rPr>
        <w:t>In the questionnaire, we also asked participants to provide further information about how they cope with their recent and general experiences of racism. One participant reported experiencing racism in a setting outside of the University. This is important for the University to consider. University life is inseparable and integrated with a person’s everyday life in Edinburgh.</w:t>
      </w:r>
      <w:r w:rsidR="00E67F0A">
        <w:rPr>
          <w:rFonts w:ascii="Calibri" w:hAnsi="Calibri" w:cs="Calibri"/>
          <w:color w:val="000000" w:themeColor="text1"/>
        </w:rPr>
        <w:t xml:space="preserve"> The</w:t>
      </w:r>
      <w:r w:rsidRPr="0017357E">
        <w:rPr>
          <w:rFonts w:ascii="Calibri" w:hAnsi="Calibri" w:cs="Calibri"/>
          <w:color w:val="000000" w:themeColor="text1"/>
        </w:rPr>
        <w:t xml:space="preserve"> </w:t>
      </w:r>
      <w:r w:rsidR="00A27530">
        <w:rPr>
          <w:rFonts w:ascii="Calibri" w:hAnsi="Calibri" w:cs="Calibri"/>
          <w:color w:val="000000" w:themeColor="text1"/>
        </w:rPr>
        <w:t>University of Edinburgh</w:t>
      </w:r>
      <w:r w:rsidR="0092450E">
        <w:rPr>
          <w:rFonts w:ascii="Calibri" w:hAnsi="Calibri" w:cs="Calibri"/>
          <w:color w:val="000000" w:themeColor="text1"/>
        </w:rPr>
        <w:t>’s</w:t>
      </w:r>
      <w:r w:rsidRPr="0017357E">
        <w:rPr>
          <w:rFonts w:ascii="Calibri" w:hAnsi="Calibri" w:cs="Calibri"/>
          <w:color w:val="000000" w:themeColor="text1"/>
        </w:rPr>
        <w:t xml:space="preserve"> campus is situated in the </w:t>
      </w:r>
      <w:r w:rsidR="0092450E">
        <w:rPr>
          <w:rFonts w:ascii="Calibri" w:hAnsi="Calibri" w:cs="Calibri"/>
          <w:color w:val="000000" w:themeColor="text1"/>
        </w:rPr>
        <w:t>heart</w:t>
      </w:r>
      <w:r w:rsidRPr="0017357E">
        <w:rPr>
          <w:rFonts w:ascii="Calibri" w:hAnsi="Calibri" w:cs="Calibri"/>
          <w:color w:val="000000" w:themeColor="text1"/>
        </w:rPr>
        <w:t xml:space="preserve"> of</w:t>
      </w:r>
      <w:r w:rsidR="00532D37">
        <w:rPr>
          <w:rFonts w:ascii="Calibri" w:hAnsi="Calibri" w:cs="Calibri"/>
          <w:color w:val="000000" w:themeColor="text1"/>
        </w:rPr>
        <w:t xml:space="preserve"> the</w:t>
      </w:r>
      <w:r w:rsidRPr="0017357E">
        <w:rPr>
          <w:rFonts w:ascii="Calibri" w:hAnsi="Calibri" w:cs="Calibri"/>
          <w:color w:val="000000" w:themeColor="text1"/>
        </w:rPr>
        <w:t xml:space="preserve"> </w:t>
      </w:r>
      <w:r w:rsidR="001015D8">
        <w:rPr>
          <w:rFonts w:ascii="Calibri" w:hAnsi="Calibri" w:cs="Calibri"/>
          <w:color w:val="000000" w:themeColor="text1"/>
        </w:rPr>
        <w:t>C</w:t>
      </w:r>
      <w:r w:rsidR="0092450E">
        <w:rPr>
          <w:rFonts w:ascii="Calibri" w:hAnsi="Calibri" w:cs="Calibri"/>
          <w:color w:val="000000" w:themeColor="text1"/>
        </w:rPr>
        <w:t xml:space="preserve">ity of </w:t>
      </w:r>
      <w:r w:rsidRPr="0017357E">
        <w:rPr>
          <w:rFonts w:ascii="Calibri" w:hAnsi="Calibri" w:cs="Calibri"/>
          <w:color w:val="000000" w:themeColor="text1"/>
        </w:rPr>
        <w:t xml:space="preserve">Edinburgh. It therefore requires a collective community effort to decolonise </w:t>
      </w:r>
      <w:r w:rsidR="0092450E">
        <w:rPr>
          <w:rFonts w:ascii="Calibri" w:hAnsi="Calibri" w:cs="Calibri"/>
          <w:color w:val="000000" w:themeColor="text1"/>
        </w:rPr>
        <w:t xml:space="preserve">the </w:t>
      </w:r>
      <w:r w:rsidR="00A27530">
        <w:rPr>
          <w:rFonts w:ascii="Calibri" w:hAnsi="Calibri" w:cs="Calibri"/>
          <w:color w:val="000000" w:themeColor="text1"/>
        </w:rPr>
        <w:t>University of Edinburgh</w:t>
      </w:r>
      <w:r w:rsidR="0092450E">
        <w:rPr>
          <w:rFonts w:ascii="Calibri" w:hAnsi="Calibri" w:cs="Calibri"/>
          <w:color w:val="000000" w:themeColor="text1"/>
        </w:rPr>
        <w:t xml:space="preserve"> and </w:t>
      </w:r>
      <w:r w:rsidRPr="0017357E">
        <w:rPr>
          <w:rFonts w:ascii="Calibri" w:hAnsi="Calibri" w:cs="Calibri"/>
          <w:color w:val="000000" w:themeColor="text1"/>
        </w:rPr>
        <w:t xml:space="preserve">the </w:t>
      </w:r>
      <w:r w:rsidR="001015D8">
        <w:rPr>
          <w:rFonts w:ascii="Calibri" w:hAnsi="Calibri" w:cs="Calibri"/>
          <w:color w:val="000000" w:themeColor="text1"/>
        </w:rPr>
        <w:t>C</w:t>
      </w:r>
      <w:r w:rsidRPr="0017357E">
        <w:rPr>
          <w:rFonts w:ascii="Calibri" w:hAnsi="Calibri" w:cs="Calibri"/>
          <w:color w:val="000000" w:themeColor="text1"/>
        </w:rPr>
        <w:t xml:space="preserve">ity of Edinburgh and foster a space that welcomes members of all backgrounds. </w:t>
      </w:r>
    </w:p>
    <w:p w14:paraId="6CD449C3" w14:textId="77777777" w:rsidR="00773F7C" w:rsidRPr="0017357E" w:rsidRDefault="00773F7C" w:rsidP="00EB11F2">
      <w:pPr>
        <w:spacing w:line="259" w:lineRule="auto"/>
        <w:rPr>
          <w:rFonts w:ascii="Calibri" w:eastAsia="Calibri" w:hAnsi="Calibri" w:cs="Calibri"/>
          <w:color w:val="000000" w:themeColor="text1"/>
        </w:rPr>
      </w:pPr>
    </w:p>
    <w:p w14:paraId="0EBF0959" w14:textId="3DF78C78" w:rsidR="00773F7C" w:rsidRPr="0017357E" w:rsidRDefault="00773F7C" w:rsidP="00532D37">
      <w:pPr>
        <w:pStyle w:val="Heading3"/>
        <w:keepNext w:val="0"/>
        <w:keepLines w:val="0"/>
        <w:spacing w:before="0" w:after="0" w:line="259" w:lineRule="auto"/>
        <w:rPr>
          <w:rFonts w:ascii="Calibri" w:eastAsia="Calibri" w:hAnsi="Calibri" w:cs="Calibri"/>
          <w:color w:val="000000" w:themeColor="text1"/>
          <w:sz w:val="24"/>
          <w:szCs w:val="24"/>
        </w:rPr>
      </w:pPr>
    </w:p>
    <w:p w14:paraId="7F400DBF" w14:textId="5A0A2BE6" w:rsidR="00773F7C" w:rsidRPr="00B96528" w:rsidRDefault="00773F7C" w:rsidP="00EB11F2">
      <w:pPr>
        <w:pStyle w:val="Heading1"/>
        <w:ind w:left="2160" w:firstLine="720"/>
        <w:jc w:val="left"/>
      </w:pPr>
      <w:r w:rsidRPr="00832DF8">
        <w:rPr>
          <w:rFonts w:ascii="Calibri" w:eastAsia="Calibri" w:hAnsi="Calibri" w:cs="Calibri"/>
          <w:sz w:val="24"/>
          <w:szCs w:val="24"/>
        </w:rPr>
        <w:br w:type="page"/>
      </w:r>
      <w:bookmarkStart w:id="92" w:name="_Toc157238076"/>
      <w:bookmarkStart w:id="93" w:name="_Toc190939431"/>
      <w:bookmarkStart w:id="94" w:name="_Toc202627114"/>
      <w:r w:rsidR="0016561C" w:rsidRPr="00E52FD6">
        <w:lastRenderedPageBreak/>
        <w:t xml:space="preserve">Part 5: </w:t>
      </w:r>
      <w:r w:rsidRPr="0016561C">
        <w:t>Community Engagement</w:t>
      </w:r>
      <w:bookmarkEnd w:id="92"/>
      <w:bookmarkEnd w:id="93"/>
      <w:bookmarkEnd w:id="94"/>
    </w:p>
    <w:p w14:paraId="0A7939B9" w14:textId="4490CC72" w:rsidR="00773F7C" w:rsidRPr="0017357E" w:rsidRDefault="00773F7C" w:rsidP="00016E93">
      <w:pPr>
        <w:autoSpaceDE w:val="0"/>
        <w:autoSpaceDN w:val="0"/>
        <w:adjustRightInd w:val="0"/>
        <w:spacing w:line="259" w:lineRule="auto"/>
        <w:rPr>
          <w:rFonts w:ascii="Calibri" w:eastAsia="Calibri" w:hAnsi="Calibri" w:cs="Calibri"/>
          <w:b/>
          <w:bCs/>
          <w:color w:val="000000" w:themeColor="text1"/>
          <w:sz w:val="22"/>
          <w:szCs w:val="22"/>
        </w:rPr>
      </w:pPr>
    </w:p>
    <w:p w14:paraId="533DA27F" w14:textId="7629A0E3" w:rsidR="00773F7C" w:rsidRPr="0017357E" w:rsidRDefault="00773F7C" w:rsidP="00016E93">
      <w:pPr>
        <w:autoSpaceDE w:val="0"/>
        <w:autoSpaceDN w:val="0"/>
        <w:adjustRightInd w:val="0"/>
        <w:spacing w:line="259" w:lineRule="auto"/>
        <w:jc w:val="both"/>
        <w:rPr>
          <w:rFonts w:ascii="Calibri" w:eastAsia="Calibri" w:hAnsi="Calibri" w:cs="Calibri"/>
          <w:color w:val="000000" w:themeColor="text1"/>
        </w:rPr>
      </w:pPr>
    </w:p>
    <w:p w14:paraId="362EDB16" w14:textId="2A0CBEEB" w:rsidR="00773F7C" w:rsidRPr="0017357E" w:rsidRDefault="008B022F" w:rsidP="00EB11F2">
      <w:p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A central </w:t>
      </w:r>
      <w:r>
        <w:rPr>
          <w:rFonts w:ascii="Calibri" w:eastAsia="Calibri" w:hAnsi="Calibri" w:cs="Calibri"/>
          <w:color w:val="000000" w:themeColor="text1"/>
        </w:rPr>
        <w:t xml:space="preserve">goal </w:t>
      </w:r>
      <w:r w:rsidRPr="0017357E">
        <w:rPr>
          <w:rFonts w:ascii="Calibri" w:eastAsia="Calibri" w:hAnsi="Calibri" w:cs="Calibri"/>
          <w:color w:val="000000" w:themeColor="text1"/>
        </w:rPr>
        <w:t xml:space="preserve">of </w:t>
      </w:r>
      <w:r w:rsidR="00341057">
        <w:rPr>
          <w:rFonts w:ascii="Calibri" w:eastAsia="Calibri" w:hAnsi="Calibri" w:cs="Calibri"/>
          <w:color w:val="000000" w:themeColor="text1"/>
        </w:rPr>
        <w:t>the REWG’s</w:t>
      </w:r>
      <w:r w:rsidR="00341057" w:rsidRPr="0017357E">
        <w:rPr>
          <w:rFonts w:ascii="Calibri" w:eastAsia="Calibri" w:hAnsi="Calibri" w:cs="Calibri"/>
          <w:color w:val="000000" w:themeColor="text1"/>
        </w:rPr>
        <w:t xml:space="preserve"> </w:t>
      </w:r>
      <w:r w:rsidRPr="0017357E">
        <w:rPr>
          <w:rFonts w:ascii="Calibri" w:eastAsia="Calibri" w:hAnsi="Calibri" w:cs="Calibri"/>
          <w:color w:val="000000" w:themeColor="text1"/>
        </w:rPr>
        <w:t xml:space="preserve">work </w:t>
      </w:r>
      <w:r>
        <w:rPr>
          <w:rFonts w:ascii="Calibri" w:eastAsia="Calibri" w:hAnsi="Calibri" w:cs="Calibri"/>
          <w:color w:val="000000" w:themeColor="text1"/>
        </w:rPr>
        <w:t xml:space="preserve">was </w:t>
      </w:r>
      <w:r>
        <w:rPr>
          <w:rFonts w:ascii="Calibri" w:eastAsia="Times New Roman" w:hAnsi="Calibri" w:cs="Times New Roman"/>
          <w:lang w:eastAsia="en-GB"/>
        </w:rPr>
        <w:t>to incorporate and engage</w:t>
      </w:r>
      <w:r w:rsidRPr="00B43F5C">
        <w:rPr>
          <w:rFonts w:ascii="Calibri" w:eastAsia="Times New Roman" w:hAnsi="Calibri" w:cs="Times New Roman"/>
          <w:lang w:eastAsia="en-GB"/>
        </w:rPr>
        <w:t xml:space="preserve"> communit</w:t>
      </w:r>
      <w:r>
        <w:rPr>
          <w:rFonts w:ascii="Calibri" w:eastAsia="Times New Roman" w:hAnsi="Calibri" w:cs="Times New Roman"/>
          <w:lang w:eastAsia="en-GB"/>
        </w:rPr>
        <w:t xml:space="preserve">ies of reparatory justice </w:t>
      </w:r>
      <w:r w:rsidR="511FE949" w:rsidRPr="19D534DB">
        <w:rPr>
          <w:rFonts w:ascii="Calibri" w:eastAsia="Times New Roman" w:hAnsi="Calibri" w:cs="Times New Roman"/>
          <w:lang w:eastAsia="en-GB"/>
        </w:rPr>
        <w:t>interests</w:t>
      </w:r>
      <w:r w:rsidRPr="19D534DB">
        <w:rPr>
          <w:rFonts w:ascii="Calibri" w:eastAsia="Times New Roman" w:hAnsi="Calibri" w:cs="Times New Roman"/>
          <w:lang w:eastAsia="en-GB"/>
        </w:rPr>
        <w:t xml:space="preserve"> </w:t>
      </w:r>
      <w:r w:rsidRPr="0017357E">
        <w:rPr>
          <w:rFonts w:ascii="Calibri" w:eastAsia="Calibri" w:hAnsi="Calibri" w:cs="Calibri"/>
          <w:color w:val="000000" w:themeColor="text1"/>
        </w:rPr>
        <w:t>and other interested and invested parties</w:t>
      </w:r>
      <w:r w:rsidR="00852C6A">
        <w:rPr>
          <w:rFonts w:ascii="Calibri" w:eastAsia="Calibri" w:hAnsi="Calibri" w:cs="Calibri"/>
          <w:color w:val="000000" w:themeColor="text1"/>
        </w:rPr>
        <w:t>. The aim was</w:t>
      </w:r>
      <w:r w:rsidRPr="0017357E">
        <w:rPr>
          <w:rFonts w:ascii="Calibri" w:eastAsia="Calibri" w:hAnsi="Calibri" w:cs="Calibri"/>
          <w:color w:val="000000" w:themeColor="text1"/>
        </w:rPr>
        <w:t xml:space="preserve"> to identify recommendations </w:t>
      </w:r>
      <w:r w:rsidR="00875A0B">
        <w:rPr>
          <w:rFonts w:ascii="Calibri" w:eastAsia="Calibri" w:hAnsi="Calibri" w:cs="Calibri"/>
          <w:color w:val="000000" w:themeColor="text1"/>
        </w:rPr>
        <w:t xml:space="preserve">and next steps </w:t>
      </w:r>
      <w:r w:rsidR="002C7EAE">
        <w:rPr>
          <w:rFonts w:ascii="Calibri" w:eastAsia="Calibri" w:hAnsi="Calibri" w:cs="Calibri"/>
          <w:color w:val="000000" w:themeColor="text1"/>
        </w:rPr>
        <w:t>to indicate</w:t>
      </w:r>
      <w:r w:rsidRPr="0017357E">
        <w:rPr>
          <w:rFonts w:ascii="Calibri" w:eastAsia="Calibri" w:hAnsi="Calibri" w:cs="Calibri"/>
          <w:color w:val="000000" w:themeColor="text1"/>
        </w:rPr>
        <w:t xml:space="preserve"> how </w:t>
      </w:r>
      <w:r w:rsidR="002C7EAE">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sidRPr="0017357E">
        <w:rPr>
          <w:rFonts w:ascii="Calibri" w:eastAsia="Calibri" w:hAnsi="Calibri" w:cs="Calibri"/>
          <w:color w:val="000000" w:themeColor="text1"/>
        </w:rPr>
        <w:t xml:space="preserve"> should </w:t>
      </w:r>
      <w:r w:rsidR="00E74CEE">
        <w:rPr>
          <w:rFonts w:ascii="Calibri" w:eastAsia="Calibri" w:hAnsi="Calibri" w:cs="Calibri"/>
          <w:color w:val="000000" w:themeColor="text1"/>
        </w:rPr>
        <w:t>begin</w:t>
      </w:r>
      <w:r w:rsidRPr="0017357E">
        <w:rPr>
          <w:rFonts w:ascii="Calibri" w:eastAsia="Calibri" w:hAnsi="Calibri" w:cs="Calibri"/>
          <w:color w:val="000000" w:themeColor="text1"/>
        </w:rPr>
        <w:t xml:space="preserve"> repair</w:t>
      </w:r>
      <w:r w:rsidR="00E74CEE">
        <w:rPr>
          <w:rFonts w:ascii="Calibri" w:eastAsia="Calibri" w:hAnsi="Calibri" w:cs="Calibri"/>
          <w:color w:val="000000" w:themeColor="text1"/>
        </w:rPr>
        <w:t>ing</w:t>
      </w:r>
      <w:r w:rsidRPr="0017357E">
        <w:rPr>
          <w:rFonts w:ascii="Calibri" w:eastAsia="Calibri" w:hAnsi="Calibri" w:cs="Calibri"/>
          <w:color w:val="000000" w:themeColor="text1"/>
        </w:rPr>
        <w:t xml:space="preserve"> the legacies of African enslavement, colonialism and racial thinking, and address contemporary forms of structural racism</w:t>
      </w:r>
      <w:r w:rsidR="00341057">
        <w:rPr>
          <w:rFonts w:ascii="Calibri" w:eastAsia="Calibri" w:hAnsi="Calibri" w:cs="Calibri"/>
          <w:color w:val="000000" w:themeColor="text1"/>
        </w:rPr>
        <w:t xml:space="preserve"> and under-representation within the institution</w:t>
      </w:r>
      <w:r w:rsidRPr="0017357E">
        <w:rPr>
          <w:rFonts w:ascii="Calibri" w:eastAsia="Calibri" w:hAnsi="Calibri" w:cs="Calibri"/>
          <w:color w:val="000000" w:themeColor="text1"/>
        </w:rPr>
        <w:t>.</w:t>
      </w:r>
      <w:r w:rsidR="00555B0D">
        <w:rPr>
          <w:rStyle w:val="FootnoteReference"/>
          <w:rFonts w:ascii="Calibri" w:eastAsia="Calibri" w:hAnsi="Calibri" w:cs="Calibri"/>
          <w:color w:val="000000" w:themeColor="text1"/>
        </w:rPr>
        <w:footnoteReference w:id="200"/>
      </w:r>
      <w:r w:rsidRPr="0017357E">
        <w:rPr>
          <w:rFonts w:ascii="Calibri" w:eastAsia="Calibri" w:hAnsi="Calibri" w:cs="Calibri"/>
          <w:color w:val="000000" w:themeColor="text1"/>
        </w:rPr>
        <w:t xml:space="preserve"> </w:t>
      </w:r>
      <w:r>
        <w:rPr>
          <w:rFonts w:ascii="Calibri" w:eastAsia="Times New Roman" w:hAnsi="Calibri" w:cs="Times New Roman"/>
          <w:lang w:eastAsia="en-GB"/>
        </w:rPr>
        <w:t>This meant m</w:t>
      </w:r>
      <w:r w:rsidRPr="00B43F5C">
        <w:rPr>
          <w:rFonts w:ascii="Calibri" w:eastAsia="Times New Roman" w:hAnsi="Calibri" w:cs="Times New Roman"/>
          <w:lang w:eastAsia="en-GB"/>
        </w:rPr>
        <w:t>aintaining effective, sustainable</w:t>
      </w:r>
      <w:r>
        <w:rPr>
          <w:rFonts w:ascii="Calibri" w:eastAsia="Times New Roman" w:hAnsi="Calibri" w:cs="Times New Roman"/>
          <w:lang w:eastAsia="en-GB"/>
        </w:rPr>
        <w:t xml:space="preserve"> </w:t>
      </w:r>
      <w:r w:rsidRPr="00B43F5C">
        <w:rPr>
          <w:rFonts w:ascii="Calibri" w:eastAsia="Times New Roman" w:hAnsi="Calibri" w:cs="Times New Roman"/>
          <w:lang w:eastAsia="en-GB"/>
        </w:rPr>
        <w:t>and long-term engagement</w:t>
      </w:r>
      <w:r>
        <w:rPr>
          <w:rFonts w:ascii="Calibri" w:eastAsia="Times New Roman" w:hAnsi="Calibri" w:cs="Times New Roman"/>
          <w:lang w:eastAsia="en-GB"/>
        </w:rPr>
        <w:t xml:space="preserve"> </w:t>
      </w:r>
      <w:r w:rsidR="00341057">
        <w:rPr>
          <w:rFonts w:ascii="Calibri" w:eastAsia="Times New Roman" w:hAnsi="Calibri" w:cs="Times New Roman"/>
          <w:lang w:eastAsia="en-GB"/>
        </w:rPr>
        <w:t>with</w:t>
      </w:r>
      <w:r w:rsidRPr="00B43F5C">
        <w:rPr>
          <w:rFonts w:ascii="Calibri" w:eastAsia="Times New Roman" w:hAnsi="Calibri" w:cs="Times New Roman"/>
          <w:lang w:eastAsia="en-GB"/>
        </w:rPr>
        <w:t xml:space="preserve"> </w:t>
      </w:r>
      <w:r>
        <w:rPr>
          <w:rFonts w:ascii="Calibri" w:eastAsia="Times New Roman" w:hAnsi="Calibri" w:cs="Times New Roman"/>
          <w:lang w:eastAsia="en-GB"/>
        </w:rPr>
        <w:t xml:space="preserve">affected </w:t>
      </w:r>
      <w:r w:rsidRPr="00B43F5C">
        <w:rPr>
          <w:rFonts w:ascii="Calibri" w:eastAsia="Times New Roman" w:hAnsi="Calibri" w:cs="Times New Roman"/>
          <w:lang w:eastAsia="en-GB"/>
        </w:rPr>
        <w:t>communities</w:t>
      </w:r>
      <w:r w:rsidR="00700F99">
        <w:rPr>
          <w:rFonts w:ascii="Calibri" w:eastAsia="Times New Roman" w:hAnsi="Calibri" w:cs="Times New Roman"/>
          <w:lang w:eastAsia="en-GB"/>
        </w:rPr>
        <w:t>. It also meant</w:t>
      </w:r>
      <w:r>
        <w:rPr>
          <w:rFonts w:ascii="Calibri" w:eastAsia="Times New Roman" w:hAnsi="Calibri" w:cs="Times New Roman"/>
          <w:lang w:eastAsia="en-GB"/>
        </w:rPr>
        <w:t xml:space="preserve"> ensuring that </w:t>
      </w:r>
      <w:r w:rsidR="00341057">
        <w:rPr>
          <w:rFonts w:ascii="Calibri" w:eastAsia="Times New Roman" w:hAnsi="Calibri" w:cs="Times New Roman"/>
          <w:lang w:eastAsia="en-GB"/>
        </w:rPr>
        <w:t>the REWG reflected</w:t>
      </w:r>
      <w:r>
        <w:rPr>
          <w:rFonts w:ascii="Calibri" w:eastAsia="Times New Roman" w:hAnsi="Calibri" w:cs="Times New Roman"/>
          <w:lang w:eastAsia="en-GB"/>
        </w:rPr>
        <w:t xml:space="preserve"> critically on the effectiveness of</w:t>
      </w:r>
      <w:r w:rsidR="00341057">
        <w:rPr>
          <w:rFonts w:ascii="Calibri" w:eastAsia="Times New Roman" w:hAnsi="Calibri" w:cs="Times New Roman"/>
          <w:lang w:eastAsia="en-GB"/>
        </w:rPr>
        <w:t xml:space="preserve"> its</w:t>
      </w:r>
      <w:r w:rsidDel="00341057">
        <w:rPr>
          <w:rFonts w:ascii="Calibri" w:eastAsia="Times New Roman" w:hAnsi="Calibri" w:cs="Times New Roman"/>
          <w:lang w:eastAsia="en-GB"/>
        </w:rPr>
        <w:t xml:space="preserve"> </w:t>
      </w:r>
      <w:r>
        <w:rPr>
          <w:rFonts w:ascii="Calibri" w:eastAsia="Times New Roman" w:hAnsi="Calibri" w:cs="Times New Roman"/>
          <w:lang w:eastAsia="en-GB"/>
        </w:rPr>
        <w:t xml:space="preserve">processes over </w:t>
      </w:r>
      <w:r w:rsidRPr="00B43F5C">
        <w:rPr>
          <w:rFonts w:ascii="Calibri" w:eastAsia="Times New Roman" w:hAnsi="Calibri" w:cs="Times New Roman"/>
          <w:lang w:eastAsia="en-GB"/>
        </w:rPr>
        <w:t xml:space="preserve">the course of the project. </w:t>
      </w:r>
      <w:r w:rsidR="00700F99">
        <w:rPr>
          <w:rFonts w:ascii="Calibri" w:eastAsia="Times New Roman" w:hAnsi="Calibri" w:cs="Times New Roman"/>
          <w:lang w:eastAsia="en-GB"/>
        </w:rPr>
        <w:t xml:space="preserve">The summary below </w:t>
      </w:r>
      <w:r w:rsidRPr="00B43F5C" w:rsidDel="00700F99">
        <w:rPr>
          <w:rFonts w:ascii="Calibri" w:eastAsia="Times New Roman" w:hAnsi="Calibri" w:cs="Times New Roman"/>
          <w:lang w:eastAsia="en-GB"/>
        </w:rPr>
        <w:t>p</w:t>
      </w:r>
      <w:r w:rsidRPr="00B43F5C">
        <w:rPr>
          <w:rFonts w:ascii="Calibri" w:eastAsia="Times New Roman" w:hAnsi="Calibri" w:cs="Times New Roman"/>
          <w:lang w:eastAsia="en-GB"/>
        </w:rPr>
        <w:t>rovide</w:t>
      </w:r>
      <w:r w:rsidR="00700F99">
        <w:rPr>
          <w:rFonts w:ascii="Calibri" w:eastAsia="Times New Roman" w:hAnsi="Calibri" w:cs="Times New Roman"/>
          <w:lang w:eastAsia="en-GB"/>
        </w:rPr>
        <w:t>s</w:t>
      </w:r>
      <w:r w:rsidRPr="00B43F5C" w:rsidDel="00700F99">
        <w:rPr>
          <w:rFonts w:ascii="Calibri" w:eastAsia="Times New Roman" w:hAnsi="Calibri" w:cs="Times New Roman"/>
          <w:lang w:eastAsia="en-GB"/>
        </w:rPr>
        <w:t xml:space="preserve"> </w:t>
      </w:r>
      <w:r w:rsidRPr="00B43F5C">
        <w:rPr>
          <w:rFonts w:ascii="Calibri" w:eastAsia="Times New Roman" w:hAnsi="Calibri" w:cs="Times New Roman"/>
          <w:lang w:eastAsia="en-GB"/>
        </w:rPr>
        <w:t xml:space="preserve">insight into the </w:t>
      </w:r>
      <w:r>
        <w:rPr>
          <w:rFonts w:ascii="Calibri" w:eastAsia="Times New Roman" w:hAnsi="Calibri" w:cs="Times New Roman"/>
          <w:lang w:eastAsia="en-GB"/>
        </w:rPr>
        <w:t xml:space="preserve">main </w:t>
      </w:r>
      <w:r w:rsidRPr="00B43F5C">
        <w:rPr>
          <w:rFonts w:ascii="Calibri" w:eastAsia="Times New Roman" w:hAnsi="Calibri" w:cs="Times New Roman"/>
          <w:lang w:eastAsia="en-GB"/>
        </w:rPr>
        <w:t>considerations</w:t>
      </w:r>
      <w:r>
        <w:rPr>
          <w:rFonts w:ascii="Calibri" w:eastAsia="Times New Roman" w:hAnsi="Calibri" w:cs="Times New Roman"/>
          <w:lang w:eastAsia="en-GB"/>
        </w:rPr>
        <w:t xml:space="preserve"> and</w:t>
      </w:r>
      <w:r w:rsidRPr="00B43F5C">
        <w:rPr>
          <w:rFonts w:ascii="Calibri" w:eastAsia="Times New Roman" w:hAnsi="Calibri" w:cs="Times New Roman"/>
          <w:lang w:eastAsia="en-GB"/>
        </w:rPr>
        <w:t xml:space="preserve"> reflections</w:t>
      </w:r>
      <w:r>
        <w:rPr>
          <w:rFonts w:ascii="Calibri" w:eastAsia="Times New Roman" w:hAnsi="Calibri" w:cs="Times New Roman"/>
          <w:lang w:eastAsia="en-GB"/>
        </w:rPr>
        <w:t xml:space="preserve"> that emerged from the organisation of different community-centred events, workshops and focus groups, in line </w:t>
      </w:r>
      <w:r w:rsidRPr="0017357E">
        <w:rPr>
          <w:rFonts w:ascii="Calibri" w:eastAsia="Calibri" w:hAnsi="Calibri" w:cs="Calibri"/>
          <w:color w:val="000000" w:themeColor="text1"/>
        </w:rPr>
        <w:t xml:space="preserve">with our </w:t>
      </w:r>
      <w:hyperlink r:id="rId116">
        <w:r w:rsidRPr="0017357E">
          <w:rPr>
            <w:rStyle w:val="Hyperlink"/>
            <w:rFonts w:ascii="Calibri" w:eastAsia="Calibri" w:hAnsi="Calibri" w:cs="Calibri"/>
            <w:color w:val="000000" w:themeColor="text1"/>
          </w:rPr>
          <w:t>Principles of Participation</w:t>
        </w:r>
      </w:hyperlink>
      <w:r w:rsidR="00700F99">
        <w:t>.</w:t>
      </w:r>
      <w:r w:rsidR="00700F99">
        <w:rPr>
          <w:rStyle w:val="FootnoteReference"/>
        </w:rPr>
        <w:footnoteReference w:id="201"/>
      </w:r>
      <w:r>
        <w:rPr>
          <w:rFonts w:ascii="Calibri" w:eastAsia="Calibri" w:hAnsi="Calibri" w:cs="Calibri"/>
          <w:color w:val="000000" w:themeColor="text1"/>
        </w:rPr>
        <w:t xml:space="preserve"> </w:t>
      </w:r>
      <w:r w:rsidR="00F328FB">
        <w:rPr>
          <w:rFonts w:ascii="Calibri" w:eastAsia="Calibri" w:hAnsi="Calibri" w:cs="Calibri"/>
          <w:color w:val="000000" w:themeColor="text1"/>
        </w:rPr>
        <w:t xml:space="preserve">This work provides the foundation for our key reparatory justice recommendations and </w:t>
      </w:r>
      <w:r w:rsidR="000F7D35">
        <w:rPr>
          <w:rFonts w:ascii="Calibri" w:eastAsia="Calibri" w:hAnsi="Calibri" w:cs="Calibri"/>
          <w:color w:val="000000" w:themeColor="text1"/>
        </w:rPr>
        <w:t xml:space="preserve">suggestions for what steps should be taken next. </w:t>
      </w:r>
    </w:p>
    <w:p w14:paraId="1C7547C1" w14:textId="162523B4" w:rsidR="00773F7C" w:rsidRPr="0017357E" w:rsidRDefault="00773F7C" w:rsidP="00016E93">
      <w:pPr>
        <w:autoSpaceDE w:val="0"/>
        <w:autoSpaceDN w:val="0"/>
        <w:adjustRightInd w:val="0"/>
        <w:spacing w:line="259" w:lineRule="auto"/>
        <w:jc w:val="both"/>
        <w:rPr>
          <w:rFonts w:ascii="Calibri" w:eastAsia="Calibri" w:hAnsi="Calibri" w:cs="Calibri"/>
          <w:color w:val="000000" w:themeColor="text1"/>
        </w:rPr>
      </w:pPr>
    </w:p>
    <w:p w14:paraId="5BBEB844" w14:textId="77777777" w:rsidR="00061047" w:rsidRPr="00334798" w:rsidRDefault="00061047" w:rsidP="00334798">
      <w:pPr>
        <w:pStyle w:val="Heading2"/>
      </w:pPr>
      <w:bookmarkStart w:id="95" w:name="_Toc190939432"/>
      <w:bookmarkStart w:id="96" w:name="_Toc202627115"/>
      <w:bookmarkStart w:id="97" w:name="_Toc157238077"/>
      <w:r w:rsidRPr="00334798">
        <w:t>Methods</w:t>
      </w:r>
      <w:bookmarkEnd w:id="95"/>
      <w:bookmarkEnd w:id="96"/>
    </w:p>
    <w:p w14:paraId="34918082" w14:textId="14AC070F" w:rsidR="00F96DB0" w:rsidRPr="00E236DF" w:rsidRDefault="00E236DF" w:rsidP="00EB11F2">
      <w:pPr>
        <w:spacing w:line="259" w:lineRule="auto"/>
        <w:rPr>
          <w:rFonts w:ascii="Calibri" w:hAnsi="Calibri" w:cs="Calibri"/>
        </w:rPr>
      </w:pPr>
      <w:r w:rsidRPr="00891F88">
        <w:rPr>
          <w:rFonts w:ascii="Calibri" w:eastAsia="Times New Roman" w:hAnsi="Calibri" w:cs="Calibri"/>
          <w:lang w:eastAsia="en-GB"/>
        </w:rPr>
        <w:t>Community engagement was understood as following a two-way approach where communities could speak to the institution and each other</w:t>
      </w:r>
      <w:r w:rsidR="0063358A">
        <w:rPr>
          <w:rFonts w:ascii="Calibri" w:eastAsia="Times New Roman" w:hAnsi="Calibri" w:cs="Calibri"/>
          <w:lang w:eastAsia="en-GB"/>
        </w:rPr>
        <w:t>.</w:t>
      </w:r>
      <w:r w:rsidRPr="00891F88">
        <w:rPr>
          <w:rFonts w:ascii="Calibri" w:eastAsia="Times New Roman" w:hAnsi="Calibri" w:cs="Calibri"/>
          <w:lang w:eastAsia="en-GB"/>
        </w:rPr>
        <w:t xml:space="preserve"> </w:t>
      </w:r>
      <w:r w:rsidR="0063358A">
        <w:rPr>
          <w:rFonts w:ascii="Calibri" w:eastAsia="Times New Roman" w:hAnsi="Calibri" w:cs="Calibri"/>
          <w:lang w:eastAsia="en-GB"/>
        </w:rPr>
        <w:t>T</w:t>
      </w:r>
      <w:r w:rsidRPr="00891F88">
        <w:rPr>
          <w:rFonts w:ascii="Calibri" w:eastAsia="Times New Roman" w:hAnsi="Calibri" w:cs="Calibri"/>
          <w:lang w:eastAsia="en-GB"/>
        </w:rPr>
        <w:t xml:space="preserve">he aim </w:t>
      </w:r>
      <w:r w:rsidR="0063358A">
        <w:rPr>
          <w:rFonts w:ascii="Calibri" w:eastAsia="Times New Roman" w:hAnsi="Calibri" w:cs="Calibri"/>
          <w:lang w:eastAsia="en-GB"/>
        </w:rPr>
        <w:t>was</w:t>
      </w:r>
      <w:r w:rsidRPr="00891F88">
        <w:rPr>
          <w:rFonts w:ascii="Calibri" w:eastAsia="Times New Roman" w:hAnsi="Calibri" w:cs="Calibri"/>
          <w:lang w:eastAsia="en-GB"/>
        </w:rPr>
        <w:t xml:space="preserve"> to build community capabilities for engaging with the institution and </w:t>
      </w:r>
      <w:r w:rsidR="00265548">
        <w:rPr>
          <w:rFonts w:ascii="Calibri" w:eastAsia="Times New Roman" w:hAnsi="Calibri" w:cs="Calibri"/>
          <w:lang w:eastAsia="en-GB"/>
        </w:rPr>
        <w:t>to create</w:t>
      </w:r>
      <w:r w:rsidR="00265548" w:rsidRPr="00891F88">
        <w:rPr>
          <w:rFonts w:ascii="Calibri" w:eastAsia="Times New Roman" w:hAnsi="Calibri" w:cs="Calibri"/>
          <w:lang w:eastAsia="en-GB"/>
        </w:rPr>
        <w:t xml:space="preserve"> </w:t>
      </w:r>
      <w:r w:rsidRPr="00891F88">
        <w:rPr>
          <w:rFonts w:ascii="Calibri" w:eastAsia="Times New Roman" w:hAnsi="Calibri" w:cs="Calibri"/>
          <w:lang w:eastAsia="en-GB"/>
        </w:rPr>
        <w:t xml:space="preserve">a collaborative culture of shared ownership in the intellectual work and progression of the project. The project </w:t>
      </w:r>
      <w:r w:rsidR="00346D38">
        <w:rPr>
          <w:rFonts w:ascii="Calibri" w:eastAsia="Times New Roman" w:hAnsi="Calibri" w:cs="Calibri"/>
          <w:lang w:eastAsia="en-GB"/>
        </w:rPr>
        <w:t>sought</w:t>
      </w:r>
      <w:r w:rsidR="00346D38" w:rsidRPr="00891F88">
        <w:rPr>
          <w:rFonts w:ascii="Calibri" w:eastAsia="Times New Roman" w:hAnsi="Calibri" w:cs="Calibri"/>
          <w:lang w:eastAsia="en-GB"/>
        </w:rPr>
        <w:t xml:space="preserve"> </w:t>
      </w:r>
      <w:r w:rsidRPr="00891F88">
        <w:rPr>
          <w:rFonts w:ascii="Calibri" w:eastAsia="Times New Roman" w:hAnsi="Calibri" w:cs="Calibri"/>
          <w:lang w:eastAsia="en-GB"/>
        </w:rPr>
        <w:t>to move away from extractive models of engagement that are often limited to consultation, and move towards involvement, collaboration and empowering modes of engagement</w:t>
      </w:r>
      <w:r w:rsidR="008F43BF">
        <w:rPr>
          <w:rFonts w:ascii="Calibri" w:eastAsia="Times New Roman" w:hAnsi="Calibri" w:cs="Calibri"/>
          <w:lang w:eastAsia="en-GB"/>
        </w:rPr>
        <w:t>.</w:t>
      </w:r>
      <w:r w:rsidRPr="00891F88">
        <w:rPr>
          <w:rFonts w:ascii="Calibri" w:hAnsi="Calibri" w:cs="Calibri"/>
        </w:rPr>
        <w:t xml:space="preserve"> As outlined in </w:t>
      </w:r>
      <w:r w:rsidR="008F43BF">
        <w:rPr>
          <w:rFonts w:ascii="Calibri" w:hAnsi="Calibri" w:cs="Calibri"/>
        </w:rPr>
        <w:t xml:space="preserve">the </w:t>
      </w:r>
      <w:r w:rsidR="008F43BF" w:rsidRPr="00891F88">
        <w:rPr>
          <w:rFonts w:ascii="Calibri" w:eastAsia="Times New Roman" w:hAnsi="Calibri" w:cs="Calibri"/>
          <w:lang w:eastAsia="en-GB"/>
        </w:rPr>
        <w:t>West Lothian spectrum of engagement</w:t>
      </w:r>
      <w:r w:rsidR="008F43BF" w:rsidRPr="00891F88">
        <w:rPr>
          <w:rFonts w:ascii="Calibri" w:hAnsi="Calibri" w:cs="Calibri"/>
        </w:rPr>
        <w:t xml:space="preserve"> </w:t>
      </w:r>
      <w:r w:rsidRPr="00891F88">
        <w:rPr>
          <w:rFonts w:ascii="Calibri" w:hAnsi="Calibri" w:cs="Calibri"/>
        </w:rPr>
        <w:t xml:space="preserve">toolkit, </w:t>
      </w:r>
      <w:r w:rsidR="00265548">
        <w:rPr>
          <w:rFonts w:ascii="Calibri" w:hAnsi="Calibri" w:cs="Calibri"/>
        </w:rPr>
        <w:t xml:space="preserve">noted below, </w:t>
      </w:r>
      <w:r w:rsidRPr="00891F88">
        <w:rPr>
          <w:rFonts w:ascii="Calibri" w:hAnsi="Calibri" w:cs="Calibri"/>
        </w:rPr>
        <w:t>there are various national standards that need to be attained for work to be classified as engagement.</w:t>
      </w:r>
      <w:r w:rsidR="008F43BF" w:rsidRPr="00891F88">
        <w:rPr>
          <w:rStyle w:val="FootnoteReference"/>
          <w:rFonts w:ascii="Calibri" w:hAnsi="Calibri" w:cs="Calibri"/>
        </w:rPr>
        <w:footnoteReference w:id="202"/>
      </w:r>
      <w:r w:rsidRPr="00891F88">
        <w:rPr>
          <w:rFonts w:ascii="Calibri" w:hAnsi="Calibri" w:cs="Calibri"/>
        </w:rPr>
        <w:t xml:space="preserve"> At a minimum, </w:t>
      </w:r>
      <w:r w:rsidR="005163ED">
        <w:rPr>
          <w:rFonts w:ascii="Calibri" w:hAnsi="Calibri" w:cs="Calibri"/>
        </w:rPr>
        <w:t xml:space="preserve">the REWG’s </w:t>
      </w:r>
      <w:r w:rsidRPr="00891F88">
        <w:rPr>
          <w:rFonts w:ascii="Calibri" w:hAnsi="Calibri" w:cs="Calibri"/>
        </w:rPr>
        <w:t xml:space="preserve">engagement with the public and communities of reparatory justice interest </w:t>
      </w:r>
      <w:r w:rsidR="00D326A4">
        <w:rPr>
          <w:rFonts w:ascii="Calibri" w:hAnsi="Calibri" w:cs="Calibri"/>
        </w:rPr>
        <w:t xml:space="preserve">sought to </w:t>
      </w:r>
      <w:r w:rsidR="001F6EC2">
        <w:rPr>
          <w:rFonts w:ascii="Calibri" w:hAnsi="Calibri" w:cs="Calibri"/>
        </w:rPr>
        <w:t xml:space="preserve">achieve the </w:t>
      </w:r>
      <w:r w:rsidR="00430F4E">
        <w:rPr>
          <w:rFonts w:ascii="Calibri" w:hAnsi="Calibri" w:cs="Calibri"/>
        </w:rPr>
        <w:t>involve</w:t>
      </w:r>
      <w:r w:rsidR="00317117">
        <w:rPr>
          <w:rFonts w:ascii="Calibri" w:hAnsi="Calibri" w:cs="Calibri"/>
        </w:rPr>
        <w:t xml:space="preserve">ment </w:t>
      </w:r>
      <w:r w:rsidR="005163ED">
        <w:rPr>
          <w:rFonts w:ascii="Calibri" w:hAnsi="Calibri" w:cs="Calibri"/>
        </w:rPr>
        <w:t>standard</w:t>
      </w:r>
      <w:r w:rsidRPr="00891F88">
        <w:rPr>
          <w:rFonts w:ascii="Calibri" w:hAnsi="Calibri" w:cs="Calibri"/>
        </w:rPr>
        <w:t xml:space="preserve"> to guarantee that </w:t>
      </w:r>
      <w:r w:rsidR="0011512E">
        <w:rPr>
          <w:rFonts w:ascii="Calibri" w:hAnsi="Calibri" w:cs="Calibri"/>
        </w:rPr>
        <w:t>community</w:t>
      </w:r>
      <w:r w:rsidRPr="00891F88">
        <w:rPr>
          <w:rFonts w:ascii="Calibri" w:hAnsi="Calibri" w:cs="Calibri"/>
        </w:rPr>
        <w:t xml:space="preserve"> concerns and aims were understood and considered.</w:t>
      </w:r>
      <w:r w:rsidR="00430F4E">
        <w:rPr>
          <w:rStyle w:val="FootnoteReference"/>
          <w:rFonts w:ascii="Calibri" w:hAnsi="Calibri" w:cs="Calibri"/>
        </w:rPr>
        <w:footnoteReference w:id="203"/>
      </w:r>
      <w:r w:rsidRPr="00891F88">
        <w:rPr>
          <w:rFonts w:ascii="Calibri" w:hAnsi="Calibri" w:cs="Calibri"/>
        </w:rPr>
        <w:t xml:space="preserve"> This </w:t>
      </w:r>
      <w:r w:rsidR="001F319C">
        <w:rPr>
          <w:rFonts w:ascii="Calibri" w:hAnsi="Calibri" w:cs="Calibri"/>
        </w:rPr>
        <w:t>included</w:t>
      </w:r>
      <w:r w:rsidR="00E62AB5">
        <w:rPr>
          <w:rFonts w:ascii="Calibri" w:hAnsi="Calibri" w:cs="Calibri"/>
        </w:rPr>
        <w:t xml:space="preserve"> </w:t>
      </w:r>
      <w:r w:rsidR="00264A0C">
        <w:rPr>
          <w:rFonts w:ascii="Calibri" w:hAnsi="Calibri" w:cs="Calibri"/>
        </w:rPr>
        <w:t xml:space="preserve">having </w:t>
      </w:r>
      <w:r w:rsidR="001F319C">
        <w:rPr>
          <w:rFonts w:ascii="Calibri" w:hAnsi="Calibri" w:cs="Calibri"/>
        </w:rPr>
        <w:t xml:space="preserve">representatives from communities of reparatory justice interest </w:t>
      </w:r>
      <w:r w:rsidR="0011512E">
        <w:rPr>
          <w:rFonts w:ascii="Calibri" w:hAnsi="Calibri" w:cs="Calibri"/>
        </w:rPr>
        <w:t xml:space="preserve">working </w:t>
      </w:r>
      <w:r w:rsidR="001F319C">
        <w:rPr>
          <w:rFonts w:ascii="Calibri" w:hAnsi="Calibri" w:cs="Calibri"/>
        </w:rPr>
        <w:t>as</w:t>
      </w:r>
      <w:r w:rsidRPr="00891F88">
        <w:rPr>
          <w:rFonts w:ascii="Calibri" w:hAnsi="Calibri" w:cs="Calibri"/>
        </w:rPr>
        <w:t xml:space="preserve"> paid consultants </w:t>
      </w:r>
      <w:r w:rsidR="00DE741E">
        <w:rPr>
          <w:rFonts w:ascii="Calibri" w:hAnsi="Calibri" w:cs="Calibri"/>
        </w:rPr>
        <w:t>and members of the REWG</w:t>
      </w:r>
      <w:r w:rsidR="00265548">
        <w:rPr>
          <w:rFonts w:ascii="Calibri" w:hAnsi="Calibri" w:cs="Calibri"/>
        </w:rPr>
        <w:t>,</w:t>
      </w:r>
      <w:r w:rsidR="00DE741E">
        <w:rPr>
          <w:rFonts w:ascii="Calibri" w:hAnsi="Calibri" w:cs="Calibri"/>
        </w:rPr>
        <w:t xml:space="preserve"> </w:t>
      </w:r>
      <w:r w:rsidR="007A62A4">
        <w:rPr>
          <w:rFonts w:ascii="Calibri" w:hAnsi="Calibri" w:cs="Calibri"/>
        </w:rPr>
        <w:t>and setting up a</w:t>
      </w:r>
      <w:r w:rsidRPr="00891F88">
        <w:rPr>
          <w:rFonts w:ascii="Calibri" w:hAnsi="Calibri" w:cs="Calibri"/>
        </w:rPr>
        <w:t xml:space="preserve"> subgroup on community engagement. The consultants were joined by a network of </w:t>
      </w:r>
      <w:hyperlink r:id="rId117" w:history="1">
        <w:r w:rsidR="002418C2">
          <w:rPr>
            <w:rStyle w:val="Hyperlink"/>
            <w:rFonts w:ascii="Calibri" w:hAnsi="Calibri" w:cs="Calibri"/>
          </w:rPr>
          <w:t>C</w:t>
        </w:r>
        <w:r w:rsidRPr="00891F88">
          <w:rPr>
            <w:rStyle w:val="Hyperlink"/>
            <w:rFonts w:ascii="Calibri" w:hAnsi="Calibri" w:cs="Calibri"/>
          </w:rPr>
          <w:t xml:space="preserve">ommunity </w:t>
        </w:r>
        <w:r w:rsidR="002418C2">
          <w:rPr>
            <w:rStyle w:val="Hyperlink"/>
            <w:rFonts w:ascii="Calibri" w:hAnsi="Calibri" w:cs="Calibri"/>
          </w:rPr>
          <w:t>A</w:t>
        </w:r>
        <w:r w:rsidRPr="00891F88">
          <w:rPr>
            <w:rStyle w:val="Hyperlink"/>
            <w:rFonts w:ascii="Calibri" w:hAnsi="Calibri" w:cs="Calibri"/>
          </w:rPr>
          <w:t>nchors</w:t>
        </w:r>
      </w:hyperlink>
      <w:r w:rsidRPr="00891F88">
        <w:rPr>
          <w:rFonts w:ascii="Calibri" w:hAnsi="Calibri" w:cs="Calibri"/>
        </w:rPr>
        <w:t xml:space="preserve"> drawn from staff, student and external communities. Their role was to ensure </w:t>
      </w:r>
      <w:r w:rsidR="00626573">
        <w:rPr>
          <w:rFonts w:ascii="Calibri" w:hAnsi="Calibri" w:cs="Calibri"/>
        </w:rPr>
        <w:t xml:space="preserve">the consideration of </w:t>
      </w:r>
      <w:r w:rsidRPr="00891F88" w:rsidDel="00626573">
        <w:rPr>
          <w:rFonts w:ascii="Calibri" w:hAnsi="Calibri" w:cs="Calibri"/>
        </w:rPr>
        <w:t>‘</w:t>
      </w:r>
      <w:r w:rsidRPr="00891F88">
        <w:rPr>
          <w:rFonts w:ascii="Calibri" w:hAnsi="Calibri" w:cs="Calibri"/>
        </w:rPr>
        <w:t xml:space="preserve">a range of views </w:t>
      </w:r>
      <w:r w:rsidR="00626573">
        <w:rPr>
          <w:rFonts w:ascii="Calibri" w:hAnsi="Calibri" w:cs="Calibri"/>
        </w:rPr>
        <w:t>[…]</w:t>
      </w:r>
      <w:r w:rsidRPr="00891F88">
        <w:rPr>
          <w:rFonts w:ascii="Calibri" w:hAnsi="Calibri" w:cs="Calibri"/>
        </w:rPr>
        <w:t xml:space="preserve"> in </w:t>
      </w:r>
      <w:r w:rsidRPr="00891F88">
        <w:rPr>
          <w:rFonts w:ascii="Calibri" w:hAnsi="Calibri" w:cs="Calibri"/>
        </w:rPr>
        <w:lastRenderedPageBreak/>
        <w:t>the formulation of engagement sessions, resource distribution and final recommendations’</w:t>
      </w:r>
      <w:r w:rsidR="00D94135">
        <w:rPr>
          <w:rFonts w:ascii="Calibri" w:hAnsi="Calibri" w:cs="Calibri"/>
        </w:rPr>
        <w:t>.</w:t>
      </w:r>
      <w:r w:rsidR="00D94135">
        <w:rPr>
          <w:rStyle w:val="FootnoteReference"/>
          <w:rFonts w:ascii="Calibri" w:hAnsi="Calibri" w:cs="Calibri"/>
        </w:rPr>
        <w:footnoteReference w:id="204"/>
      </w:r>
      <w:r w:rsidRPr="00891F88">
        <w:rPr>
          <w:rFonts w:ascii="Calibri" w:hAnsi="Calibri" w:cs="Calibri"/>
        </w:rPr>
        <w:t xml:space="preserve"> </w:t>
      </w:r>
      <w:r w:rsidR="00795F3B">
        <w:rPr>
          <w:rFonts w:ascii="Calibri" w:hAnsi="Calibri" w:cs="Calibri"/>
        </w:rPr>
        <w:t xml:space="preserve">Consultants and </w:t>
      </w:r>
      <w:r w:rsidR="002418C2">
        <w:rPr>
          <w:rFonts w:ascii="Calibri" w:hAnsi="Calibri" w:cs="Calibri"/>
        </w:rPr>
        <w:t>A</w:t>
      </w:r>
      <w:r w:rsidR="00795F3B">
        <w:rPr>
          <w:rFonts w:ascii="Calibri" w:hAnsi="Calibri" w:cs="Calibri"/>
        </w:rPr>
        <w:t>nchors were</w:t>
      </w:r>
      <w:r w:rsidRPr="00891F88">
        <w:rPr>
          <w:rFonts w:ascii="Calibri" w:hAnsi="Calibri" w:cs="Calibri"/>
        </w:rPr>
        <w:t xml:space="preserve"> selected </w:t>
      </w:r>
      <w:r w:rsidR="00795F3B">
        <w:rPr>
          <w:rFonts w:ascii="Calibri" w:hAnsi="Calibri" w:cs="Calibri"/>
        </w:rPr>
        <w:t>based on</w:t>
      </w:r>
      <w:r w:rsidRPr="00891F88">
        <w:rPr>
          <w:rFonts w:ascii="Calibri" w:hAnsi="Calibri" w:cs="Calibri"/>
        </w:rPr>
        <w:t xml:space="preserve"> their record of accomplishment in community work</w:t>
      </w:r>
      <w:r w:rsidR="00795F3B">
        <w:rPr>
          <w:rFonts w:ascii="Calibri" w:hAnsi="Calibri" w:cs="Calibri"/>
        </w:rPr>
        <w:t>,</w:t>
      </w:r>
      <w:r w:rsidRPr="00891F88">
        <w:rPr>
          <w:rFonts w:ascii="Calibri" w:hAnsi="Calibri" w:cs="Calibri"/>
        </w:rPr>
        <w:t xml:space="preserve"> their expertise and knowledge in relation to </w:t>
      </w:r>
      <w:r w:rsidR="00795F3B">
        <w:rPr>
          <w:rFonts w:ascii="Calibri" w:hAnsi="Calibri" w:cs="Calibri"/>
        </w:rPr>
        <w:t xml:space="preserve">the </w:t>
      </w:r>
      <w:r w:rsidRPr="00891F88">
        <w:rPr>
          <w:rFonts w:ascii="Calibri" w:hAnsi="Calibri" w:cs="Calibri"/>
        </w:rPr>
        <w:t xml:space="preserve">histories and legacies of enslavement and colonialism, </w:t>
      </w:r>
      <w:r w:rsidR="00795F3B">
        <w:rPr>
          <w:rFonts w:ascii="Calibri" w:hAnsi="Calibri" w:cs="Calibri"/>
        </w:rPr>
        <w:t>and</w:t>
      </w:r>
      <w:r w:rsidRPr="00891F88">
        <w:rPr>
          <w:rFonts w:ascii="Calibri" w:hAnsi="Calibri" w:cs="Calibri"/>
        </w:rPr>
        <w:t xml:space="preserve"> their position as key individuals who understand the primary concerns of those within their </w:t>
      </w:r>
      <w:r w:rsidR="00795F3B">
        <w:rPr>
          <w:rFonts w:ascii="Calibri" w:hAnsi="Calibri" w:cs="Calibri"/>
        </w:rPr>
        <w:t xml:space="preserve">respective </w:t>
      </w:r>
      <w:r w:rsidRPr="00891F88">
        <w:rPr>
          <w:rFonts w:ascii="Calibri" w:hAnsi="Calibri" w:cs="Calibri"/>
        </w:rPr>
        <w:t>communities.</w:t>
      </w:r>
      <w:r w:rsidRPr="00891F88">
        <w:rPr>
          <w:rStyle w:val="FootnoteReference"/>
          <w:rFonts w:ascii="Calibri" w:hAnsi="Calibri" w:cs="Calibri"/>
        </w:rPr>
        <w:footnoteReference w:id="205"/>
      </w:r>
      <w:r w:rsidRPr="00891F88">
        <w:rPr>
          <w:rFonts w:ascii="Calibri" w:hAnsi="Calibri" w:cs="Calibri"/>
        </w:rPr>
        <w:t xml:space="preserve"> Both consultants and </w:t>
      </w:r>
      <w:r w:rsidR="002418C2">
        <w:rPr>
          <w:rFonts w:ascii="Calibri" w:hAnsi="Calibri" w:cs="Calibri"/>
        </w:rPr>
        <w:t>A</w:t>
      </w:r>
      <w:r w:rsidRPr="00891F88">
        <w:rPr>
          <w:rFonts w:ascii="Calibri" w:hAnsi="Calibri" w:cs="Calibri"/>
        </w:rPr>
        <w:t>nchors were instrumental in helping the REWG to critically analyse its processes and outcomes</w:t>
      </w:r>
      <w:r w:rsidR="00795F3B">
        <w:rPr>
          <w:rFonts w:ascii="Calibri" w:hAnsi="Calibri" w:cs="Calibri"/>
        </w:rPr>
        <w:t xml:space="preserve">. They </w:t>
      </w:r>
      <w:r w:rsidRPr="00891F88">
        <w:rPr>
          <w:rFonts w:ascii="Calibri" w:hAnsi="Calibri" w:cs="Calibri"/>
        </w:rPr>
        <w:t>ensur</w:t>
      </w:r>
      <w:r w:rsidR="00795F3B">
        <w:rPr>
          <w:rFonts w:ascii="Calibri" w:hAnsi="Calibri" w:cs="Calibri"/>
        </w:rPr>
        <w:t>ed</w:t>
      </w:r>
      <w:r w:rsidRPr="00891F88">
        <w:rPr>
          <w:rFonts w:ascii="Calibri" w:hAnsi="Calibri" w:cs="Calibri"/>
        </w:rPr>
        <w:t xml:space="preserve"> that the work consistently considered community concerns and needs</w:t>
      </w:r>
      <w:r w:rsidR="00210B53">
        <w:rPr>
          <w:rFonts w:ascii="Calibri" w:hAnsi="Calibri" w:cs="Calibri"/>
        </w:rPr>
        <w:t>. They also</w:t>
      </w:r>
      <w:r w:rsidRPr="00891F88">
        <w:rPr>
          <w:rFonts w:ascii="Calibri" w:hAnsi="Calibri" w:cs="Calibri"/>
        </w:rPr>
        <w:t xml:space="preserve"> encouraged a communicative atmosphere in which we sought </w:t>
      </w:r>
      <w:r w:rsidR="00F25482">
        <w:rPr>
          <w:rFonts w:ascii="Calibri" w:hAnsi="Calibri" w:cs="Calibri"/>
        </w:rPr>
        <w:t>to</w:t>
      </w:r>
      <w:r w:rsidR="00F25482" w:rsidRPr="00891F88">
        <w:rPr>
          <w:rFonts w:ascii="Calibri" w:hAnsi="Calibri" w:cs="Calibri"/>
        </w:rPr>
        <w:t xml:space="preserve"> </w:t>
      </w:r>
      <w:r w:rsidRPr="00891F88">
        <w:rPr>
          <w:rFonts w:ascii="Calibri" w:hAnsi="Calibri" w:cs="Calibri"/>
        </w:rPr>
        <w:t xml:space="preserve">incorporate the advice of our community partners as part of the project’s development. Finally, we aimed to </w:t>
      </w:r>
      <w:r w:rsidR="004A5906">
        <w:rPr>
          <w:rFonts w:ascii="Calibri" w:hAnsi="Calibri" w:cs="Calibri"/>
        </w:rPr>
        <w:t>achieve</w:t>
      </w:r>
      <w:r w:rsidR="004A5906" w:rsidRPr="00891F88">
        <w:rPr>
          <w:rFonts w:ascii="Calibri" w:hAnsi="Calibri" w:cs="Calibri"/>
        </w:rPr>
        <w:t xml:space="preserve"> </w:t>
      </w:r>
      <w:r w:rsidRPr="00891F88">
        <w:rPr>
          <w:rFonts w:ascii="Calibri" w:hAnsi="Calibri" w:cs="Calibri"/>
        </w:rPr>
        <w:t xml:space="preserve">the empowerment </w:t>
      </w:r>
      <w:r w:rsidR="004A5906">
        <w:rPr>
          <w:rFonts w:ascii="Calibri" w:hAnsi="Calibri" w:cs="Calibri"/>
        </w:rPr>
        <w:t>standard</w:t>
      </w:r>
      <w:r w:rsidR="004A5906" w:rsidRPr="00891F88">
        <w:rPr>
          <w:rFonts w:ascii="Calibri" w:hAnsi="Calibri" w:cs="Calibri"/>
        </w:rPr>
        <w:t xml:space="preserve"> </w:t>
      </w:r>
      <w:r w:rsidRPr="00891F88">
        <w:rPr>
          <w:rFonts w:ascii="Calibri" w:hAnsi="Calibri" w:cs="Calibri"/>
        </w:rPr>
        <w:t xml:space="preserve">of engagement by placing decision-making into the hands of both </w:t>
      </w:r>
      <w:r w:rsidR="00D3037F">
        <w:rPr>
          <w:rFonts w:ascii="Calibri" w:hAnsi="Calibri" w:cs="Calibri"/>
        </w:rPr>
        <w:t>communities of reparatory justice interest</w:t>
      </w:r>
      <w:r w:rsidRPr="00891F88">
        <w:rPr>
          <w:rFonts w:ascii="Calibri" w:hAnsi="Calibri" w:cs="Calibri"/>
        </w:rPr>
        <w:t xml:space="preserve"> and other interested parties, including staff, students and other professionals invested in addressing racial legacies.</w:t>
      </w:r>
      <w:r w:rsidR="004E2CA0">
        <w:rPr>
          <w:rStyle w:val="FootnoteReference"/>
          <w:rFonts w:ascii="Calibri" w:hAnsi="Calibri" w:cs="Calibri"/>
        </w:rPr>
        <w:footnoteReference w:id="206"/>
      </w:r>
      <w:r w:rsidRPr="00891F88">
        <w:rPr>
          <w:rFonts w:ascii="Calibri" w:hAnsi="Calibri" w:cs="Calibri"/>
        </w:rPr>
        <w:t xml:space="preserve"> These processes </w:t>
      </w:r>
      <w:r w:rsidR="00322DD2">
        <w:rPr>
          <w:rFonts w:ascii="Calibri" w:hAnsi="Calibri" w:cs="Calibri"/>
        </w:rPr>
        <w:t>were integral to</w:t>
      </w:r>
      <w:r w:rsidR="00322DD2" w:rsidRPr="00891F88">
        <w:rPr>
          <w:rFonts w:ascii="Calibri" w:hAnsi="Calibri" w:cs="Calibri"/>
        </w:rPr>
        <w:t xml:space="preserve"> </w:t>
      </w:r>
      <w:r w:rsidRPr="00891F88">
        <w:rPr>
          <w:rFonts w:ascii="Calibri" w:hAnsi="Calibri" w:cs="Calibri"/>
        </w:rPr>
        <w:t xml:space="preserve">the development of our final recommendations, with each instance of engagement being carefully documented and mapped. Contacts were made through the </w:t>
      </w:r>
      <w:hyperlink r:id="rId118" w:history="1">
        <w:r w:rsidRPr="00891F88">
          <w:rPr>
            <w:rStyle w:val="Hyperlink"/>
            <w:rFonts w:ascii="Calibri" w:hAnsi="Calibri" w:cs="Calibri"/>
          </w:rPr>
          <w:t>Decolonised Transformations</w:t>
        </w:r>
      </w:hyperlink>
      <w:r w:rsidRPr="00891F88">
        <w:rPr>
          <w:rFonts w:ascii="Calibri" w:hAnsi="Calibri" w:cs="Calibri"/>
        </w:rPr>
        <w:t xml:space="preserve"> blogsite and its mailing list, as well as external community networks (in Edinburgh, Scotland and the UK) and internal mailing lists</w:t>
      </w:r>
      <w:r w:rsidR="00206657">
        <w:rPr>
          <w:rFonts w:ascii="Calibri" w:hAnsi="Calibri" w:cs="Calibri"/>
        </w:rPr>
        <w:t xml:space="preserve">, such as </w:t>
      </w:r>
      <w:hyperlink r:id="rId119" w:history="1">
        <w:r w:rsidR="00784A83" w:rsidRPr="006C372F">
          <w:rPr>
            <w:rStyle w:val="Hyperlink"/>
            <w:rFonts w:ascii="Calibri" w:eastAsia="Calibri" w:hAnsi="Calibri" w:cs="Calibri"/>
          </w:rPr>
          <w:t>EREN</w:t>
        </w:r>
      </w:hyperlink>
      <w:r w:rsidR="00784A83">
        <w:rPr>
          <w:rFonts w:ascii="Calibri" w:eastAsia="Calibri" w:hAnsi="Calibri" w:cs="Calibri"/>
          <w:color w:val="000000" w:themeColor="text1"/>
        </w:rPr>
        <w:t xml:space="preserve"> </w:t>
      </w:r>
      <w:r w:rsidR="00784A83" w:rsidRPr="0017357E">
        <w:rPr>
          <w:rFonts w:ascii="Calibri" w:eastAsia="Calibri" w:hAnsi="Calibri" w:cs="Calibri"/>
          <w:color w:val="000000" w:themeColor="text1"/>
        </w:rPr>
        <w:t xml:space="preserve">and </w:t>
      </w:r>
      <w:hyperlink r:id="rId120">
        <w:r w:rsidR="00784A83" w:rsidRPr="0017357E">
          <w:rPr>
            <w:rStyle w:val="Hyperlink"/>
            <w:rFonts w:ascii="Calibri" w:eastAsia="Calibri" w:hAnsi="Calibri" w:cs="Calibri"/>
            <w:color w:val="000000" w:themeColor="text1"/>
          </w:rPr>
          <w:t>RaceEd</w:t>
        </w:r>
      </w:hyperlink>
      <w:r w:rsidRPr="00891F88">
        <w:rPr>
          <w:rFonts w:ascii="Calibri" w:hAnsi="Calibri" w:cs="Calibri"/>
        </w:rPr>
        <w:t>.</w:t>
      </w:r>
      <w:r w:rsidR="005133F3">
        <w:rPr>
          <w:rStyle w:val="FootnoteReference"/>
          <w:rFonts w:ascii="Calibri" w:hAnsi="Calibri" w:cs="Calibri"/>
        </w:rPr>
        <w:footnoteReference w:id="207"/>
      </w:r>
    </w:p>
    <w:p w14:paraId="443C28DA" w14:textId="77777777" w:rsidR="00061047" w:rsidRDefault="00061047" w:rsidP="00016E93">
      <w:pPr>
        <w:pStyle w:val="Heading3"/>
        <w:keepNext w:val="0"/>
        <w:keepLines w:val="0"/>
        <w:spacing w:line="259" w:lineRule="auto"/>
        <w:rPr>
          <w:rFonts w:ascii="Calibri" w:eastAsia="Calibri" w:hAnsi="Calibri" w:cs="Calibri"/>
          <w:color w:val="000000" w:themeColor="text1"/>
        </w:rPr>
      </w:pPr>
    </w:p>
    <w:p w14:paraId="76FC9E14" w14:textId="1F7F5888" w:rsidR="00E236DF" w:rsidRPr="00E236DF" w:rsidRDefault="00E236DF" w:rsidP="00334798">
      <w:pPr>
        <w:pStyle w:val="Heading2"/>
      </w:pPr>
      <w:bookmarkStart w:id="98" w:name="_Toc190939433"/>
      <w:bookmarkStart w:id="99" w:name="_Toc202627116"/>
      <w:r>
        <w:t>The Process of Engagement</w:t>
      </w:r>
      <w:bookmarkEnd w:id="98"/>
      <w:bookmarkEnd w:id="99"/>
    </w:p>
    <w:p w14:paraId="7428EB0B" w14:textId="33A502F7" w:rsidR="00773F7C" w:rsidRPr="0017357E" w:rsidRDefault="00773F7C" w:rsidP="00334798">
      <w:pPr>
        <w:pStyle w:val="Heading3"/>
      </w:pPr>
      <w:bookmarkStart w:id="100" w:name="_Toc190939434"/>
      <w:bookmarkStart w:id="101" w:name="_Toc202627117"/>
      <w:r w:rsidRPr="0017357E">
        <w:t>Preparatory Stage: 2021–2022</w:t>
      </w:r>
      <w:bookmarkEnd w:id="97"/>
      <w:bookmarkEnd w:id="100"/>
      <w:bookmarkEnd w:id="101"/>
    </w:p>
    <w:p w14:paraId="40A15C99" w14:textId="77777777" w:rsidR="00334798" w:rsidRDefault="00334798" w:rsidP="00016E93">
      <w:pPr>
        <w:autoSpaceDE w:val="0"/>
        <w:autoSpaceDN w:val="0"/>
        <w:adjustRightInd w:val="0"/>
        <w:spacing w:line="259" w:lineRule="auto"/>
        <w:jc w:val="both"/>
        <w:rPr>
          <w:rFonts w:ascii="Calibri" w:eastAsia="Calibri" w:hAnsi="Calibri" w:cs="Calibri"/>
          <w:color w:val="000000" w:themeColor="text1"/>
        </w:rPr>
      </w:pPr>
    </w:p>
    <w:p w14:paraId="29B5E832" w14:textId="087EAAD0" w:rsidR="00773F7C" w:rsidRPr="0017357E" w:rsidRDefault="003A4CE8" w:rsidP="00EB11F2">
      <w:pPr>
        <w:autoSpaceDE w:val="0"/>
        <w:autoSpaceDN w:val="0"/>
        <w:adjustRightInd w:val="0"/>
        <w:spacing w:line="259" w:lineRule="auto"/>
        <w:rPr>
          <w:rFonts w:ascii="Calibri" w:eastAsia="Calibri" w:hAnsi="Calibri" w:cs="Calibri"/>
          <w:color w:val="000000" w:themeColor="text1"/>
        </w:rPr>
      </w:pPr>
      <w:r w:rsidRPr="00891F88">
        <w:rPr>
          <w:rFonts w:ascii="Calibri" w:eastAsia="Calibri" w:hAnsi="Calibri" w:cs="Calibri"/>
          <w:color w:val="000000" w:themeColor="text1"/>
        </w:rPr>
        <w:t>During the preparatory stages for this project, the Co-Chairs invited membership to the REWG, including three external community representatives/consultants</w:t>
      </w:r>
      <w:r w:rsidR="00265548">
        <w:rPr>
          <w:rFonts w:ascii="Calibri" w:eastAsia="Calibri" w:hAnsi="Calibri" w:cs="Calibri"/>
          <w:color w:val="000000" w:themeColor="text1"/>
        </w:rPr>
        <w:t>,</w:t>
      </w:r>
      <w:r w:rsidRPr="00891F88">
        <w:rPr>
          <w:rFonts w:ascii="Calibri" w:eastAsia="Calibri" w:hAnsi="Calibri" w:cs="Calibri"/>
          <w:color w:val="000000" w:themeColor="text1"/>
        </w:rPr>
        <w:t xml:space="preserve"> to help shape the research and engagement agenda and comment on </w:t>
      </w:r>
      <w:r w:rsidR="00D70370">
        <w:rPr>
          <w:rFonts w:ascii="Calibri" w:eastAsia="Calibri" w:hAnsi="Calibri" w:cs="Calibri"/>
          <w:color w:val="000000" w:themeColor="text1"/>
        </w:rPr>
        <w:t>the</w:t>
      </w:r>
      <w:r w:rsidRPr="00891F88" w:rsidDel="00D70370">
        <w:rPr>
          <w:rFonts w:ascii="Calibri" w:eastAsia="Calibri" w:hAnsi="Calibri" w:cs="Calibri"/>
          <w:color w:val="000000" w:themeColor="text1"/>
        </w:rPr>
        <w:t xml:space="preserve"> </w:t>
      </w:r>
      <w:r w:rsidRPr="00891F88">
        <w:rPr>
          <w:rFonts w:ascii="Calibri" w:eastAsia="Calibri" w:hAnsi="Calibri" w:cs="Calibri"/>
          <w:color w:val="000000" w:themeColor="text1"/>
        </w:rPr>
        <w:t xml:space="preserve">initial proposal to obtain </w:t>
      </w:r>
      <w:r w:rsidR="00D70370">
        <w:rPr>
          <w:rFonts w:ascii="Calibri" w:eastAsia="Calibri" w:hAnsi="Calibri" w:cs="Calibri"/>
          <w:color w:val="000000" w:themeColor="text1"/>
        </w:rPr>
        <w:t>U</w:t>
      </w:r>
      <w:r w:rsidRPr="00891F88">
        <w:rPr>
          <w:rFonts w:ascii="Calibri" w:eastAsia="Calibri" w:hAnsi="Calibri" w:cs="Calibri"/>
          <w:color w:val="000000" w:themeColor="text1"/>
        </w:rPr>
        <w:t>niversity funding. These members include Esther Xosei (Reparationist, Jurisconsult, Community Advocate, Educator, Environmentalist and ‘Ourstorian’ of the International Social Movement for Afrikan Reparations)</w:t>
      </w:r>
      <w:r w:rsidR="00265548">
        <w:rPr>
          <w:rFonts w:ascii="Calibri" w:eastAsia="Calibri" w:hAnsi="Calibri" w:cs="Calibri"/>
          <w:color w:val="000000" w:themeColor="text1"/>
        </w:rPr>
        <w:t>;</w:t>
      </w:r>
      <w:r w:rsidRPr="00891F88">
        <w:rPr>
          <w:rFonts w:ascii="Calibri" w:eastAsia="Calibri" w:hAnsi="Calibri" w:cs="Calibri"/>
          <w:color w:val="000000" w:themeColor="text1"/>
        </w:rPr>
        <w:t xml:space="preserve"> Zaki El-Salahi (Anti-Racist Policy &amp; Participation consultant and lead of the Edinburgh Sudanese Community Partnership)</w:t>
      </w:r>
      <w:r w:rsidR="00265548">
        <w:rPr>
          <w:rFonts w:ascii="Calibri" w:eastAsia="Calibri" w:hAnsi="Calibri" w:cs="Calibri"/>
          <w:color w:val="000000" w:themeColor="text1"/>
        </w:rPr>
        <w:t>;</w:t>
      </w:r>
      <w:r w:rsidRPr="00891F88">
        <w:rPr>
          <w:rFonts w:ascii="Calibri" w:eastAsia="Calibri" w:hAnsi="Calibri" w:cs="Calibri"/>
          <w:color w:val="000000" w:themeColor="text1"/>
        </w:rPr>
        <w:t xml:space="preserve"> and Jatin Haria (Executive Director, Coalition for Racial Equality and Rights).</w:t>
      </w:r>
      <w:r w:rsidRPr="001E366D">
        <w:rPr>
          <w:rFonts w:ascii="Calibri" w:hAnsi="Calibri" w:cs="Calibri"/>
          <w:color w:val="000000" w:themeColor="text1"/>
        </w:rPr>
        <w:t xml:space="preserve"> </w:t>
      </w:r>
      <w:r w:rsidR="001E366D" w:rsidRPr="00891F88">
        <w:rPr>
          <w:rFonts w:ascii="Calibri" w:hAnsi="Calibri" w:cs="Calibri"/>
          <w:color w:val="000000" w:themeColor="text1"/>
        </w:rPr>
        <w:t>Silence Chihuri from</w:t>
      </w:r>
      <w:r w:rsidR="0086333A">
        <w:rPr>
          <w:rFonts w:ascii="Calibri" w:hAnsi="Calibri" w:cs="Calibri"/>
          <w:color w:val="000000" w:themeColor="text1"/>
        </w:rPr>
        <w:t xml:space="preserve"> the grassroots charity</w:t>
      </w:r>
      <w:r w:rsidR="001E366D" w:rsidRPr="00891F88">
        <w:rPr>
          <w:rFonts w:ascii="Calibri" w:hAnsi="Calibri" w:cs="Calibri"/>
          <w:color w:val="000000" w:themeColor="text1"/>
        </w:rPr>
        <w:t xml:space="preserve"> Fair Justice System for Scotland </w:t>
      </w:r>
      <w:r w:rsidR="00066CA0">
        <w:rPr>
          <w:rFonts w:ascii="Calibri" w:hAnsi="Calibri" w:cs="Calibri"/>
          <w:color w:val="000000" w:themeColor="text1"/>
        </w:rPr>
        <w:t>then</w:t>
      </w:r>
      <w:r w:rsidRPr="00891F88">
        <w:rPr>
          <w:rFonts w:ascii="Calibri" w:eastAsia="Calibri" w:hAnsi="Calibri" w:cs="Calibri"/>
          <w:color w:val="000000" w:themeColor="text1"/>
        </w:rPr>
        <w:t xml:space="preserve"> </w:t>
      </w:r>
      <w:r w:rsidR="001E366D">
        <w:rPr>
          <w:rFonts w:ascii="Calibri" w:eastAsia="Calibri" w:hAnsi="Calibri" w:cs="Calibri"/>
          <w:color w:val="000000" w:themeColor="text1"/>
        </w:rPr>
        <w:t xml:space="preserve">replaced </w:t>
      </w:r>
      <w:r w:rsidRPr="00891F88">
        <w:rPr>
          <w:rFonts w:ascii="Calibri" w:hAnsi="Calibri" w:cs="Calibri"/>
          <w:color w:val="000000" w:themeColor="text1"/>
        </w:rPr>
        <w:t>Jatin Haria</w:t>
      </w:r>
      <w:r w:rsidR="001E366D">
        <w:rPr>
          <w:rFonts w:ascii="Calibri" w:hAnsi="Calibri" w:cs="Calibri"/>
          <w:color w:val="000000" w:themeColor="text1"/>
        </w:rPr>
        <w:t xml:space="preserve"> following his</w:t>
      </w:r>
      <w:r w:rsidRPr="00891F88">
        <w:rPr>
          <w:rFonts w:ascii="Calibri" w:hAnsi="Calibri" w:cs="Calibri"/>
          <w:color w:val="000000" w:themeColor="text1"/>
        </w:rPr>
        <w:t xml:space="preserve"> decision to step down due to retirement.</w:t>
      </w:r>
      <w:r w:rsidR="004C7EBF">
        <w:rPr>
          <w:rFonts w:ascii="Calibri" w:hAnsi="Calibri" w:cs="Calibri"/>
          <w:color w:val="000000" w:themeColor="text1"/>
        </w:rPr>
        <w:t xml:space="preserve"> </w:t>
      </w:r>
    </w:p>
    <w:p w14:paraId="7DFE276D" w14:textId="736FB464" w:rsidR="00773F7C" w:rsidRPr="0017357E" w:rsidRDefault="00773F7C" w:rsidP="00016E93">
      <w:pPr>
        <w:autoSpaceDE w:val="0"/>
        <w:autoSpaceDN w:val="0"/>
        <w:adjustRightInd w:val="0"/>
        <w:spacing w:line="259" w:lineRule="auto"/>
        <w:jc w:val="both"/>
        <w:rPr>
          <w:rFonts w:ascii="Calibri" w:eastAsia="Calibri" w:hAnsi="Calibri" w:cs="Calibri"/>
          <w:color w:val="000000" w:themeColor="text1"/>
        </w:rPr>
      </w:pPr>
    </w:p>
    <w:p w14:paraId="6F2FC2F4" w14:textId="109B0845" w:rsidR="00773F7C" w:rsidRPr="0017357E" w:rsidRDefault="00773F7C" w:rsidP="00334798">
      <w:pPr>
        <w:pStyle w:val="Heading3"/>
      </w:pPr>
      <w:bookmarkStart w:id="102" w:name="_Toc157238078"/>
      <w:bookmarkStart w:id="103" w:name="_Toc190939435"/>
      <w:bookmarkStart w:id="104" w:name="_Toc202627118"/>
      <w:r w:rsidRPr="0017357E">
        <w:t>Stage 1: September to December 2022</w:t>
      </w:r>
      <w:bookmarkEnd w:id="102"/>
      <w:bookmarkEnd w:id="103"/>
      <w:bookmarkEnd w:id="104"/>
    </w:p>
    <w:p w14:paraId="4AFE5F80" w14:textId="77777777" w:rsidR="00334798" w:rsidRDefault="00334798" w:rsidP="007160FD">
      <w:pPr>
        <w:spacing w:line="259" w:lineRule="auto"/>
        <w:jc w:val="both"/>
        <w:rPr>
          <w:rFonts w:ascii="Calibri" w:eastAsia="Calibri" w:hAnsi="Calibri" w:cs="Calibri"/>
          <w:color w:val="000000" w:themeColor="text1"/>
        </w:rPr>
      </w:pPr>
    </w:p>
    <w:p w14:paraId="60D14D8C" w14:textId="4D51FB53" w:rsidR="007160FD" w:rsidRPr="00891F88" w:rsidRDefault="00BC6383" w:rsidP="00EB11F2">
      <w:pPr>
        <w:spacing w:line="259" w:lineRule="auto"/>
        <w:rPr>
          <w:rFonts w:ascii="Calibri" w:eastAsia="Calibri" w:hAnsi="Calibri" w:cs="Calibri"/>
          <w:color w:val="000000" w:themeColor="text1"/>
        </w:rPr>
      </w:pPr>
      <w:r>
        <w:rPr>
          <w:rFonts w:ascii="Calibri" w:eastAsia="Calibri" w:hAnsi="Calibri" w:cs="Calibri"/>
          <w:color w:val="000000" w:themeColor="text1"/>
        </w:rPr>
        <w:t>Having secured University funding, s</w:t>
      </w:r>
      <w:r w:rsidR="007160FD" w:rsidRPr="00891F88">
        <w:rPr>
          <w:rFonts w:ascii="Calibri" w:eastAsia="Calibri" w:hAnsi="Calibri" w:cs="Calibri"/>
          <w:color w:val="000000" w:themeColor="text1"/>
        </w:rPr>
        <w:t xml:space="preserve">tage 1 included working with the REWG, the Steering Group and other relevant parties (such as </w:t>
      </w:r>
      <w:hyperlink r:id="rId121">
        <w:r w:rsidR="007160FD" w:rsidRPr="00891F88">
          <w:rPr>
            <w:rStyle w:val="Hyperlink"/>
            <w:rFonts w:ascii="Calibri" w:eastAsia="Calibri" w:hAnsi="Calibri" w:cs="Calibri"/>
            <w:color w:val="000000" w:themeColor="text1"/>
          </w:rPr>
          <w:t>Edinburgh Local</w:t>
        </w:r>
      </w:hyperlink>
      <w:r w:rsidR="007160FD" w:rsidRPr="00891F88">
        <w:rPr>
          <w:rFonts w:ascii="Calibri" w:eastAsia="Calibri" w:hAnsi="Calibri" w:cs="Calibri"/>
          <w:color w:val="000000" w:themeColor="text1"/>
        </w:rPr>
        <w:t xml:space="preserve">) to identify communities, groups </w:t>
      </w:r>
      <w:r w:rsidR="007160FD" w:rsidRPr="00891F88">
        <w:rPr>
          <w:rFonts w:ascii="Calibri" w:eastAsia="Calibri" w:hAnsi="Calibri" w:cs="Calibri"/>
          <w:color w:val="000000" w:themeColor="text1"/>
        </w:rPr>
        <w:lastRenderedPageBreak/>
        <w:t>and individuals at local, national, UK and international levels who might be interested in being involved</w:t>
      </w:r>
      <w:r>
        <w:rPr>
          <w:rFonts w:ascii="Calibri" w:eastAsia="Calibri" w:hAnsi="Calibri" w:cs="Calibri"/>
          <w:color w:val="000000" w:themeColor="text1"/>
        </w:rPr>
        <w:t xml:space="preserve"> in the REWG’s work</w:t>
      </w:r>
      <w:r w:rsidR="007160FD" w:rsidRPr="00891F88">
        <w:rPr>
          <w:rFonts w:ascii="Calibri" w:eastAsia="Calibri" w:hAnsi="Calibri" w:cs="Calibri"/>
          <w:color w:val="000000" w:themeColor="text1"/>
        </w:rPr>
        <w:t>. This period led to the creation of the ‘</w:t>
      </w:r>
      <w:hyperlink r:id="rId122">
        <w:r w:rsidR="007160FD" w:rsidRPr="00891F88">
          <w:rPr>
            <w:rStyle w:val="Hyperlink"/>
            <w:rFonts w:ascii="Calibri" w:eastAsia="Calibri" w:hAnsi="Calibri" w:cs="Calibri"/>
            <w:color w:val="000000" w:themeColor="text1"/>
          </w:rPr>
          <w:t>Decolonised Transformations</w:t>
        </w:r>
      </w:hyperlink>
      <w:r w:rsidR="007160FD" w:rsidRPr="00891F88">
        <w:rPr>
          <w:rFonts w:ascii="Calibri" w:eastAsia="Calibri" w:hAnsi="Calibri" w:cs="Calibri"/>
          <w:color w:val="000000" w:themeColor="text1"/>
        </w:rPr>
        <w:t xml:space="preserve">’ blogsite, which functions as the main platform for </w:t>
      </w:r>
      <w:r w:rsidR="002F11A7">
        <w:rPr>
          <w:rFonts w:ascii="Calibri" w:eastAsia="Calibri" w:hAnsi="Calibri" w:cs="Calibri"/>
          <w:color w:val="000000" w:themeColor="text1"/>
        </w:rPr>
        <w:t>staying in touch</w:t>
      </w:r>
      <w:r w:rsidR="007160FD" w:rsidRPr="00891F88">
        <w:rPr>
          <w:rFonts w:ascii="Calibri" w:eastAsia="Calibri" w:hAnsi="Calibri" w:cs="Calibri"/>
          <w:color w:val="000000" w:themeColor="text1"/>
        </w:rPr>
        <w:t xml:space="preserve"> with the project. To design this site,</w:t>
      </w:r>
      <w:r w:rsidR="007160FD">
        <w:rPr>
          <w:rFonts w:ascii="Calibri" w:eastAsia="Calibri" w:hAnsi="Calibri" w:cs="Calibri"/>
          <w:color w:val="000000" w:themeColor="text1"/>
        </w:rPr>
        <w:t xml:space="preserve"> the</w:t>
      </w:r>
      <w:r w:rsidR="007160FD" w:rsidRPr="00891F88" w:rsidDel="003655DB">
        <w:rPr>
          <w:rFonts w:ascii="Calibri" w:eastAsia="Calibri" w:hAnsi="Calibri" w:cs="Calibri"/>
          <w:color w:val="000000" w:themeColor="text1"/>
        </w:rPr>
        <w:t xml:space="preserve"> </w:t>
      </w:r>
      <w:r w:rsidR="003655DB">
        <w:rPr>
          <w:rFonts w:ascii="Calibri" w:eastAsia="Calibri" w:hAnsi="Calibri" w:cs="Calibri"/>
          <w:color w:val="000000" w:themeColor="text1"/>
        </w:rPr>
        <w:t>Community Engagement Officer</w:t>
      </w:r>
      <w:r w:rsidR="007160FD" w:rsidRPr="00891F88">
        <w:rPr>
          <w:rFonts w:ascii="Calibri" w:eastAsia="Calibri" w:hAnsi="Calibri" w:cs="Calibri"/>
          <w:color w:val="000000" w:themeColor="text1"/>
        </w:rPr>
        <w:t xml:space="preserve"> worked closely with the REWG to define </w:t>
      </w:r>
      <w:r w:rsidR="007160FD">
        <w:rPr>
          <w:rFonts w:ascii="Calibri" w:eastAsia="Calibri" w:hAnsi="Calibri" w:cs="Calibri"/>
          <w:color w:val="000000" w:themeColor="text1"/>
        </w:rPr>
        <w:t>its</w:t>
      </w:r>
      <w:r w:rsidR="007160FD" w:rsidRPr="00891F88">
        <w:rPr>
          <w:rFonts w:ascii="Calibri" w:eastAsia="Calibri" w:hAnsi="Calibri" w:cs="Calibri"/>
          <w:color w:val="000000" w:themeColor="text1"/>
        </w:rPr>
        <w:t xml:space="preserve"> overall purpose, tone and identity, and commissioned Zimbabwean artist, </w:t>
      </w:r>
      <w:hyperlink r:id="rId123">
        <w:r w:rsidR="007160FD" w:rsidRPr="00891F88">
          <w:rPr>
            <w:rStyle w:val="Hyperlink"/>
            <w:rFonts w:ascii="Calibri" w:eastAsia="Calibri" w:hAnsi="Calibri" w:cs="Calibri"/>
            <w:color w:val="000000" w:themeColor="text1"/>
          </w:rPr>
          <w:t>Nothando Grace Montgomery</w:t>
        </w:r>
      </w:hyperlink>
      <w:r w:rsidR="007160FD" w:rsidRPr="00891F88">
        <w:rPr>
          <w:rFonts w:ascii="Calibri" w:eastAsia="Calibri" w:hAnsi="Calibri" w:cs="Calibri"/>
          <w:color w:val="000000" w:themeColor="text1"/>
        </w:rPr>
        <w:t xml:space="preserve">, to create the artwork that is used </w:t>
      </w:r>
      <w:r w:rsidR="007160FD">
        <w:rPr>
          <w:rFonts w:ascii="Calibri" w:eastAsia="Calibri" w:hAnsi="Calibri" w:cs="Calibri"/>
          <w:color w:val="000000" w:themeColor="text1"/>
        </w:rPr>
        <w:t xml:space="preserve">both </w:t>
      </w:r>
      <w:r w:rsidR="007160FD" w:rsidRPr="00891F88">
        <w:rPr>
          <w:rFonts w:ascii="Calibri" w:eastAsia="Calibri" w:hAnsi="Calibri" w:cs="Calibri"/>
          <w:color w:val="000000" w:themeColor="text1"/>
        </w:rPr>
        <w:t xml:space="preserve">as the main graphic for the project and </w:t>
      </w:r>
      <w:r w:rsidR="007160FD">
        <w:rPr>
          <w:rFonts w:ascii="Calibri" w:eastAsia="Calibri" w:hAnsi="Calibri" w:cs="Calibri"/>
          <w:color w:val="000000" w:themeColor="text1"/>
        </w:rPr>
        <w:t>for any</w:t>
      </w:r>
      <w:r w:rsidR="007160FD" w:rsidRPr="00891F88">
        <w:rPr>
          <w:rFonts w:ascii="Calibri" w:eastAsia="Calibri" w:hAnsi="Calibri" w:cs="Calibri"/>
          <w:color w:val="000000" w:themeColor="text1"/>
        </w:rPr>
        <w:t xml:space="preserve"> information or advertisements relating to </w:t>
      </w:r>
      <w:r w:rsidR="003E6047">
        <w:rPr>
          <w:rFonts w:ascii="Calibri" w:eastAsia="Calibri" w:hAnsi="Calibri" w:cs="Calibri"/>
          <w:color w:val="000000" w:themeColor="text1"/>
        </w:rPr>
        <w:t>the REWG’s</w:t>
      </w:r>
      <w:r w:rsidR="003E6047" w:rsidRPr="00891F88">
        <w:rPr>
          <w:rFonts w:ascii="Calibri" w:eastAsia="Calibri" w:hAnsi="Calibri" w:cs="Calibri"/>
          <w:color w:val="000000" w:themeColor="text1"/>
        </w:rPr>
        <w:t xml:space="preserve"> </w:t>
      </w:r>
      <w:r w:rsidR="007160FD" w:rsidRPr="00891F88">
        <w:rPr>
          <w:rFonts w:ascii="Calibri" w:eastAsia="Calibri" w:hAnsi="Calibri" w:cs="Calibri"/>
          <w:color w:val="000000" w:themeColor="text1"/>
        </w:rPr>
        <w:t>research and events.  </w:t>
      </w:r>
    </w:p>
    <w:p w14:paraId="1D9774F0" w14:textId="6854EB3B" w:rsidR="00773F7C" w:rsidRPr="0017357E" w:rsidRDefault="007160FD" w:rsidP="00EB11F2">
      <w:pPr>
        <w:spacing w:line="259" w:lineRule="auto"/>
        <w:ind w:firstLine="720"/>
        <w:rPr>
          <w:rFonts w:ascii="Calibri" w:eastAsia="Calibri" w:hAnsi="Calibri" w:cs="Calibri"/>
          <w:color w:val="000000" w:themeColor="text1"/>
        </w:rPr>
      </w:pPr>
      <w:r w:rsidRPr="00891F88">
        <w:rPr>
          <w:rFonts w:ascii="Calibri" w:eastAsia="Calibri" w:hAnsi="Calibri" w:cs="Calibri"/>
          <w:color w:val="000000" w:themeColor="text1"/>
        </w:rPr>
        <w:t>During this stage, a community engagement sub-group</w:t>
      </w:r>
      <w:r w:rsidR="003E6047">
        <w:rPr>
          <w:rFonts w:ascii="Calibri" w:eastAsia="Calibri" w:hAnsi="Calibri" w:cs="Calibri"/>
          <w:color w:val="000000" w:themeColor="text1"/>
        </w:rPr>
        <w:t xml:space="preserve"> was established that</w:t>
      </w:r>
      <w:r w:rsidRPr="00891F88">
        <w:rPr>
          <w:rFonts w:ascii="Calibri" w:eastAsia="Calibri" w:hAnsi="Calibri" w:cs="Calibri"/>
          <w:color w:val="000000" w:themeColor="text1"/>
        </w:rPr>
        <w:t xml:space="preserve"> comprised Samantha Likonde, Nicola Frith, Zaki El-Salahi and Esther Xosei who co-wrote the </w:t>
      </w:r>
      <w:hyperlink r:id="rId124">
        <w:r w:rsidRPr="00891F88">
          <w:rPr>
            <w:rStyle w:val="Hyperlink"/>
            <w:rFonts w:ascii="Calibri" w:eastAsia="Calibri" w:hAnsi="Calibri" w:cs="Calibri"/>
            <w:color w:val="000000" w:themeColor="text1"/>
          </w:rPr>
          <w:t>Principles of Participation</w:t>
        </w:r>
      </w:hyperlink>
      <w:r w:rsidRPr="00891F88">
        <w:rPr>
          <w:rFonts w:ascii="Calibri" w:eastAsia="Calibri" w:hAnsi="Calibri" w:cs="Calibri"/>
          <w:color w:val="000000" w:themeColor="text1"/>
        </w:rPr>
        <w:t xml:space="preserve">. These </w:t>
      </w:r>
      <w:r w:rsidR="003E6047">
        <w:rPr>
          <w:rFonts w:ascii="Calibri" w:eastAsia="Calibri" w:hAnsi="Calibri" w:cs="Calibri"/>
          <w:color w:val="000000" w:themeColor="text1"/>
        </w:rPr>
        <w:t>were</w:t>
      </w:r>
      <w:r w:rsidRPr="00891F88">
        <w:rPr>
          <w:rFonts w:ascii="Calibri" w:eastAsia="Calibri" w:hAnsi="Calibri" w:cs="Calibri"/>
          <w:color w:val="000000" w:themeColor="text1"/>
        </w:rPr>
        <w:t xml:space="preserve"> adapted from the </w:t>
      </w:r>
      <w:r w:rsidR="00A936C2" w:rsidRPr="00E52FD6">
        <w:t>principles</w:t>
      </w:r>
      <w:r w:rsidRPr="00891F88">
        <w:rPr>
          <w:rFonts w:ascii="Calibri" w:eastAsia="Calibri" w:hAnsi="Calibri" w:cs="Calibri"/>
          <w:color w:val="000000" w:themeColor="text1"/>
        </w:rPr>
        <w:t xml:space="preserve"> outlined by the </w:t>
      </w:r>
      <w:hyperlink r:id="rId125">
        <w:r w:rsidRPr="00891F88">
          <w:rPr>
            <w:rStyle w:val="Hyperlink"/>
            <w:rFonts w:ascii="Calibri" w:eastAsia="Calibri" w:hAnsi="Calibri" w:cs="Calibri"/>
            <w:color w:val="000000" w:themeColor="text1"/>
          </w:rPr>
          <w:t>International Network of Scholar and Activists for Afrikan Reparations (INOSAAR)</w:t>
        </w:r>
      </w:hyperlink>
      <w:r w:rsidRPr="00891F88">
        <w:rPr>
          <w:rFonts w:ascii="Calibri" w:eastAsia="Calibri" w:hAnsi="Calibri" w:cs="Calibri"/>
          <w:color w:val="000000" w:themeColor="text1"/>
        </w:rPr>
        <w:t xml:space="preserve"> (2019), which acted </w:t>
      </w:r>
      <w:r w:rsidR="002418C2">
        <w:rPr>
          <w:rFonts w:ascii="Calibri" w:eastAsia="Calibri" w:hAnsi="Calibri" w:cs="Calibri"/>
          <w:color w:val="000000" w:themeColor="text1"/>
        </w:rPr>
        <w:t xml:space="preserve">as </w:t>
      </w:r>
      <w:r w:rsidRPr="00891F88">
        <w:rPr>
          <w:rFonts w:ascii="Calibri" w:eastAsia="Calibri" w:hAnsi="Calibri" w:cs="Calibri"/>
          <w:color w:val="000000" w:themeColor="text1"/>
        </w:rPr>
        <w:t>a forerunner in bringing scholars and activists together around the subject of reparations, as well as the Runnymede Trust’s ‘</w:t>
      </w:r>
      <w:hyperlink r:id="rId126">
        <w:r w:rsidRPr="00891F88">
          <w:rPr>
            <w:rStyle w:val="Hyperlink"/>
            <w:rFonts w:ascii="Calibri" w:eastAsia="Calibri" w:hAnsi="Calibri" w:cs="Calibri"/>
            <w:color w:val="000000" w:themeColor="text1"/>
          </w:rPr>
          <w:t>Finding Common Cause: Building Research Collaborations Between Universities and Black and Minority Ethnic Communities</w:t>
        </w:r>
      </w:hyperlink>
      <w:r w:rsidRPr="00891F88">
        <w:rPr>
          <w:rFonts w:ascii="Calibri" w:eastAsia="Calibri" w:hAnsi="Calibri" w:cs="Calibri"/>
          <w:color w:val="000000" w:themeColor="text1"/>
        </w:rPr>
        <w:t>’ (2018).</w:t>
      </w:r>
      <w:r w:rsidR="003E6047">
        <w:rPr>
          <w:rStyle w:val="FootnoteReference"/>
          <w:rFonts w:ascii="Calibri" w:eastAsia="Calibri" w:hAnsi="Calibri" w:cs="Calibri"/>
          <w:color w:val="000000" w:themeColor="text1"/>
        </w:rPr>
        <w:footnoteReference w:id="208"/>
      </w:r>
      <w:r w:rsidRPr="00891F88">
        <w:rPr>
          <w:rFonts w:ascii="Calibri" w:eastAsia="Calibri" w:hAnsi="Calibri" w:cs="Calibri"/>
          <w:color w:val="000000" w:themeColor="text1"/>
        </w:rPr>
        <w:t xml:space="preserve"> The principles function</w:t>
      </w:r>
      <w:r w:rsidR="00A936C2">
        <w:rPr>
          <w:rFonts w:ascii="Calibri" w:eastAsia="Calibri" w:hAnsi="Calibri" w:cs="Calibri"/>
          <w:color w:val="000000" w:themeColor="text1"/>
        </w:rPr>
        <w:t>ed</w:t>
      </w:r>
      <w:r w:rsidRPr="00891F88">
        <w:rPr>
          <w:rFonts w:ascii="Calibri" w:eastAsia="Calibri" w:hAnsi="Calibri" w:cs="Calibri"/>
          <w:color w:val="000000" w:themeColor="text1"/>
        </w:rPr>
        <w:t xml:space="preserve"> as the ethical guidelines underpin</w:t>
      </w:r>
      <w:r w:rsidR="00A936C2">
        <w:rPr>
          <w:rFonts w:ascii="Calibri" w:eastAsia="Calibri" w:hAnsi="Calibri" w:cs="Calibri"/>
          <w:color w:val="000000" w:themeColor="text1"/>
        </w:rPr>
        <w:t>ning</w:t>
      </w:r>
      <w:r w:rsidRPr="00891F88">
        <w:rPr>
          <w:rFonts w:ascii="Calibri" w:eastAsia="Calibri" w:hAnsi="Calibri" w:cs="Calibri"/>
          <w:color w:val="000000" w:themeColor="text1"/>
        </w:rPr>
        <w:t xml:space="preserve"> the reparatory justice and decolonising work of the REWG in relation to any activities that involve</w:t>
      </w:r>
      <w:r w:rsidR="00A936C2">
        <w:rPr>
          <w:rFonts w:ascii="Calibri" w:eastAsia="Calibri" w:hAnsi="Calibri" w:cs="Calibri"/>
          <w:color w:val="000000" w:themeColor="text1"/>
        </w:rPr>
        <w:t>d</w:t>
      </w:r>
      <w:r w:rsidRPr="00891F88">
        <w:rPr>
          <w:rFonts w:ascii="Calibri" w:eastAsia="Calibri" w:hAnsi="Calibri" w:cs="Calibri"/>
          <w:color w:val="000000" w:themeColor="text1"/>
        </w:rPr>
        <w:t xml:space="preserve"> public participation, consultation and engagement within and beyond the </w:t>
      </w:r>
      <w:r w:rsidR="00A936C2">
        <w:rPr>
          <w:rFonts w:ascii="Calibri" w:eastAsia="Calibri" w:hAnsi="Calibri" w:cs="Calibri"/>
          <w:color w:val="000000" w:themeColor="text1"/>
        </w:rPr>
        <w:t>U</w:t>
      </w:r>
      <w:r w:rsidRPr="00891F88">
        <w:rPr>
          <w:rFonts w:ascii="Calibri" w:eastAsia="Calibri" w:hAnsi="Calibri" w:cs="Calibri"/>
          <w:color w:val="000000" w:themeColor="text1"/>
        </w:rPr>
        <w:t>niversity.</w:t>
      </w:r>
    </w:p>
    <w:p w14:paraId="0B9C1A08" w14:textId="0014D93D" w:rsidR="00773F7C" w:rsidRPr="0017357E" w:rsidRDefault="00773F7C" w:rsidP="00EB11F2">
      <w:pPr>
        <w:autoSpaceDE w:val="0"/>
        <w:autoSpaceDN w:val="0"/>
        <w:adjustRightInd w:val="0"/>
        <w:spacing w:line="259" w:lineRule="auto"/>
        <w:rPr>
          <w:rFonts w:ascii="Calibri" w:eastAsia="Calibri" w:hAnsi="Calibri" w:cs="Calibri"/>
          <w:color w:val="000000" w:themeColor="text1"/>
        </w:rPr>
      </w:pPr>
    </w:p>
    <w:p w14:paraId="7EBE9858" w14:textId="4E99D9F8" w:rsidR="00773F7C" w:rsidRPr="0017357E" w:rsidRDefault="00773F7C" w:rsidP="00265548">
      <w:pPr>
        <w:pStyle w:val="Heading3"/>
      </w:pPr>
      <w:bookmarkStart w:id="105" w:name="_Toc157238079"/>
      <w:bookmarkStart w:id="106" w:name="_Toc190939436"/>
      <w:bookmarkStart w:id="107" w:name="_Toc202627119"/>
      <w:r w:rsidRPr="0017357E">
        <w:t>Stage 2: January to April 2023</w:t>
      </w:r>
      <w:bookmarkEnd w:id="105"/>
      <w:bookmarkEnd w:id="106"/>
      <w:bookmarkEnd w:id="107"/>
    </w:p>
    <w:p w14:paraId="2563B82F" w14:textId="77777777" w:rsidR="00334798" w:rsidRDefault="00334798" w:rsidP="00EB11F2">
      <w:pPr>
        <w:autoSpaceDE w:val="0"/>
        <w:autoSpaceDN w:val="0"/>
        <w:adjustRightInd w:val="0"/>
        <w:spacing w:line="259" w:lineRule="auto"/>
        <w:rPr>
          <w:rFonts w:ascii="Calibri" w:eastAsia="Calibri" w:hAnsi="Calibri" w:cs="Calibri"/>
          <w:color w:val="000000" w:themeColor="text1"/>
        </w:rPr>
      </w:pPr>
    </w:p>
    <w:p w14:paraId="4EE670CE" w14:textId="55E53060" w:rsidR="00773F7C" w:rsidRPr="0017357E" w:rsidRDefault="00773F7C" w:rsidP="00EB11F2">
      <w:pPr>
        <w:autoSpaceDE w:val="0"/>
        <w:autoSpaceDN w:val="0"/>
        <w:adjustRightInd w:val="0"/>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During stage 2, the </w:t>
      </w:r>
      <w:r w:rsidR="00A936C2">
        <w:rPr>
          <w:rFonts w:ascii="Calibri" w:eastAsia="Calibri" w:hAnsi="Calibri" w:cs="Calibri"/>
          <w:color w:val="000000" w:themeColor="text1"/>
        </w:rPr>
        <w:t>Community Engagement Officer</w:t>
      </w:r>
      <w:r w:rsidRPr="0017357E">
        <w:rPr>
          <w:rFonts w:ascii="Calibri" w:eastAsia="Calibri" w:hAnsi="Calibri" w:cs="Calibri"/>
          <w:color w:val="000000" w:themeColor="text1"/>
        </w:rPr>
        <w:t xml:space="preserve"> </w:t>
      </w:r>
      <w:r w:rsidR="00790043">
        <w:rPr>
          <w:rFonts w:ascii="Calibri" w:eastAsia="Calibri" w:hAnsi="Calibri" w:cs="Calibri"/>
          <w:color w:val="000000" w:themeColor="text1"/>
        </w:rPr>
        <w:t>reached</w:t>
      </w:r>
      <w:r w:rsidRPr="0017357E">
        <w:rPr>
          <w:rFonts w:ascii="Calibri" w:eastAsia="Calibri" w:hAnsi="Calibri" w:cs="Calibri"/>
          <w:color w:val="000000" w:themeColor="text1"/>
        </w:rPr>
        <w:t xml:space="preserve"> out to staff and student networks with the aim of creating a cross-institutional, interdisciplinary working group of academics, students and professionals, as well as external public</w:t>
      </w:r>
      <w:r w:rsidR="002418C2">
        <w:rPr>
          <w:rFonts w:ascii="Calibri" w:eastAsia="Calibri" w:hAnsi="Calibri" w:cs="Calibri"/>
          <w:color w:val="000000" w:themeColor="text1"/>
        </w:rPr>
        <w:t xml:space="preserve"> group</w:t>
      </w:r>
      <w:r w:rsidRPr="0017357E">
        <w:rPr>
          <w:rFonts w:ascii="Calibri" w:eastAsia="Calibri" w:hAnsi="Calibri" w:cs="Calibri"/>
          <w:color w:val="000000" w:themeColor="text1"/>
        </w:rPr>
        <w:t xml:space="preserve">s who represent community-based interests, including activist and community heritage groups. In total, </w:t>
      </w:r>
      <w:r w:rsidR="002418C2">
        <w:rPr>
          <w:rFonts w:ascii="Calibri" w:eastAsia="Calibri" w:hAnsi="Calibri" w:cs="Calibri"/>
          <w:color w:val="000000" w:themeColor="text1"/>
        </w:rPr>
        <w:t>12</w:t>
      </w:r>
      <w:r w:rsidR="002418C2" w:rsidRPr="0017357E">
        <w:rPr>
          <w:rFonts w:ascii="Calibri" w:eastAsia="Calibri" w:hAnsi="Calibri" w:cs="Calibri"/>
          <w:color w:val="000000" w:themeColor="text1"/>
        </w:rPr>
        <w:t xml:space="preserve"> </w:t>
      </w:r>
      <w:r w:rsidRPr="0017357E">
        <w:rPr>
          <w:rFonts w:ascii="Calibri" w:eastAsia="Calibri" w:hAnsi="Calibri" w:cs="Calibri"/>
          <w:color w:val="000000" w:themeColor="text1"/>
        </w:rPr>
        <w:t xml:space="preserve">staff networks and committees, </w:t>
      </w:r>
      <w:r w:rsidR="002418C2">
        <w:rPr>
          <w:rFonts w:ascii="Calibri" w:eastAsia="Calibri" w:hAnsi="Calibri" w:cs="Calibri"/>
          <w:color w:val="000000" w:themeColor="text1"/>
        </w:rPr>
        <w:t>40</w:t>
      </w:r>
      <w:r w:rsidR="002418C2" w:rsidRPr="0017357E">
        <w:rPr>
          <w:rFonts w:ascii="Calibri" w:eastAsia="Calibri" w:hAnsi="Calibri" w:cs="Calibri"/>
          <w:color w:val="000000" w:themeColor="text1"/>
        </w:rPr>
        <w:t xml:space="preserve"> </w:t>
      </w:r>
      <w:r w:rsidRPr="0017357E">
        <w:rPr>
          <w:rFonts w:ascii="Calibri" w:eastAsia="Calibri" w:hAnsi="Calibri" w:cs="Calibri"/>
          <w:color w:val="000000" w:themeColor="text1"/>
        </w:rPr>
        <w:t>groups representing communities of reparatory justice interest and six student societies were invited to attend our inaugural event.</w:t>
      </w:r>
      <w:r w:rsidRPr="0017357E">
        <w:rPr>
          <w:rStyle w:val="FootnoteReference"/>
          <w:rFonts w:ascii="Calibri" w:eastAsia="Calibri" w:hAnsi="Calibri" w:cs="Calibri"/>
          <w:color w:val="000000" w:themeColor="text1"/>
        </w:rPr>
        <w:footnoteReference w:id="209"/>
      </w:r>
      <w:r w:rsidRPr="0017357E">
        <w:rPr>
          <w:rFonts w:ascii="Calibri" w:eastAsia="Calibri" w:hAnsi="Calibri" w:cs="Calibri"/>
          <w:color w:val="000000" w:themeColor="text1"/>
        </w:rPr>
        <w:t xml:space="preserve"> On 22 April 2023, </w:t>
      </w:r>
      <w:r w:rsidR="00C277B5">
        <w:rPr>
          <w:rFonts w:ascii="Calibri" w:eastAsia="Calibri" w:hAnsi="Calibri" w:cs="Calibri"/>
          <w:color w:val="000000" w:themeColor="text1"/>
        </w:rPr>
        <w:t>the REWG</w:t>
      </w:r>
      <w:r w:rsidRPr="0017357E">
        <w:rPr>
          <w:rFonts w:ascii="Calibri" w:eastAsia="Calibri" w:hAnsi="Calibri" w:cs="Calibri"/>
          <w:color w:val="000000" w:themeColor="text1"/>
        </w:rPr>
        <w:t xml:space="preserve"> officially launched </w:t>
      </w:r>
      <w:r w:rsidR="00C277B5">
        <w:rPr>
          <w:rFonts w:ascii="Calibri" w:eastAsia="Calibri" w:hAnsi="Calibri" w:cs="Calibri"/>
          <w:color w:val="000000" w:themeColor="text1"/>
        </w:rPr>
        <w:t>its</w:t>
      </w:r>
      <w:r w:rsidRPr="0017357E">
        <w:rPr>
          <w:rFonts w:ascii="Calibri" w:eastAsia="Calibri" w:hAnsi="Calibri" w:cs="Calibri"/>
          <w:color w:val="000000" w:themeColor="text1"/>
        </w:rPr>
        <w:t xml:space="preserve"> community engagement work with an inaugural event held at the Playfair Library in collaboration with the </w:t>
      </w:r>
      <w:r w:rsidR="004A0B93" w:rsidRPr="0017357E">
        <w:rPr>
          <w:rFonts w:ascii="Calibri" w:eastAsia="Calibri" w:hAnsi="Calibri" w:cs="Calibri"/>
          <w:color w:val="000000" w:themeColor="text1"/>
        </w:rPr>
        <w:t>Talbot Rice Gallery</w:t>
      </w:r>
      <w:r w:rsidR="004A0B93" w:rsidRPr="0017357E" w:rsidDel="004A0B93">
        <w:rPr>
          <w:rFonts w:ascii="Calibri" w:eastAsia="Calibri" w:hAnsi="Calibri" w:cs="Calibri"/>
          <w:color w:val="000000" w:themeColor="text1"/>
        </w:rPr>
        <w:t xml:space="preserve"> </w:t>
      </w:r>
      <w:r w:rsidR="004A0B93">
        <w:rPr>
          <w:rFonts w:ascii="Calibri" w:eastAsia="Calibri" w:hAnsi="Calibri" w:cs="Calibri"/>
          <w:color w:val="000000" w:themeColor="text1"/>
        </w:rPr>
        <w:t xml:space="preserve">and its temporary exhibition called </w:t>
      </w:r>
      <w:r w:rsidRPr="0017357E" w:rsidDel="004A0B93">
        <w:rPr>
          <w:rFonts w:ascii="Calibri" w:eastAsia="Calibri" w:hAnsi="Calibri" w:cs="Calibri"/>
          <w:color w:val="000000" w:themeColor="text1"/>
        </w:rPr>
        <w:t>the</w:t>
      </w:r>
      <w:r w:rsidRPr="0017357E">
        <w:rPr>
          <w:rFonts w:ascii="Calibri" w:eastAsia="Calibri" w:hAnsi="Calibri" w:cs="Calibri"/>
          <w:color w:val="000000" w:themeColor="text1"/>
        </w:rPr>
        <w:t xml:space="preserve"> </w:t>
      </w:r>
      <w:hyperlink r:id="rId127" w:history="1">
        <w:r w:rsidR="001177F9" w:rsidRPr="00771512">
          <w:rPr>
            <w:rStyle w:val="Hyperlink"/>
          </w:rPr>
          <w:t>Accursed Share</w:t>
        </w:r>
      </w:hyperlink>
      <w:r w:rsidR="001177F9">
        <w:t>.</w:t>
      </w:r>
      <w:r w:rsidR="00771512">
        <w:rPr>
          <w:rStyle w:val="FootnoteReference"/>
        </w:rPr>
        <w:footnoteReference w:id="210"/>
      </w:r>
      <w:r w:rsidRPr="0017357E">
        <w:rPr>
          <w:rFonts w:ascii="Calibri" w:eastAsia="Calibri" w:hAnsi="Calibri" w:cs="Calibri"/>
          <w:color w:val="000000" w:themeColor="text1"/>
        </w:rPr>
        <w:t xml:space="preserve"> Following an introductory panel with presentations from each attending REWG member, six roundtable discussions </w:t>
      </w:r>
      <w:r w:rsidR="004A0B93">
        <w:rPr>
          <w:rFonts w:ascii="Calibri" w:eastAsia="Calibri" w:hAnsi="Calibri" w:cs="Calibri"/>
          <w:color w:val="000000" w:themeColor="text1"/>
        </w:rPr>
        <w:t>were held</w:t>
      </w:r>
      <w:r w:rsidRPr="0017357E">
        <w:rPr>
          <w:rFonts w:ascii="Calibri" w:eastAsia="Calibri" w:hAnsi="Calibri" w:cs="Calibri"/>
          <w:color w:val="000000" w:themeColor="text1"/>
        </w:rPr>
        <w:t xml:space="preserve"> with separate </w:t>
      </w:r>
      <w:r w:rsidRPr="0017357E">
        <w:rPr>
          <w:rFonts w:ascii="Calibri" w:eastAsia="Calibri" w:hAnsi="Calibri" w:cs="Calibri"/>
          <w:color w:val="000000" w:themeColor="text1"/>
        </w:rPr>
        <w:lastRenderedPageBreak/>
        <w:t>questions and themes that were chaired by members of the REWG and notetakers.</w:t>
      </w:r>
      <w:r w:rsidR="001D540B">
        <w:rPr>
          <w:rStyle w:val="FootnoteReference"/>
          <w:rFonts w:ascii="Calibri" w:eastAsia="Calibri" w:hAnsi="Calibri" w:cs="Calibri"/>
          <w:color w:val="000000" w:themeColor="text1"/>
        </w:rPr>
        <w:footnoteReference w:id="211"/>
      </w:r>
      <w:r w:rsidRPr="0017357E">
        <w:rPr>
          <w:rFonts w:ascii="Calibri" w:eastAsia="Calibri" w:hAnsi="Calibri" w:cs="Calibri"/>
          <w:color w:val="000000" w:themeColor="text1"/>
        </w:rPr>
        <w:t xml:space="preserve"> Participants were able to attend two to three roundtables in addition to visiting the art exhibition. In total, </w:t>
      </w:r>
      <w:r w:rsidR="000051AA">
        <w:rPr>
          <w:rFonts w:ascii="Calibri" w:eastAsia="Calibri" w:hAnsi="Calibri" w:cs="Calibri"/>
          <w:color w:val="000000" w:themeColor="text1"/>
        </w:rPr>
        <w:t>50</w:t>
      </w:r>
      <w:r w:rsidR="000051AA" w:rsidRPr="0017357E">
        <w:rPr>
          <w:rFonts w:ascii="Calibri" w:eastAsia="Calibri" w:hAnsi="Calibri" w:cs="Calibri"/>
          <w:color w:val="000000" w:themeColor="text1"/>
        </w:rPr>
        <w:t xml:space="preserve"> </w:t>
      </w:r>
      <w:r w:rsidRPr="0017357E">
        <w:rPr>
          <w:rFonts w:ascii="Calibri" w:eastAsia="Calibri" w:hAnsi="Calibri" w:cs="Calibri"/>
          <w:color w:val="000000" w:themeColor="text1"/>
        </w:rPr>
        <w:t xml:space="preserve">people were in attendance, including </w:t>
      </w:r>
      <w:r w:rsidR="00471CE4">
        <w:rPr>
          <w:rFonts w:ascii="Calibri" w:eastAsia="Calibri" w:hAnsi="Calibri" w:cs="Calibri"/>
          <w:color w:val="000000" w:themeColor="text1"/>
        </w:rPr>
        <w:t>14</w:t>
      </w:r>
      <w:r w:rsidRPr="0017357E">
        <w:rPr>
          <w:rFonts w:ascii="Calibri" w:eastAsia="Calibri" w:hAnsi="Calibri" w:cs="Calibri"/>
          <w:color w:val="000000" w:themeColor="text1"/>
        </w:rPr>
        <w:t xml:space="preserve"> representatives from community organisations, </w:t>
      </w:r>
      <w:r w:rsidR="002418C2">
        <w:rPr>
          <w:rFonts w:ascii="Calibri" w:eastAsia="Calibri" w:hAnsi="Calibri" w:cs="Calibri"/>
          <w:color w:val="000000" w:themeColor="text1"/>
        </w:rPr>
        <w:t>three</w:t>
      </w:r>
      <w:r w:rsidR="002418C2" w:rsidRPr="0017357E">
        <w:rPr>
          <w:rFonts w:ascii="Calibri" w:eastAsia="Calibri" w:hAnsi="Calibri" w:cs="Calibri"/>
          <w:color w:val="000000" w:themeColor="text1"/>
        </w:rPr>
        <w:t xml:space="preserve"> </w:t>
      </w:r>
      <w:r w:rsidRPr="0017357E">
        <w:rPr>
          <w:rFonts w:ascii="Calibri" w:eastAsia="Calibri" w:hAnsi="Calibri" w:cs="Calibri"/>
          <w:color w:val="000000" w:themeColor="text1"/>
        </w:rPr>
        <w:t xml:space="preserve">students and 33 </w:t>
      </w:r>
      <w:r w:rsidR="00817166">
        <w:rPr>
          <w:rFonts w:ascii="Calibri" w:eastAsia="Calibri" w:hAnsi="Calibri" w:cs="Calibri"/>
          <w:color w:val="000000" w:themeColor="text1"/>
        </w:rPr>
        <w:t>members</w:t>
      </w:r>
      <w:r w:rsidR="00A27530" w:rsidRPr="3C6D1E23">
        <w:rPr>
          <w:rFonts w:ascii="Calibri" w:eastAsia="Calibri" w:hAnsi="Calibri" w:cs="Calibri"/>
          <w:color w:val="000000" w:themeColor="text1"/>
        </w:rPr>
        <w:t xml:space="preserve"> of </w:t>
      </w:r>
      <w:r w:rsidRPr="0017357E">
        <w:rPr>
          <w:rFonts w:ascii="Calibri" w:eastAsia="Calibri" w:hAnsi="Calibri" w:cs="Calibri"/>
          <w:color w:val="000000" w:themeColor="text1"/>
        </w:rPr>
        <w:t xml:space="preserve">staff from </w:t>
      </w:r>
      <w:r w:rsidR="000051AA">
        <w:rPr>
          <w:rFonts w:ascii="Calibri" w:eastAsia="Calibri" w:hAnsi="Calibri" w:cs="Calibri"/>
          <w:color w:val="000000" w:themeColor="text1"/>
        </w:rPr>
        <w:t xml:space="preserve">Schools and </w:t>
      </w:r>
      <w:r w:rsidR="002418C2">
        <w:rPr>
          <w:rFonts w:ascii="Calibri" w:eastAsia="Calibri" w:hAnsi="Calibri" w:cs="Calibri"/>
          <w:color w:val="000000" w:themeColor="text1"/>
        </w:rPr>
        <w:t>d</w:t>
      </w:r>
      <w:r w:rsidR="002418C2" w:rsidRPr="0017357E">
        <w:rPr>
          <w:rFonts w:ascii="Calibri" w:eastAsia="Calibri" w:hAnsi="Calibri" w:cs="Calibri"/>
          <w:color w:val="000000" w:themeColor="text1"/>
        </w:rPr>
        <w:t>epartments</w:t>
      </w:r>
      <w:r w:rsidR="002418C2">
        <w:rPr>
          <w:rFonts w:ascii="Calibri" w:eastAsia="Calibri" w:hAnsi="Calibri" w:cs="Calibri"/>
          <w:color w:val="000000" w:themeColor="text1"/>
        </w:rPr>
        <w:t xml:space="preserve"> </w:t>
      </w:r>
      <w:r w:rsidR="000051AA">
        <w:rPr>
          <w:rFonts w:ascii="Calibri" w:eastAsia="Calibri" w:hAnsi="Calibri" w:cs="Calibri"/>
          <w:color w:val="000000" w:themeColor="text1"/>
        </w:rPr>
        <w:t>across the University</w:t>
      </w:r>
      <w:r w:rsidRPr="0017357E">
        <w:rPr>
          <w:rFonts w:ascii="Calibri" w:eastAsia="Calibri" w:hAnsi="Calibri" w:cs="Calibri"/>
          <w:color w:val="000000" w:themeColor="text1"/>
        </w:rPr>
        <w:t xml:space="preserve">. </w:t>
      </w:r>
    </w:p>
    <w:p w14:paraId="2660136D" w14:textId="79C9CAFE" w:rsidR="00773F7C" w:rsidRDefault="00773F7C" w:rsidP="00EB11F2">
      <w:pPr>
        <w:spacing w:line="259" w:lineRule="auto"/>
        <w:ind w:firstLine="720"/>
        <w:rPr>
          <w:rFonts w:ascii="Calibri" w:eastAsia="Calibri" w:hAnsi="Calibri" w:cs="Calibri"/>
          <w:color w:val="000000" w:themeColor="text1"/>
        </w:rPr>
      </w:pPr>
      <w:r w:rsidRPr="0017357E">
        <w:rPr>
          <w:rFonts w:ascii="Calibri" w:eastAsia="Calibri" w:hAnsi="Calibri" w:cs="Calibri"/>
          <w:color w:val="000000" w:themeColor="text1"/>
        </w:rPr>
        <w:t xml:space="preserve">A summary of the </w:t>
      </w:r>
      <w:hyperlink r:id="rId128">
        <w:r w:rsidRPr="0017357E">
          <w:rPr>
            <w:rStyle w:val="Hyperlink"/>
            <w:rFonts w:ascii="Calibri" w:eastAsia="Calibri" w:hAnsi="Calibri" w:cs="Calibri"/>
            <w:color w:val="000000" w:themeColor="text1"/>
          </w:rPr>
          <w:t>key points raised and priorities identified</w:t>
        </w:r>
      </w:hyperlink>
      <w:r w:rsidRPr="0017357E">
        <w:rPr>
          <w:rFonts w:ascii="Calibri" w:eastAsia="Calibri" w:hAnsi="Calibri" w:cs="Calibri"/>
          <w:color w:val="000000" w:themeColor="text1"/>
        </w:rPr>
        <w:t xml:space="preserve"> during this event included: </w:t>
      </w:r>
    </w:p>
    <w:p w14:paraId="5D2DEBA4" w14:textId="77777777" w:rsidR="00471CE4" w:rsidRPr="0017357E" w:rsidRDefault="00471CE4" w:rsidP="00EB11F2">
      <w:pPr>
        <w:spacing w:line="259" w:lineRule="auto"/>
        <w:rPr>
          <w:rFonts w:ascii="Calibri" w:eastAsia="Calibri" w:hAnsi="Calibri" w:cs="Calibri"/>
          <w:color w:val="000000" w:themeColor="text1"/>
        </w:rPr>
      </w:pPr>
    </w:p>
    <w:p w14:paraId="52AB0A1E" w14:textId="603C87CC" w:rsidR="00773F7C" w:rsidRPr="0017357E" w:rsidRDefault="00773F7C" w:rsidP="00EB11F2">
      <w:pPr>
        <w:pStyle w:val="ListParagraph"/>
        <w:numPr>
          <w:ilvl w:val="0"/>
          <w:numId w:val="2"/>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Addressing the power imbalances between </w:t>
      </w:r>
      <w:r w:rsidR="00817166">
        <w:rPr>
          <w:rFonts w:ascii="Calibri" w:eastAsia="Calibri" w:hAnsi="Calibri" w:cs="Calibri"/>
          <w:color w:val="000000" w:themeColor="text1"/>
        </w:rPr>
        <w:t>the</w:t>
      </w:r>
      <w:r w:rsidRPr="0017357E">
        <w:rPr>
          <w:rFonts w:ascii="Calibri" w:eastAsia="Calibri" w:hAnsi="Calibri" w:cs="Calibri"/>
          <w:color w:val="000000" w:themeColor="text1"/>
        </w:rPr>
        <w:t xml:space="preserve"> </w:t>
      </w:r>
      <w:r w:rsidR="00A27530">
        <w:rPr>
          <w:rFonts w:ascii="Calibri" w:eastAsia="Calibri" w:hAnsi="Calibri" w:cs="Calibri"/>
          <w:color w:val="000000" w:themeColor="text1"/>
        </w:rPr>
        <w:t>University of Edinburgh</w:t>
      </w:r>
      <w:r w:rsidRPr="0017357E">
        <w:rPr>
          <w:rFonts w:ascii="Calibri" w:eastAsia="Calibri" w:hAnsi="Calibri" w:cs="Calibri"/>
          <w:color w:val="000000" w:themeColor="text1"/>
        </w:rPr>
        <w:t xml:space="preserve"> and communities of reparatory justice interest; </w:t>
      </w:r>
    </w:p>
    <w:p w14:paraId="5C3FBA28" w14:textId="0F9CDB43" w:rsidR="00773F7C" w:rsidRPr="0017357E" w:rsidRDefault="00773F7C" w:rsidP="00EB11F2">
      <w:pPr>
        <w:pStyle w:val="ListParagraph"/>
        <w:numPr>
          <w:ilvl w:val="0"/>
          <w:numId w:val="2"/>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Developing processes of engagement and dialogue for action; </w:t>
      </w:r>
    </w:p>
    <w:p w14:paraId="232C1EDE" w14:textId="160CEEDC" w:rsidR="00773F7C" w:rsidRPr="0017357E" w:rsidRDefault="00773F7C" w:rsidP="00EB11F2">
      <w:pPr>
        <w:pStyle w:val="ListParagraph"/>
        <w:numPr>
          <w:ilvl w:val="0"/>
          <w:numId w:val="2"/>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Finding appropriate spaces for engagement; </w:t>
      </w:r>
    </w:p>
    <w:p w14:paraId="713D6B57" w14:textId="47BF942A" w:rsidR="00773F7C" w:rsidRPr="0017357E" w:rsidRDefault="00773F7C" w:rsidP="00EB11F2">
      <w:pPr>
        <w:pStyle w:val="ListParagraph"/>
        <w:numPr>
          <w:ilvl w:val="0"/>
          <w:numId w:val="2"/>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Providing better access to archives and institutional records;</w:t>
      </w:r>
    </w:p>
    <w:p w14:paraId="55D304BD" w14:textId="6C640208" w:rsidR="00773F7C" w:rsidRPr="0017357E" w:rsidRDefault="00773F7C" w:rsidP="00EB11F2">
      <w:pPr>
        <w:pStyle w:val="ListParagraph"/>
        <w:numPr>
          <w:ilvl w:val="0"/>
          <w:numId w:val="2"/>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Opening up access to education on an international scale; </w:t>
      </w:r>
    </w:p>
    <w:p w14:paraId="7C61A6F4" w14:textId="00D54106" w:rsidR="00773F7C" w:rsidRPr="0017357E" w:rsidRDefault="00773F7C" w:rsidP="00EB11F2">
      <w:pPr>
        <w:pStyle w:val="ListParagraph"/>
        <w:numPr>
          <w:ilvl w:val="0"/>
          <w:numId w:val="2"/>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Transforming and decolonising the curriculum;</w:t>
      </w:r>
    </w:p>
    <w:p w14:paraId="1D4063BE" w14:textId="45B5CDFE" w:rsidR="00773F7C" w:rsidRPr="0017357E" w:rsidRDefault="00773F7C" w:rsidP="00EB11F2">
      <w:pPr>
        <w:pStyle w:val="ListParagraph"/>
        <w:numPr>
          <w:ilvl w:val="0"/>
          <w:numId w:val="2"/>
        </w:num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Recognising the past, building awareness and sustaining transformation. </w:t>
      </w:r>
    </w:p>
    <w:p w14:paraId="715383EB" w14:textId="7C011C37" w:rsidR="00773F7C" w:rsidRPr="0017357E" w:rsidRDefault="00773F7C" w:rsidP="00EB11F2">
      <w:pPr>
        <w:autoSpaceDE w:val="0"/>
        <w:autoSpaceDN w:val="0"/>
        <w:adjustRightInd w:val="0"/>
        <w:spacing w:line="259" w:lineRule="auto"/>
        <w:rPr>
          <w:rFonts w:ascii="Calibri" w:eastAsia="Calibri" w:hAnsi="Calibri" w:cs="Calibri"/>
          <w:color w:val="000000" w:themeColor="text1"/>
        </w:rPr>
      </w:pPr>
    </w:p>
    <w:p w14:paraId="0EF80F25" w14:textId="1563810E" w:rsidR="00773F7C" w:rsidRPr="0017357E" w:rsidRDefault="00773F7C" w:rsidP="00EB11F2">
      <w:pPr>
        <w:autoSpaceDE w:val="0"/>
        <w:autoSpaceDN w:val="0"/>
        <w:adjustRightInd w:val="0"/>
        <w:spacing w:line="259" w:lineRule="auto"/>
        <w:rPr>
          <w:rFonts w:ascii="Calibri" w:eastAsia="Calibri" w:hAnsi="Calibri" w:cs="Calibri"/>
          <w:color w:val="000000" w:themeColor="text1"/>
        </w:rPr>
      </w:pPr>
      <w:r w:rsidRPr="0017357E">
        <w:rPr>
          <w:rFonts w:ascii="Calibri" w:eastAsia="Calibri" w:hAnsi="Calibri" w:cs="Calibri"/>
          <w:color w:val="000000" w:themeColor="text1"/>
        </w:rPr>
        <w:t>A key outcome of this inauguration was the identification of priority areas on which to focus community workshops and focus groups (see below).</w:t>
      </w:r>
    </w:p>
    <w:p w14:paraId="25A91AE8" w14:textId="0CDA5B27" w:rsidR="00773F7C" w:rsidRPr="0017357E" w:rsidRDefault="00773F7C" w:rsidP="00EB11F2">
      <w:pPr>
        <w:spacing w:line="259" w:lineRule="auto"/>
        <w:ind w:firstLine="720"/>
        <w:rPr>
          <w:rFonts w:ascii="Calibri" w:eastAsia="Calibri" w:hAnsi="Calibri" w:cs="Calibri"/>
          <w:color w:val="000000" w:themeColor="text1"/>
        </w:rPr>
      </w:pPr>
      <w:r w:rsidRPr="0017357E">
        <w:rPr>
          <w:rFonts w:ascii="Calibri" w:eastAsia="Calibri" w:hAnsi="Calibri" w:cs="Calibri"/>
          <w:color w:val="000000" w:themeColor="text1"/>
        </w:rPr>
        <w:t xml:space="preserve">The inauguration was followed by a </w:t>
      </w:r>
      <w:hyperlink r:id="rId129">
        <w:r w:rsidRPr="0017357E">
          <w:rPr>
            <w:rStyle w:val="Hyperlink"/>
            <w:rFonts w:ascii="Calibri" w:eastAsia="Calibri" w:hAnsi="Calibri" w:cs="Calibri"/>
            <w:color w:val="000000" w:themeColor="text1"/>
          </w:rPr>
          <w:t>press release</w:t>
        </w:r>
      </w:hyperlink>
      <w:r w:rsidRPr="0017357E">
        <w:rPr>
          <w:rFonts w:ascii="Calibri" w:eastAsia="Calibri" w:hAnsi="Calibri" w:cs="Calibri"/>
          <w:color w:val="000000" w:themeColor="text1"/>
        </w:rPr>
        <w:t>, as well as the production of two podcasts entitled ‘On Reparations at the University of Edinburgh’ (</w:t>
      </w:r>
      <w:hyperlink r:id="rId130">
        <w:r w:rsidRPr="0017357E">
          <w:rPr>
            <w:rStyle w:val="Hyperlink"/>
            <w:rFonts w:ascii="Calibri" w:eastAsia="Calibri" w:hAnsi="Calibri" w:cs="Calibri"/>
            <w:color w:val="000000" w:themeColor="text1"/>
          </w:rPr>
          <w:t>part 1</w:t>
        </w:r>
      </w:hyperlink>
      <w:r w:rsidRPr="0017357E">
        <w:rPr>
          <w:rFonts w:ascii="Calibri" w:eastAsia="Calibri" w:hAnsi="Calibri" w:cs="Calibri"/>
          <w:color w:val="000000" w:themeColor="text1"/>
        </w:rPr>
        <w:t xml:space="preserve"> and </w:t>
      </w:r>
      <w:hyperlink r:id="rId131">
        <w:r w:rsidRPr="0017357E">
          <w:rPr>
            <w:rStyle w:val="Hyperlink"/>
            <w:rFonts w:ascii="Calibri" w:eastAsia="Calibri" w:hAnsi="Calibri" w:cs="Calibri"/>
            <w:color w:val="000000" w:themeColor="text1"/>
          </w:rPr>
          <w:t>part 2</w:t>
        </w:r>
      </w:hyperlink>
      <w:r w:rsidRPr="0017357E">
        <w:rPr>
          <w:rFonts w:ascii="Calibri" w:eastAsia="Calibri" w:hAnsi="Calibri" w:cs="Calibri"/>
          <w:color w:val="000000" w:themeColor="text1"/>
        </w:rPr>
        <w:t xml:space="preserve">), which were created in collaboration with the </w:t>
      </w:r>
      <w:hyperlink r:id="rId132">
        <w:r w:rsidRPr="0017357E">
          <w:rPr>
            <w:rStyle w:val="Hyperlink"/>
            <w:rFonts w:ascii="Calibri" w:eastAsia="Calibri" w:hAnsi="Calibri" w:cs="Calibri"/>
            <w:color w:val="000000" w:themeColor="text1"/>
          </w:rPr>
          <w:t>RaceEd network</w:t>
        </w:r>
      </w:hyperlink>
      <w:r w:rsidRPr="0017357E">
        <w:rPr>
          <w:rFonts w:ascii="Calibri" w:eastAsia="Calibri" w:hAnsi="Calibri" w:cs="Calibri"/>
          <w:color w:val="000000" w:themeColor="text1"/>
        </w:rPr>
        <w:t xml:space="preserve"> for their ‘</w:t>
      </w:r>
      <w:hyperlink r:id="rId133">
        <w:r w:rsidRPr="0017357E">
          <w:rPr>
            <w:rStyle w:val="Hyperlink"/>
            <w:rFonts w:ascii="Calibri" w:eastAsia="Calibri" w:hAnsi="Calibri" w:cs="Calibri"/>
            <w:color w:val="000000" w:themeColor="text1"/>
          </w:rPr>
          <w:t>Undersong: Race and Conversations Other-Wise</w:t>
        </w:r>
      </w:hyperlink>
      <w:r w:rsidRPr="0017357E">
        <w:rPr>
          <w:rFonts w:ascii="Calibri" w:eastAsia="Calibri" w:hAnsi="Calibri" w:cs="Calibri"/>
          <w:color w:val="000000" w:themeColor="text1"/>
        </w:rPr>
        <w:t>' series.</w:t>
      </w:r>
      <w:r w:rsidR="00C03A88">
        <w:rPr>
          <w:rStyle w:val="FootnoteReference"/>
          <w:rFonts w:ascii="Calibri" w:eastAsia="Calibri" w:hAnsi="Calibri" w:cs="Calibri"/>
          <w:color w:val="000000" w:themeColor="text1"/>
        </w:rPr>
        <w:footnoteReference w:id="212"/>
      </w:r>
      <w:r w:rsidRPr="0017357E">
        <w:rPr>
          <w:rFonts w:ascii="Calibri" w:eastAsia="Calibri" w:hAnsi="Calibri" w:cs="Calibri"/>
          <w:color w:val="000000" w:themeColor="text1"/>
        </w:rPr>
        <w:t xml:space="preserve"> </w:t>
      </w:r>
    </w:p>
    <w:p w14:paraId="4E9714B9" w14:textId="299CEE40" w:rsidR="00773F7C" w:rsidRPr="0017357E" w:rsidRDefault="00773F7C" w:rsidP="00EB11F2">
      <w:pPr>
        <w:autoSpaceDE w:val="0"/>
        <w:autoSpaceDN w:val="0"/>
        <w:adjustRightInd w:val="0"/>
        <w:spacing w:line="259" w:lineRule="auto"/>
        <w:rPr>
          <w:rFonts w:ascii="Calibri" w:eastAsia="Calibri" w:hAnsi="Calibri" w:cs="Calibri"/>
          <w:color w:val="000000" w:themeColor="text1"/>
        </w:rPr>
      </w:pPr>
    </w:p>
    <w:p w14:paraId="6EB12BD8" w14:textId="69CB26CE" w:rsidR="00773F7C" w:rsidRPr="00334798" w:rsidRDefault="00773F7C" w:rsidP="002418C2">
      <w:pPr>
        <w:pStyle w:val="Heading3"/>
      </w:pPr>
      <w:bookmarkStart w:id="108" w:name="_Toc157238080"/>
      <w:bookmarkStart w:id="109" w:name="_Toc190939437"/>
      <w:bookmarkStart w:id="110" w:name="_Toc202627120"/>
      <w:r w:rsidRPr="00334798">
        <w:t>Stage 3: May to September 2023</w:t>
      </w:r>
      <w:bookmarkEnd w:id="108"/>
      <w:bookmarkEnd w:id="109"/>
      <w:bookmarkEnd w:id="110"/>
    </w:p>
    <w:p w14:paraId="32B287CE" w14:textId="77777777" w:rsidR="00334798" w:rsidRDefault="00334798" w:rsidP="00EB11F2">
      <w:pPr>
        <w:autoSpaceDE w:val="0"/>
        <w:autoSpaceDN w:val="0"/>
        <w:adjustRightInd w:val="0"/>
        <w:spacing w:line="259" w:lineRule="auto"/>
        <w:rPr>
          <w:rFonts w:ascii="Calibri" w:eastAsia="Calibri" w:hAnsi="Calibri" w:cs="Calibri"/>
          <w:color w:val="000000" w:themeColor="text1"/>
        </w:rPr>
      </w:pPr>
    </w:p>
    <w:p w14:paraId="45F48607" w14:textId="2D723A4D" w:rsidR="00773F7C" w:rsidRPr="00B8491A" w:rsidRDefault="00773F7C" w:rsidP="00EB11F2">
      <w:pPr>
        <w:autoSpaceDE w:val="0"/>
        <w:autoSpaceDN w:val="0"/>
        <w:adjustRightInd w:val="0"/>
        <w:spacing w:line="259" w:lineRule="auto"/>
        <w:rPr>
          <w:rFonts w:ascii="Calibri" w:eastAsia="Calibri" w:hAnsi="Calibri" w:cs="Calibri"/>
          <w:color w:val="000000" w:themeColor="text1"/>
        </w:rPr>
      </w:pPr>
      <w:r w:rsidRPr="0017357E">
        <w:rPr>
          <w:rFonts w:ascii="Calibri" w:eastAsia="Calibri" w:hAnsi="Calibri" w:cs="Calibri"/>
          <w:color w:val="000000" w:themeColor="text1"/>
        </w:rPr>
        <w:t xml:space="preserve">During stage 3, </w:t>
      </w:r>
      <w:r w:rsidR="00BE0247">
        <w:rPr>
          <w:rFonts w:ascii="Calibri" w:eastAsia="Calibri" w:hAnsi="Calibri" w:cs="Calibri"/>
          <w:color w:val="000000" w:themeColor="text1"/>
        </w:rPr>
        <w:t>the REWG</w:t>
      </w:r>
      <w:r w:rsidRPr="0017357E">
        <w:rPr>
          <w:rFonts w:ascii="Calibri" w:eastAsia="Calibri" w:hAnsi="Calibri" w:cs="Calibri"/>
          <w:color w:val="000000" w:themeColor="text1"/>
        </w:rPr>
        <w:t xml:space="preserve"> began planning </w:t>
      </w:r>
      <w:r w:rsidR="00BE0247">
        <w:rPr>
          <w:rFonts w:ascii="Calibri" w:eastAsia="Calibri" w:hAnsi="Calibri" w:cs="Calibri"/>
          <w:color w:val="000000" w:themeColor="text1"/>
        </w:rPr>
        <w:t>its</w:t>
      </w:r>
      <w:r w:rsidRPr="0017357E">
        <w:rPr>
          <w:rFonts w:ascii="Calibri" w:eastAsia="Calibri" w:hAnsi="Calibri" w:cs="Calibri"/>
          <w:color w:val="000000" w:themeColor="text1"/>
        </w:rPr>
        <w:t xml:space="preserve"> first thematic workshop and focus group series. This included seeking ethics approval, expanding the REWG network, attending seminars, conferences and events relating to community engagement, reparatory justice and decolonial research, and setting up the role of the </w:t>
      </w:r>
      <w:hyperlink r:id="rId134" w:history="1">
        <w:r w:rsidRPr="0017357E">
          <w:rPr>
            <w:rStyle w:val="Hyperlink"/>
            <w:rFonts w:ascii="Calibri" w:eastAsia="Calibri" w:hAnsi="Calibri" w:cs="Calibri"/>
            <w:color w:val="000000" w:themeColor="text1"/>
          </w:rPr>
          <w:t>Community Anchors</w:t>
        </w:r>
      </w:hyperlink>
      <w:r w:rsidRPr="0017357E">
        <w:rPr>
          <w:rFonts w:ascii="Calibri" w:eastAsia="Calibri" w:hAnsi="Calibri" w:cs="Calibri"/>
          <w:color w:val="000000" w:themeColor="text1"/>
        </w:rPr>
        <w:t>.</w:t>
      </w:r>
      <w:r w:rsidR="00BE0247">
        <w:rPr>
          <w:rStyle w:val="FootnoteReference"/>
          <w:rFonts w:ascii="Calibri" w:eastAsia="Calibri" w:hAnsi="Calibri" w:cs="Calibri"/>
          <w:color w:val="000000" w:themeColor="text1"/>
        </w:rPr>
        <w:footnoteReference w:id="213"/>
      </w:r>
      <w:r w:rsidRPr="0017357E">
        <w:rPr>
          <w:rFonts w:ascii="Calibri" w:eastAsia="Calibri" w:hAnsi="Calibri" w:cs="Calibri"/>
          <w:color w:val="000000" w:themeColor="text1"/>
        </w:rPr>
        <w:t xml:space="preserve"> In this role, </w:t>
      </w:r>
      <w:r w:rsidR="002418C2">
        <w:rPr>
          <w:rFonts w:ascii="Calibri" w:eastAsia="Calibri" w:hAnsi="Calibri" w:cs="Calibri"/>
          <w:color w:val="000000" w:themeColor="text1"/>
        </w:rPr>
        <w:t>10</w:t>
      </w:r>
      <w:r w:rsidR="002418C2" w:rsidRPr="0017357E">
        <w:rPr>
          <w:rFonts w:ascii="Calibri" w:eastAsia="Calibri" w:hAnsi="Calibri" w:cs="Calibri"/>
          <w:color w:val="000000" w:themeColor="text1"/>
        </w:rPr>
        <w:t xml:space="preserve"> </w:t>
      </w:r>
      <w:r w:rsidRPr="0017357E">
        <w:rPr>
          <w:rFonts w:ascii="Calibri" w:eastAsia="Calibri" w:hAnsi="Calibri" w:cs="Calibri"/>
          <w:color w:val="000000" w:themeColor="text1"/>
        </w:rPr>
        <w:t xml:space="preserve">individuals were invited to join the REWG as a committee of advisors. This group includes four individuals from external communities, three individuals from </w:t>
      </w:r>
      <w:r w:rsidR="00476292">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sidRPr="0017357E">
        <w:rPr>
          <w:rFonts w:ascii="Calibri" w:eastAsia="Calibri" w:hAnsi="Calibri" w:cs="Calibri"/>
          <w:color w:val="000000" w:themeColor="text1"/>
        </w:rPr>
        <w:t xml:space="preserve">’s staff population and three individuals from the student population. All Anchors </w:t>
      </w:r>
      <w:r w:rsidR="00476292">
        <w:rPr>
          <w:rFonts w:ascii="Calibri" w:eastAsia="Calibri" w:hAnsi="Calibri" w:cs="Calibri"/>
          <w:color w:val="000000" w:themeColor="text1"/>
        </w:rPr>
        <w:t>were</w:t>
      </w:r>
      <w:r w:rsidRPr="0017357E">
        <w:rPr>
          <w:rFonts w:ascii="Calibri" w:eastAsia="Calibri" w:hAnsi="Calibri" w:cs="Calibri"/>
          <w:color w:val="000000" w:themeColor="text1"/>
        </w:rPr>
        <w:t xml:space="preserve"> invited to attend workshop planning sessions, co-facilitate activities and recommend representatives and speakers for events, as well as attend the events as participants. The </w:t>
      </w:r>
      <w:r w:rsidRPr="0017357E">
        <w:rPr>
          <w:rFonts w:ascii="Calibri" w:eastAsia="Calibri" w:hAnsi="Calibri" w:cs="Calibri"/>
          <w:color w:val="000000" w:themeColor="text1"/>
        </w:rPr>
        <w:lastRenderedPageBreak/>
        <w:t xml:space="preserve">purpose of the initiative </w:t>
      </w:r>
      <w:r w:rsidR="00B46442">
        <w:rPr>
          <w:rFonts w:ascii="Calibri" w:eastAsia="Calibri" w:hAnsi="Calibri" w:cs="Calibri"/>
          <w:color w:val="000000" w:themeColor="text1"/>
        </w:rPr>
        <w:t xml:space="preserve">was </w:t>
      </w:r>
      <w:r w:rsidRPr="0017357E">
        <w:rPr>
          <w:rFonts w:ascii="Calibri" w:eastAsia="Calibri" w:hAnsi="Calibri" w:cs="Calibri"/>
          <w:color w:val="000000" w:themeColor="text1"/>
        </w:rPr>
        <w:t xml:space="preserve">to recognise the knowledge and expertise of the Anchors and reflect a serious commitment to knowledge exchange, as well as ensure capacity building for both the Anchors and </w:t>
      </w:r>
      <w:r w:rsidR="00815740">
        <w:rPr>
          <w:rFonts w:ascii="Calibri" w:eastAsia="Calibri" w:hAnsi="Calibri" w:cs="Calibri"/>
          <w:color w:val="000000" w:themeColor="text1"/>
        </w:rPr>
        <w:t xml:space="preserve">the </w:t>
      </w:r>
      <w:r w:rsidR="00A27530">
        <w:rPr>
          <w:rFonts w:ascii="Calibri" w:eastAsia="Calibri" w:hAnsi="Calibri" w:cs="Calibri"/>
          <w:color w:val="000000" w:themeColor="text1"/>
        </w:rPr>
        <w:t>University of Edinburgh</w:t>
      </w:r>
      <w:r w:rsidRPr="0017357E">
        <w:rPr>
          <w:rFonts w:ascii="Calibri" w:eastAsia="Calibri" w:hAnsi="Calibri" w:cs="Calibri"/>
          <w:color w:val="000000" w:themeColor="text1"/>
        </w:rPr>
        <w:t xml:space="preserve">. For more information, view the </w:t>
      </w:r>
      <w:hyperlink r:id="rId135">
        <w:r w:rsidRPr="0017357E">
          <w:rPr>
            <w:rStyle w:val="Hyperlink"/>
            <w:rFonts w:ascii="Calibri" w:eastAsia="Calibri" w:hAnsi="Calibri" w:cs="Calibri"/>
            <w:color w:val="000000" w:themeColor="text1"/>
          </w:rPr>
          <w:t>Community Anchor Invitation</w:t>
        </w:r>
      </w:hyperlink>
      <w:r w:rsidRPr="0017357E">
        <w:rPr>
          <w:rFonts w:ascii="Calibri" w:eastAsia="Calibri" w:hAnsi="Calibri" w:cs="Calibri"/>
          <w:color w:val="000000" w:themeColor="text1"/>
        </w:rPr>
        <w:t>.</w:t>
      </w:r>
    </w:p>
    <w:p w14:paraId="2065758C" w14:textId="6E0B49DD" w:rsidR="00773F7C" w:rsidRPr="0017357E" w:rsidRDefault="00773F7C" w:rsidP="00016E93">
      <w:pPr>
        <w:autoSpaceDE w:val="0"/>
        <w:autoSpaceDN w:val="0"/>
        <w:adjustRightInd w:val="0"/>
        <w:spacing w:line="259" w:lineRule="auto"/>
        <w:jc w:val="both"/>
        <w:rPr>
          <w:rFonts w:ascii="Calibri" w:eastAsia="Calibri" w:hAnsi="Calibri" w:cs="Calibri"/>
          <w:color w:val="000000" w:themeColor="text1"/>
        </w:rPr>
      </w:pPr>
    </w:p>
    <w:p w14:paraId="583B7AFA" w14:textId="1517CCB4" w:rsidR="00773F7C" w:rsidRPr="0017357E" w:rsidRDefault="00773F7C" w:rsidP="00334798">
      <w:pPr>
        <w:pStyle w:val="Heading3"/>
        <w:rPr>
          <w:b/>
          <w:bCs/>
        </w:rPr>
      </w:pPr>
      <w:bookmarkStart w:id="111" w:name="_Toc157238081"/>
      <w:bookmarkStart w:id="112" w:name="_Toc190939438"/>
      <w:bookmarkStart w:id="113" w:name="_Toc202627121"/>
      <w:r w:rsidRPr="0017357E">
        <w:t xml:space="preserve">Stage 4: October 2023 to </w:t>
      </w:r>
      <w:r w:rsidR="00F64533" w:rsidRPr="00903E5F">
        <w:t>December</w:t>
      </w:r>
      <w:r w:rsidRPr="0017357E">
        <w:t xml:space="preserve"> 2024</w:t>
      </w:r>
      <w:bookmarkEnd w:id="111"/>
      <w:bookmarkEnd w:id="112"/>
      <w:bookmarkEnd w:id="113"/>
    </w:p>
    <w:p w14:paraId="66587787" w14:textId="77777777" w:rsidR="00334798" w:rsidRDefault="00334798" w:rsidP="00016E93">
      <w:pPr>
        <w:spacing w:line="259" w:lineRule="auto"/>
        <w:jc w:val="both"/>
        <w:rPr>
          <w:rFonts w:ascii="Calibri" w:eastAsia="Calibri" w:hAnsi="Calibri" w:cs="Calibri"/>
          <w:color w:val="000000" w:themeColor="text1"/>
        </w:rPr>
      </w:pPr>
    </w:p>
    <w:p w14:paraId="774C5DEB" w14:textId="6AF33285" w:rsidR="00773F7C" w:rsidRPr="0017357E" w:rsidRDefault="004268B5" w:rsidP="00EB11F2">
      <w:pPr>
        <w:spacing w:line="259" w:lineRule="auto"/>
        <w:rPr>
          <w:rFonts w:ascii="Calibri" w:eastAsia="Calibri" w:hAnsi="Calibri" w:cs="Calibri"/>
          <w:color w:val="000000" w:themeColor="text1"/>
        </w:rPr>
      </w:pPr>
      <w:r>
        <w:rPr>
          <w:rFonts w:ascii="Calibri" w:eastAsia="Calibri" w:hAnsi="Calibri" w:cs="Calibri"/>
          <w:color w:val="000000" w:themeColor="text1"/>
        </w:rPr>
        <w:t xml:space="preserve">During </w:t>
      </w:r>
      <w:r w:rsidR="00773F7C" w:rsidRPr="0017357E">
        <w:rPr>
          <w:rFonts w:ascii="Calibri" w:eastAsia="Calibri" w:hAnsi="Calibri" w:cs="Calibri"/>
          <w:color w:val="000000" w:themeColor="text1"/>
        </w:rPr>
        <w:t>Stage 4</w:t>
      </w:r>
      <w:r>
        <w:rPr>
          <w:rFonts w:ascii="Calibri" w:eastAsia="Calibri" w:hAnsi="Calibri" w:cs="Calibri"/>
          <w:color w:val="000000" w:themeColor="text1"/>
        </w:rPr>
        <w:t xml:space="preserve">, </w:t>
      </w:r>
      <w:r w:rsidR="000051AA">
        <w:rPr>
          <w:rFonts w:ascii="Calibri" w:eastAsia="Calibri" w:hAnsi="Calibri" w:cs="Calibri"/>
          <w:color w:val="000000" w:themeColor="text1"/>
        </w:rPr>
        <w:t>the REWG</w:t>
      </w:r>
      <w:r>
        <w:rPr>
          <w:rFonts w:ascii="Calibri" w:eastAsia="Calibri" w:hAnsi="Calibri" w:cs="Calibri"/>
          <w:color w:val="000000" w:themeColor="text1"/>
        </w:rPr>
        <w:t xml:space="preserve"> worked with communities</w:t>
      </w:r>
      <w:r w:rsidR="00BF655D">
        <w:rPr>
          <w:rFonts w:ascii="Calibri" w:eastAsia="Calibri" w:hAnsi="Calibri" w:cs="Calibri"/>
          <w:color w:val="000000" w:themeColor="text1"/>
        </w:rPr>
        <w:t xml:space="preserve"> on</w:t>
      </w:r>
      <w:r>
        <w:rPr>
          <w:rFonts w:ascii="Calibri" w:eastAsia="Calibri" w:hAnsi="Calibri" w:cs="Calibri"/>
          <w:color w:val="000000" w:themeColor="text1"/>
        </w:rPr>
        <w:t xml:space="preserve"> </w:t>
      </w:r>
      <w:r w:rsidR="00773F7C" w:rsidRPr="0017357E">
        <w:rPr>
          <w:rFonts w:ascii="Calibri" w:eastAsia="Calibri" w:hAnsi="Calibri" w:cs="Calibri"/>
          <w:color w:val="000000" w:themeColor="text1"/>
        </w:rPr>
        <w:t xml:space="preserve">four </w:t>
      </w:r>
      <w:r w:rsidR="00B639E1">
        <w:rPr>
          <w:rFonts w:ascii="Calibri" w:eastAsia="Calibri" w:hAnsi="Calibri" w:cs="Calibri"/>
          <w:color w:val="000000" w:themeColor="text1"/>
        </w:rPr>
        <w:t>priority areas</w:t>
      </w:r>
      <w:r w:rsidR="00773F7C" w:rsidRPr="0017357E">
        <w:rPr>
          <w:rFonts w:ascii="Calibri" w:eastAsia="Calibri" w:hAnsi="Calibri" w:cs="Calibri"/>
          <w:color w:val="000000" w:themeColor="text1"/>
        </w:rPr>
        <w:t xml:space="preserve"> </w:t>
      </w:r>
      <w:r w:rsidR="000051AA">
        <w:rPr>
          <w:rFonts w:ascii="Calibri" w:eastAsia="Calibri" w:hAnsi="Calibri" w:cs="Calibri"/>
          <w:color w:val="000000" w:themeColor="text1"/>
        </w:rPr>
        <w:t>through</w:t>
      </w:r>
      <w:r w:rsidR="00B639E1">
        <w:rPr>
          <w:rFonts w:ascii="Calibri" w:eastAsia="Calibri" w:hAnsi="Calibri" w:cs="Calibri"/>
          <w:color w:val="000000" w:themeColor="text1"/>
        </w:rPr>
        <w:t xml:space="preserve"> </w:t>
      </w:r>
      <w:r w:rsidR="00773F7C" w:rsidRPr="0017357E">
        <w:rPr>
          <w:rFonts w:ascii="Calibri" w:eastAsia="Calibri" w:hAnsi="Calibri" w:cs="Calibri"/>
          <w:color w:val="000000" w:themeColor="text1"/>
        </w:rPr>
        <w:t>a workshop and focus group series</w:t>
      </w:r>
      <w:r w:rsidR="229F439C" w:rsidRPr="19D534DB">
        <w:rPr>
          <w:rFonts w:ascii="Calibri" w:eastAsia="Calibri" w:hAnsi="Calibri" w:cs="Calibri"/>
          <w:color w:val="000000" w:themeColor="text1"/>
        </w:rPr>
        <w:t>.</w:t>
      </w:r>
    </w:p>
    <w:p w14:paraId="4F823EF4" w14:textId="2E32F0A8" w:rsidR="00773F7C" w:rsidRPr="0017357E" w:rsidRDefault="00773F7C" w:rsidP="00016E93">
      <w:pPr>
        <w:spacing w:line="259" w:lineRule="auto"/>
        <w:jc w:val="both"/>
        <w:rPr>
          <w:rFonts w:ascii="Calibri" w:eastAsia="Calibri" w:hAnsi="Calibri" w:cs="Calibri"/>
          <w:color w:val="000000" w:themeColor="text1"/>
        </w:rPr>
      </w:pPr>
    </w:p>
    <w:p w14:paraId="49EF34E4" w14:textId="5C8A1CE0" w:rsidR="00773F7C" w:rsidRPr="0017357E" w:rsidRDefault="00773F7C" w:rsidP="002418C2">
      <w:pPr>
        <w:pStyle w:val="Heading5"/>
      </w:pPr>
      <w:r w:rsidRPr="0017357E">
        <w:t>Theme 1: Restitution and the Anatomical Museum</w:t>
      </w:r>
    </w:p>
    <w:p w14:paraId="43807367" w14:textId="14504903" w:rsidR="00F86B38" w:rsidRPr="00FF07FB" w:rsidRDefault="00773F7C" w:rsidP="00EB11F2">
      <w:pPr>
        <w:spacing w:line="259" w:lineRule="auto"/>
        <w:rPr>
          <w:rFonts w:ascii="Calibri" w:eastAsia="Calibri" w:hAnsi="Calibri" w:cs="Calibri"/>
          <w:color w:val="000000" w:themeColor="text1"/>
        </w:rPr>
      </w:pPr>
      <w:r w:rsidRPr="0017357E">
        <w:rPr>
          <w:rFonts w:ascii="Calibri" w:eastAsia="Calibri" w:hAnsi="Calibri" w:cs="Calibri"/>
          <w:color w:val="000000" w:themeColor="text1"/>
        </w:rPr>
        <w:t>Our first theme relate</w:t>
      </w:r>
      <w:r w:rsidR="00B639E1">
        <w:rPr>
          <w:rFonts w:ascii="Calibri" w:eastAsia="Calibri" w:hAnsi="Calibri" w:cs="Calibri"/>
          <w:color w:val="000000" w:themeColor="text1"/>
        </w:rPr>
        <w:t>d</w:t>
      </w:r>
      <w:r w:rsidRPr="0017357E">
        <w:rPr>
          <w:rFonts w:ascii="Calibri" w:eastAsia="Calibri" w:hAnsi="Calibri" w:cs="Calibri"/>
          <w:color w:val="000000" w:themeColor="text1"/>
        </w:rPr>
        <w:t xml:space="preserve"> to ‘</w:t>
      </w:r>
      <w:hyperlink r:id="rId136">
        <w:r w:rsidRPr="0017357E">
          <w:rPr>
            <w:rStyle w:val="Hyperlink"/>
            <w:rFonts w:ascii="Calibri" w:eastAsia="Calibri" w:hAnsi="Calibri" w:cs="Calibri"/>
            <w:color w:val="000000" w:themeColor="text1"/>
          </w:rPr>
          <w:t>Restitution and the Anatomical Museum</w:t>
        </w:r>
      </w:hyperlink>
      <w:r w:rsidRPr="0017357E">
        <w:rPr>
          <w:rFonts w:ascii="Calibri" w:eastAsia="Calibri" w:hAnsi="Calibri" w:cs="Calibri"/>
          <w:color w:val="000000" w:themeColor="text1"/>
        </w:rPr>
        <w:t>’.</w:t>
      </w:r>
      <w:r w:rsidR="005901D8">
        <w:rPr>
          <w:rFonts w:ascii="Calibri" w:eastAsia="Calibri" w:hAnsi="Calibri" w:cs="Calibri"/>
          <w:color w:val="000000" w:themeColor="text1"/>
        </w:rPr>
        <w:t xml:space="preserve"> </w:t>
      </w:r>
      <w:r w:rsidR="000051AA">
        <w:rPr>
          <w:rFonts w:ascii="Calibri" w:eastAsia="Calibri" w:hAnsi="Calibri" w:cs="Calibri"/>
          <w:color w:val="000000" w:themeColor="text1"/>
        </w:rPr>
        <w:t xml:space="preserve">Its aim </w:t>
      </w:r>
      <w:r w:rsidR="00C2300A">
        <w:rPr>
          <w:rFonts w:ascii="Calibri" w:eastAsia="Calibri" w:hAnsi="Calibri" w:cs="Calibri"/>
          <w:color w:val="000000" w:themeColor="text1"/>
        </w:rPr>
        <w:t>was</w:t>
      </w:r>
      <w:r w:rsidRPr="0017357E">
        <w:rPr>
          <w:rFonts w:ascii="Calibri" w:eastAsia="Calibri" w:hAnsi="Calibri" w:cs="Calibri"/>
          <w:color w:val="000000" w:themeColor="text1"/>
        </w:rPr>
        <w:t xml:space="preserve"> to explore the questions raised by the existence of </w:t>
      </w:r>
      <w:r w:rsidR="00AA5AD4">
        <w:rPr>
          <w:rFonts w:ascii="Calibri" w:eastAsia="Calibri" w:hAnsi="Calibri" w:cs="Calibri"/>
          <w:color w:val="000000" w:themeColor="text1"/>
        </w:rPr>
        <w:t xml:space="preserve">the </w:t>
      </w:r>
      <w:r w:rsidR="00AA5AD4" w:rsidRPr="7652D584">
        <w:rPr>
          <w:rStyle w:val="normaltextrun"/>
          <w:color w:val="000000" w:themeColor="text1"/>
        </w:rPr>
        <w:t>Anatomical Museum</w:t>
      </w:r>
      <w:r w:rsidR="00AA5AD4">
        <w:rPr>
          <w:rStyle w:val="normaltextrun"/>
          <w:color w:val="000000" w:themeColor="text1"/>
        </w:rPr>
        <w:t>’s</w:t>
      </w:r>
      <w:r w:rsidR="00AA5AD4" w:rsidRPr="7652D584">
        <w:rPr>
          <w:rStyle w:val="normaltextrun"/>
          <w:color w:val="000000" w:themeColor="text1"/>
        </w:rPr>
        <w:t xml:space="preserve"> collection of ancestral remains, notably skulls, </w:t>
      </w:r>
      <w:r w:rsidRPr="0017357E">
        <w:rPr>
          <w:rFonts w:ascii="Calibri" w:eastAsia="Calibri" w:hAnsi="Calibri" w:cs="Calibri"/>
          <w:color w:val="000000" w:themeColor="text1"/>
        </w:rPr>
        <w:t xml:space="preserve">as a legacy of colonial violence, to understand more about </w:t>
      </w:r>
      <w:r w:rsidR="00C2300A">
        <w:rPr>
          <w:rFonts w:ascii="Calibri" w:eastAsia="Calibri" w:hAnsi="Calibri" w:cs="Calibri"/>
          <w:color w:val="000000" w:themeColor="text1"/>
        </w:rPr>
        <w:t>processes</w:t>
      </w:r>
      <w:r w:rsidR="007F2C18">
        <w:rPr>
          <w:rFonts w:ascii="Calibri" w:eastAsia="Calibri" w:hAnsi="Calibri" w:cs="Calibri"/>
          <w:color w:val="000000" w:themeColor="text1"/>
        </w:rPr>
        <w:t xml:space="preserve"> supporting the</w:t>
      </w:r>
      <w:r w:rsidRPr="0017357E">
        <w:rPr>
          <w:rFonts w:ascii="Calibri" w:eastAsia="Calibri" w:hAnsi="Calibri" w:cs="Calibri"/>
          <w:color w:val="000000" w:themeColor="text1"/>
        </w:rPr>
        <w:t xml:space="preserve"> repatriation of ancestral remains and ascertain </w:t>
      </w:r>
      <w:r w:rsidRPr="00FF07FB">
        <w:rPr>
          <w:rFonts w:ascii="Calibri" w:eastAsia="Calibri" w:hAnsi="Calibri" w:cs="Calibri"/>
          <w:color w:val="000000" w:themeColor="text1"/>
        </w:rPr>
        <w:t>what resource might be required to further enhance restitution and repatriation efforts, where possible and desirable.</w:t>
      </w:r>
      <w:r w:rsidR="00F86B38" w:rsidRPr="3C6D1E23">
        <w:rPr>
          <w:rFonts w:ascii="Calibri" w:eastAsiaTheme="minorEastAsia" w:hAnsi="Calibri" w:cs="Calibri"/>
          <w:color w:val="000000" w:themeColor="text1"/>
        </w:rPr>
        <w:t xml:space="preserve"> </w:t>
      </w:r>
      <w:r w:rsidR="00FF07FB" w:rsidRPr="3C6D1E23">
        <w:rPr>
          <w:rFonts w:ascii="Calibri" w:eastAsiaTheme="minorEastAsia" w:hAnsi="Calibri" w:cs="Calibri"/>
          <w:color w:val="000000" w:themeColor="text1"/>
        </w:rPr>
        <w:t>It is important to note that repatriation from the Anatomical Museum to communities of origin</w:t>
      </w:r>
      <w:r w:rsidR="0038318F" w:rsidRPr="3C6D1E23">
        <w:rPr>
          <w:rFonts w:ascii="Calibri" w:eastAsiaTheme="minorEastAsia" w:hAnsi="Calibri" w:cs="Calibri"/>
          <w:color w:val="000000" w:themeColor="text1"/>
        </w:rPr>
        <w:t xml:space="preserve"> has been ongoing for many years.</w:t>
      </w:r>
      <w:r w:rsidR="00FF07FB" w:rsidRPr="3C6D1E23">
        <w:rPr>
          <w:rFonts w:ascii="Calibri" w:eastAsiaTheme="minorEastAsia" w:hAnsi="Calibri" w:cs="Calibri"/>
          <w:color w:val="000000" w:themeColor="text1"/>
        </w:rPr>
        <w:t xml:space="preserve"> </w:t>
      </w:r>
      <w:r w:rsidR="009443AD" w:rsidRPr="3C6D1E23">
        <w:rPr>
          <w:rFonts w:ascii="Calibri" w:eastAsiaTheme="minorEastAsia" w:hAnsi="Calibri" w:cs="Calibri"/>
          <w:color w:val="000000" w:themeColor="text1"/>
        </w:rPr>
        <w:t xml:space="preserve">The first </w:t>
      </w:r>
      <w:r w:rsidR="009443AD" w:rsidRPr="00FF07FB">
        <w:rPr>
          <w:rFonts w:ascii="Calibri" w:hAnsi="Calibri" w:cs="Calibri"/>
          <w:color w:val="000000" w:themeColor="text1"/>
        </w:rPr>
        <w:t xml:space="preserve">return took place </w:t>
      </w:r>
      <w:r w:rsidR="009443AD" w:rsidRPr="3C6D1E23">
        <w:rPr>
          <w:rFonts w:ascii="Calibri" w:eastAsiaTheme="minorEastAsia" w:hAnsi="Calibri" w:cs="Calibri"/>
          <w:color w:val="000000" w:themeColor="text1"/>
        </w:rPr>
        <w:t>in 1947, this being</w:t>
      </w:r>
      <w:r w:rsidR="009443AD" w:rsidRPr="00FF07FB">
        <w:rPr>
          <w:rFonts w:ascii="Calibri" w:hAnsi="Calibri" w:cs="Calibri"/>
          <w:color w:val="212121"/>
        </w:rPr>
        <w:t xml:space="preserve"> the skull of Keppetipola, a leader of the 1817–18 rebellion against British rule in the Kandyan area of</w:t>
      </w:r>
      <w:r w:rsidR="009443AD" w:rsidRPr="00FF07FB">
        <w:rPr>
          <w:rStyle w:val="apple-converted-space"/>
          <w:rFonts w:ascii="Calibri" w:hAnsi="Calibri" w:cs="Calibri"/>
          <w:color w:val="212121"/>
        </w:rPr>
        <w:t xml:space="preserve"> what was then called </w:t>
      </w:r>
      <w:r w:rsidR="009443AD" w:rsidRPr="00FF07FB">
        <w:rPr>
          <w:rStyle w:val="outlook-search-highlight"/>
          <w:rFonts w:ascii="Calibri" w:hAnsi="Calibri" w:cs="Calibri"/>
          <w:color w:val="212121"/>
        </w:rPr>
        <w:t>Ceylon (Sri Lanka)</w:t>
      </w:r>
      <w:r w:rsidR="009443AD" w:rsidRPr="3C6D1E23">
        <w:rPr>
          <w:rFonts w:ascii="Calibri" w:eastAsiaTheme="minorEastAsia" w:hAnsi="Calibri" w:cs="Calibri"/>
          <w:color w:val="000000" w:themeColor="text1"/>
        </w:rPr>
        <w:t>.</w:t>
      </w:r>
      <w:r w:rsidR="009443AD" w:rsidRPr="00FF07FB">
        <w:rPr>
          <w:rStyle w:val="FootnoteReference"/>
          <w:rFonts w:ascii="Calibri" w:eastAsia="Calibri" w:hAnsi="Calibri" w:cs="Calibri"/>
          <w:color w:val="000000" w:themeColor="text1"/>
        </w:rPr>
        <w:footnoteReference w:id="214"/>
      </w:r>
      <w:r w:rsidR="009443AD" w:rsidRPr="3C6D1E23">
        <w:rPr>
          <w:rFonts w:ascii="Calibri" w:eastAsiaTheme="minorEastAsia" w:hAnsi="Calibri" w:cs="Calibri"/>
          <w:color w:val="000000" w:themeColor="text1"/>
        </w:rPr>
        <w:t xml:space="preserve"> </w:t>
      </w:r>
      <w:r w:rsidR="009443AD" w:rsidRPr="00FF07FB">
        <w:rPr>
          <w:rStyle w:val="outlook-search-highlight"/>
          <w:rFonts w:ascii="Calibri" w:hAnsi="Calibri" w:cs="Calibri"/>
          <w:color w:val="212121"/>
        </w:rPr>
        <w:t xml:space="preserve">This was then </w:t>
      </w:r>
      <w:r w:rsidR="009443AD" w:rsidRPr="3C6D1E23">
        <w:rPr>
          <w:rFonts w:ascii="Calibri" w:eastAsiaTheme="minorEastAsia" w:hAnsi="Calibri" w:cs="Calibri"/>
          <w:color w:val="000000" w:themeColor="text1"/>
        </w:rPr>
        <w:t xml:space="preserve">followed by a series of returns in the 1990s following a campaign led by Michael Mansell, a Tasmanian Aboriginal (Palawa) activist and lawyer for </w:t>
      </w:r>
      <w:r w:rsidR="009443AD" w:rsidRPr="00FF07FB">
        <w:rPr>
          <w:rFonts w:ascii="Calibri" w:hAnsi="Calibri" w:cs="Calibri"/>
        </w:rPr>
        <w:t xml:space="preserve">Tasmanian Aboriginal Centre Inc who fought to have </w:t>
      </w:r>
      <w:r w:rsidR="009443AD" w:rsidRPr="3C6D1E23">
        <w:rPr>
          <w:rFonts w:ascii="Calibri" w:eastAsiaTheme="minorEastAsia" w:hAnsi="Calibri" w:cs="Calibri"/>
          <w:color w:val="000000" w:themeColor="text1"/>
        </w:rPr>
        <w:t xml:space="preserve">all of the Tasmanian and Australian Aboriginal ancestors returned. His campaign led to the adoption of a </w:t>
      </w:r>
      <w:r w:rsidR="00731B64">
        <w:rPr>
          <w:rFonts w:ascii="Calibri" w:eastAsiaTheme="minorEastAsia" w:hAnsi="Calibri" w:cs="Calibri"/>
          <w:color w:val="000000" w:themeColor="text1"/>
        </w:rPr>
        <w:t>U</w:t>
      </w:r>
      <w:r w:rsidR="009443AD" w:rsidRPr="3C6D1E23">
        <w:rPr>
          <w:rFonts w:ascii="Calibri" w:eastAsiaTheme="minorEastAsia" w:hAnsi="Calibri" w:cs="Calibri"/>
          <w:color w:val="000000" w:themeColor="text1"/>
        </w:rPr>
        <w:t>niversity repatriation policy on 5 November 1990 that has been in effect ever since</w:t>
      </w:r>
      <w:r w:rsidR="00FF07FB" w:rsidRPr="3C6D1E23">
        <w:rPr>
          <w:rFonts w:ascii="Calibri" w:eastAsiaTheme="minorEastAsia" w:hAnsi="Calibri" w:cs="Calibri"/>
          <w:color w:val="000000" w:themeColor="text1"/>
        </w:rPr>
        <w:t>.</w:t>
      </w:r>
      <w:r w:rsidR="00FF07FB" w:rsidRPr="3C6D1E23">
        <w:rPr>
          <w:rStyle w:val="FootnoteReference"/>
          <w:rFonts w:ascii="Calibri" w:eastAsiaTheme="minorEastAsia" w:hAnsi="Calibri" w:cs="Calibri"/>
          <w:color w:val="000000" w:themeColor="text1"/>
        </w:rPr>
        <w:footnoteReference w:id="215"/>
      </w:r>
      <w:r w:rsidR="00FF07FB" w:rsidRPr="3C6D1E23">
        <w:rPr>
          <w:rFonts w:ascii="Calibri" w:eastAsiaTheme="minorEastAsia" w:hAnsi="Calibri" w:cs="Calibri"/>
          <w:color w:val="000000" w:themeColor="text1"/>
        </w:rPr>
        <w:t xml:space="preserve"> </w:t>
      </w:r>
      <w:r w:rsidR="00F86B38" w:rsidRPr="3C6D1E23">
        <w:rPr>
          <w:rFonts w:eastAsiaTheme="minorEastAsia"/>
          <w:color w:val="000000" w:themeColor="text1"/>
        </w:rPr>
        <w:t>Recent examples of repatriation include the return of nine skulls to the Sri Lankan Vedda community in 2019 that were taken during the British colonial period in the 1880s</w:t>
      </w:r>
      <w:r w:rsidR="00C31009">
        <w:rPr>
          <w:rFonts w:eastAsiaTheme="minorEastAsia"/>
          <w:color w:val="000000" w:themeColor="text1"/>
        </w:rPr>
        <w:t>,</w:t>
      </w:r>
      <w:r w:rsidR="00F86B38" w:rsidRPr="3C6D1E23">
        <w:rPr>
          <w:rFonts w:eastAsiaTheme="minorEastAsia"/>
          <w:color w:val="000000" w:themeColor="text1"/>
        </w:rPr>
        <w:t xml:space="preserve"> and the return of four tribal warriors to the Mudan community in Taiwan in 2023.</w:t>
      </w:r>
      <w:r w:rsidR="00F86B38" w:rsidRPr="3C6D1E23">
        <w:rPr>
          <w:rStyle w:val="FootnoteReference"/>
          <w:rFonts w:eastAsiaTheme="minorEastAsia"/>
          <w:color w:val="000000" w:themeColor="text1"/>
        </w:rPr>
        <w:footnoteReference w:id="216"/>
      </w:r>
    </w:p>
    <w:p w14:paraId="7FD85EA5" w14:textId="376ADF3C" w:rsidR="00773F7C" w:rsidRPr="00D72A0F" w:rsidRDefault="00773F7C" w:rsidP="00EB11F2">
      <w:pPr>
        <w:spacing w:line="259" w:lineRule="auto"/>
        <w:ind w:firstLine="720"/>
        <w:rPr>
          <w:rFonts w:eastAsiaTheme="minorEastAsia"/>
          <w:color w:val="000000" w:themeColor="text1"/>
        </w:rPr>
      </w:pPr>
      <w:r w:rsidRPr="00FF07FB">
        <w:rPr>
          <w:rFonts w:ascii="Calibri" w:eastAsia="Calibri" w:hAnsi="Calibri" w:cs="Calibri"/>
          <w:color w:val="000000" w:themeColor="text1"/>
        </w:rPr>
        <w:t>To support this</w:t>
      </w:r>
      <w:r w:rsidR="0038318F">
        <w:rPr>
          <w:rFonts w:ascii="Calibri" w:eastAsia="Calibri" w:hAnsi="Calibri" w:cs="Calibri"/>
          <w:color w:val="000000" w:themeColor="text1"/>
        </w:rPr>
        <w:t xml:space="preserve"> theme</w:t>
      </w:r>
      <w:r w:rsidRPr="00FF07FB">
        <w:rPr>
          <w:rFonts w:ascii="Calibri" w:eastAsia="Calibri" w:hAnsi="Calibri" w:cs="Calibri"/>
          <w:color w:val="000000" w:themeColor="text1"/>
        </w:rPr>
        <w:t xml:space="preserve">, we </w:t>
      </w:r>
      <w:r w:rsidR="0038318F">
        <w:rPr>
          <w:rFonts w:ascii="Calibri" w:eastAsia="Calibri" w:hAnsi="Calibri" w:cs="Calibri"/>
          <w:color w:val="000000" w:themeColor="text1"/>
        </w:rPr>
        <w:t>drew from</w:t>
      </w:r>
      <w:r w:rsidRPr="00FF07FB">
        <w:rPr>
          <w:rFonts w:ascii="Calibri" w:eastAsia="Calibri" w:hAnsi="Calibri" w:cs="Calibri"/>
          <w:color w:val="000000" w:themeColor="text1"/>
        </w:rPr>
        <w:t xml:space="preserve"> existing research into repatriation, </w:t>
      </w:r>
      <w:r w:rsidR="007F2C18" w:rsidRPr="00FF07FB">
        <w:rPr>
          <w:rFonts w:ascii="Calibri" w:eastAsia="Calibri" w:hAnsi="Calibri" w:cs="Calibri"/>
          <w:color w:val="000000" w:themeColor="text1"/>
        </w:rPr>
        <w:t>learned</w:t>
      </w:r>
      <w:r w:rsidRPr="00FF07FB">
        <w:rPr>
          <w:rFonts w:ascii="Calibri" w:eastAsia="Calibri" w:hAnsi="Calibri" w:cs="Calibri"/>
          <w:color w:val="000000" w:themeColor="text1"/>
        </w:rPr>
        <w:t xml:space="preserve"> about the important repatriation efforts that have been undertaken by the Anatomical Museum staff to-date, </w:t>
      </w:r>
      <w:r w:rsidR="007F2C18" w:rsidRPr="00FF07FB">
        <w:rPr>
          <w:rFonts w:ascii="Calibri" w:eastAsia="Calibri" w:hAnsi="Calibri" w:cs="Calibri"/>
          <w:color w:val="000000" w:themeColor="text1"/>
        </w:rPr>
        <w:t>worked</w:t>
      </w:r>
      <w:r w:rsidRPr="00FF07FB">
        <w:rPr>
          <w:rFonts w:ascii="Calibri" w:eastAsia="Calibri" w:hAnsi="Calibri" w:cs="Calibri"/>
          <w:color w:val="000000" w:themeColor="text1"/>
        </w:rPr>
        <w:t xml:space="preserve"> with academics (notably John Harries and Nicole Anderson) on proactive forms of repatriation, and </w:t>
      </w:r>
      <w:r w:rsidR="007F2C18" w:rsidRPr="00FF07FB">
        <w:rPr>
          <w:rFonts w:ascii="Calibri" w:eastAsia="Calibri" w:hAnsi="Calibri" w:cs="Calibri"/>
          <w:color w:val="000000" w:themeColor="text1"/>
        </w:rPr>
        <w:t>built</w:t>
      </w:r>
      <w:r w:rsidRPr="00FF07FB">
        <w:rPr>
          <w:rFonts w:ascii="Calibri" w:eastAsia="Calibri" w:hAnsi="Calibri" w:cs="Calibri"/>
          <w:color w:val="000000" w:themeColor="text1"/>
        </w:rPr>
        <w:t xml:space="preserve"> on the long</w:t>
      </w:r>
      <w:r w:rsidR="007F2C18" w:rsidRPr="00FF07FB">
        <w:rPr>
          <w:rFonts w:ascii="Calibri" w:eastAsia="Calibri" w:hAnsi="Calibri" w:cs="Calibri"/>
          <w:color w:val="000000" w:themeColor="text1"/>
        </w:rPr>
        <w:t>-</w:t>
      </w:r>
      <w:r w:rsidRPr="00FF07FB">
        <w:rPr>
          <w:rFonts w:ascii="Calibri" w:eastAsia="Calibri" w:hAnsi="Calibri" w:cs="Calibri"/>
          <w:color w:val="000000" w:themeColor="text1"/>
        </w:rPr>
        <w:t>term work of the Sudanese Community in Edinburgh</w:t>
      </w:r>
      <w:r w:rsidR="00C31009">
        <w:rPr>
          <w:rFonts w:ascii="Calibri" w:eastAsia="Calibri" w:hAnsi="Calibri" w:cs="Calibri"/>
          <w:color w:val="000000" w:themeColor="text1"/>
        </w:rPr>
        <w:t>,</w:t>
      </w:r>
      <w:r w:rsidR="008B4D80" w:rsidRPr="00FF07FB">
        <w:rPr>
          <w:rFonts w:ascii="Calibri" w:eastAsia="Calibri" w:hAnsi="Calibri" w:cs="Calibri"/>
          <w:color w:val="000000" w:themeColor="text1"/>
        </w:rPr>
        <w:t xml:space="preserve"> following the discovery</w:t>
      </w:r>
      <w:r w:rsidR="00DD00A2" w:rsidRPr="00FF07FB">
        <w:rPr>
          <w:rFonts w:ascii="Calibri" w:eastAsia="Calibri" w:hAnsi="Calibri" w:cs="Calibri"/>
          <w:color w:val="000000" w:themeColor="text1"/>
        </w:rPr>
        <w:t xml:space="preserve"> of </w:t>
      </w:r>
      <w:r w:rsidR="00B14403" w:rsidRPr="00FF07FB">
        <w:rPr>
          <w:rFonts w:ascii="Calibri" w:eastAsia="Calibri" w:hAnsi="Calibri" w:cs="Calibri"/>
          <w:color w:val="000000" w:themeColor="text1"/>
        </w:rPr>
        <w:t>two</w:t>
      </w:r>
      <w:r w:rsidR="00DD00A2" w:rsidRPr="00FF07FB">
        <w:rPr>
          <w:rFonts w:ascii="Calibri" w:eastAsia="Calibri" w:hAnsi="Calibri" w:cs="Calibri"/>
          <w:color w:val="000000" w:themeColor="text1"/>
        </w:rPr>
        <w:t xml:space="preserve"> skulls</w:t>
      </w:r>
      <w:r w:rsidR="008F0C9C" w:rsidRPr="00FF07FB">
        <w:rPr>
          <w:rFonts w:ascii="Calibri" w:eastAsia="Calibri" w:hAnsi="Calibri" w:cs="Calibri"/>
          <w:color w:val="000000" w:themeColor="text1"/>
        </w:rPr>
        <w:t xml:space="preserve"> </w:t>
      </w:r>
      <w:r w:rsidR="007309B7" w:rsidRPr="00FF07FB">
        <w:rPr>
          <w:rFonts w:ascii="Calibri" w:eastAsia="Calibri" w:hAnsi="Calibri" w:cs="Calibri"/>
          <w:color w:val="000000" w:themeColor="text1"/>
        </w:rPr>
        <w:t>belonging to</w:t>
      </w:r>
      <w:r w:rsidR="008F0C9C" w:rsidRPr="00FF07FB">
        <w:rPr>
          <w:rFonts w:ascii="Calibri" w:eastAsia="Calibri" w:hAnsi="Calibri" w:cs="Calibri"/>
          <w:color w:val="000000" w:themeColor="text1"/>
        </w:rPr>
        <w:t xml:space="preserve"> Sudanese martyrs</w:t>
      </w:r>
      <w:r w:rsidR="00DD00A2" w:rsidRPr="00FF07FB">
        <w:rPr>
          <w:rFonts w:ascii="Calibri" w:eastAsia="Calibri" w:hAnsi="Calibri" w:cs="Calibri"/>
          <w:color w:val="000000" w:themeColor="text1"/>
        </w:rPr>
        <w:t xml:space="preserve"> </w:t>
      </w:r>
      <w:r w:rsidR="007309B7" w:rsidRPr="00FF07FB">
        <w:rPr>
          <w:rFonts w:ascii="Calibri" w:eastAsia="Calibri" w:hAnsi="Calibri" w:cs="Calibri"/>
          <w:color w:val="000000" w:themeColor="text1"/>
        </w:rPr>
        <w:t xml:space="preserve">that were </w:t>
      </w:r>
      <w:r w:rsidR="00B14403" w:rsidRPr="00FF07FB">
        <w:rPr>
          <w:rFonts w:ascii="Calibri" w:eastAsia="Calibri" w:hAnsi="Calibri" w:cs="Calibri"/>
          <w:color w:val="000000" w:themeColor="text1"/>
        </w:rPr>
        <w:t>stolen</w:t>
      </w:r>
      <w:r w:rsidR="008F0C9C" w:rsidRPr="00FF07FB">
        <w:rPr>
          <w:rFonts w:ascii="Calibri" w:eastAsia="Calibri" w:hAnsi="Calibri" w:cs="Calibri"/>
          <w:color w:val="000000" w:themeColor="text1"/>
        </w:rPr>
        <w:t xml:space="preserve"> from the Om</w:t>
      </w:r>
      <w:r w:rsidR="00CB7D73" w:rsidRPr="00FF07FB">
        <w:rPr>
          <w:rFonts w:ascii="Calibri" w:eastAsia="Calibri" w:hAnsi="Calibri" w:cs="Calibri"/>
          <w:color w:val="000000" w:themeColor="text1"/>
        </w:rPr>
        <w:t>du</w:t>
      </w:r>
      <w:r w:rsidR="008967FA" w:rsidRPr="00FF07FB">
        <w:rPr>
          <w:rFonts w:ascii="Calibri" w:eastAsia="Calibri" w:hAnsi="Calibri" w:cs="Calibri"/>
          <w:color w:val="000000" w:themeColor="text1"/>
        </w:rPr>
        <w:t>r</w:t>
      </w:r>
      <w:r w:rsidR="00CB7D73" w:rsidRPr="00FF07FB">
        <w:rPr>
          <w:rFonts w:ascii="Calibri" w:eastAsia="Calibri" w:hAnsi="Calibri" w:cs="Calibri"/>
          <w:color w:val="000000" w:themeColor="text1"/>
        </w:rPr>
        <w:t>man battlefield</w:t>
      </w:r>
      <w:r w:rsidR="00B14403" w:rsidRPr="00FF07FB">
        <w:rPr>
          <w:rFonts w:ascii="Calibri" w:eastAsia="Calibri" w:hAnsi="Calibri" w:cs="Calibri"/>
          <w:color w:val="000000" w:themeColor="text1"/>
        </w:rPr>
        <w:t xml:space="preserve"> by </w:t>
      </w:r>
      <w:r w:rsidR="008F0C9C" w:rsidRPr="00FF07FB">
        <w:rPr>
          <w:rFonts w:ascii="Calibri" w:eastAsia="Calibri" w:hAnsi="Calibri" w:cs="Calibri"/>
          <w:color w:val="000000" w:themeColor="text1"/>
        </w:rPr>
        <w:t xml:space="preserve">Reginald Koettlitz and given to </w:t>
      </w:r>
      <w:r w:rsidR="008F0C9C" w:rsidRPr="00FF07FB">
        <w:rPr>
          <w:rFonts w:ascii="Calibri" w:eastAsia="Calibri" w:hAnsi="Calibri" w:cs="Calibri"/>
          <w:color w:val="000000" w:themeColor="text1"/>
        </w:rPr>
        <w:lastRenderedPageBreak/>
        <w:t xml:space="preserve">Henry S. Wellcome </w:t>
      </w:r>
      <w:r w:rsidR="00883086" w:rsidRPr="00FF07FB">
        <w:rPr>
          <w:rFonts w:ascii="Calibri" w:eastAsia="Calibri" w:hAnsi="Calibri" w:cs="Calibri"/>
          <w:color w:val="000000" w:themeColor="text1"/>
        </w:rPr>
        <w:t>in 1900 and 1901</w:t>
      </w:r>
      <w:r w:rsidRPr="00FF07FB">
        <w:rPr>
          <w:rFonts w:ascii="Calibri" w:eastAsia="Calibri" w:hAnsi="Calibri" w:cs="Calibri"/>
          <w:color w:val="000000" w:themeColor="text1"/>
        </w:rPr>
        <w:t>.</w:t>
      </w:r>
      <w:r w:rsidR="00883086" w:rsidRPr="00FF07FB">
        <w:rPr>
          <w:rStyle w:val="FootnoteReference"/>
          <w:rFonts w:ascii="Calibri" w:eastAsia="Calibri" w:hAnsi="Calibri" w:cs="Calibri"/>
          <w:color w:val="000000" w:themeColor="text1"/>
        </w:rPr>
        <w:footnoteReference w:id="217"/>
      </w:r>
      <w:r w:rsidR="007309B7" w:rsidRPr="00FF07FB">
        <w:rPr>
          <w:rFonts w:ascii="Calibri" w:eastAsia="Calibri" w:hAnsi="Calibri" w:cs="Calibri"/>
          <w:color w:val="000000" w:themeColor="text1"/>
        </w:rPr>
        <w:t xml:space="preserve"> </w:t>
      </w:r>
      <w:r w:rsidRPr="00FF07FB">
        <w:rPr>
          <w:rFonts w:ascii="Calibri" w:eastAsia="Calibri" w:hAnsi="Calibri" w:cs="Calibri"/>
          <w:color w:val="000000" w:themeColor="text1"/>
        </w:rPr>
        <w:t>On 31 October 2023, we held our first workshop</w:t>
      </w:r>
      <w:r w:rsidRPr="0017357E">
        <w:rPr>
          <w:rFonts w:ascii="Calibri" w:eastAsia="Calibri" w:hAnsi="Calibri" w:cs="Calibri"/>
          <w:color w:val="000000" w:themeColor="text1"/>
        </w:rPr>
        <w:t xml:space="preserve"> at the </w:t>
      </w:r>
      <w:hyperlink r:id="rId137">
        <w:r w:rsidRPr="0017357E">
          <w:rPr>
            <w:rStyle w:val="Hyperlink"/>
            <w:rFonts w:ascii="Calibri" w:eastAsia="Calibri" w:hAnsi="Calibri" w:cs="Calibri"/>
            <w:color w:val="000000" w:themeColor="text1"/>
          </w:rPr>
          <w:t>Scottish Storytelling Centre</w:t>
        </w:r>
      </w:hyperlink>
      <w:r w:rsidRPr="0017357E">
        <w:rPr>
          <w:rFonts w:ascii="Calibri" w:eastAsia="Calibri" w:hAnsi="Calibri" w:cs="Calibri"/>
          <w:color w:val="000000" w:themeColor="text1"/>
        </w:rPr>
        <w:t xml:space="preserve">, which included a panel with museum professionals, researchers, community representatives and activists, with 45 people in attendance. This highlighted the main issues that would be discussed during the subsequent four focus groups held on 15 and 22 November and 6 and 13 December 2023. Each focus group covered different topics, such as the history of the collection, cases of repatriation, methods of reporting, transparency, access to information about the collection and its archives, </w:t>
      </w:r>
      <w:r w:rsidR="004272F7">
        <w:rPr>
          <w:rFonts w:ascii="Calibri" w:eastAsia="Calibri" w:hAnsi="Calibri" w:cs="Calibri"/>
          <w:color w:val="000000" w:themeColor="text1"/>
        </w:rPr>
        <w:t xml:space="preserve">the </w:t>
      </w:r>
      <w:r w:rsidR="00A27530" w:rsidRPr="3C6D1E23">
        <w:rPr>
          <w:rFonts w:ascii="Calibri" w:eastAsia="Calibri" w:hAnsi="Calibri" w:cs="Calibri"/>
          <w:color w:val="000000" w:themeColor="text1"/>
        </w:rPr>
        <w:t>University of Edinburgh</w:t>
      </w:r>
      <w:r w:rsidRPr="0017357E">
        <w:rPr>
          <w:rFonts w:ascii="Calibri" w:eastAsia="Calibri" w:hAnsi="Calibri" w:cs="Calibri"/>
          <w:color w:val="000000" w:themeColor="text1"/>
        </w:rPr>
        <w:t xml:space="preserve">’s repatriation policy, examples of repatriation policies at other museums/institutions, reactive and proactive approaches to repatriation and provenance research. A final workshop was held on 7 February </w:t>
      </w:r>
      <w:r w:rsidR="009251DB">
        <w:rPr>
          <w:rFonts w:ascii="Calibri" w:eastAsia="Calibri" w:hAnsi="Calibri" w:cs="Calibri"/>
          <w:color w:val="000000" w:themeColor="text1"/>
        </w:rPr>
        <w:t xml:space="preserve">2024 </w:t>
      </w:r>
      <w:r w:rsidRPr="0017357E">
        <w:rPr>
          <w:rFonts w:ascii="Calibri" w:eastAsia="Calibri" w:hAnsi="Calibri" w:cs="Calibri"/>
          <w:color w:val="000000" w:themeColor="text1"/>
        </w:rPr>
        <w:t>to discuss the findings and recommendations. The findings from th</w:t>
      </w:r>
      <w:r w:rsidR="007309B7">
        <w:rPr>
          <w:rFonts w:ascii="Calibri" w:eastAsia="Calibri" w:hAnsi="Calibri" w:cs="Calibri"/>
          <w:color w:val="000000" w:themeColor="text1"/>
        </w:rPr>
        <w:t xml:space="preserve">is workshop are summarised in more </w:t>
      </w:r>
      <w:r w:rsidR="007309B7" w:rsidRPr="00D72A0F">
        <w:rPr>
          <w:rFonts w:ascii="Calibri" w:eastAsia="Calibri" w:hAnsi="Calibri" w:cs="Calibri"/>
          <w:color w:val="000000" w:themeColor="text1"/>
        </w:rPr>
        <w:t xml:space="preserve">detail in Appendix </w:t>
      </w:r>
      <w:r w:rsidR="00FB4A7F" w:rsidRPr="00D72A0F">
        <w:rPr>
          <w:rFonts w:ascii="Calibri" w:eastAsia="Calibri" w:hAnsi="Calibri" w:cs="Calibri"/>
          <w:color w:val="000000" w:themeColor="text1"/>
        </w:rPr>
        <w:t>6</w:t>
      </w:r>
      <w:r w:rsidR="006956D0" w:rsidRPr="00D72A0F">
        <w:rPr>
          <w:rFonts w:ascii="Calibri" w:eastAsia="Calibri" w:hAnsi="Calibri" w:cs="Calibri"/>
          <w:color w:val="000000" w:themeColor="text1"/>
        </w:rPr>
        <w:t xml:space="preserve">, with recommendations </w:t>
      </w:r>
      <w:r w:rsidR="00FA2357" w:rsidRPr="00D72A0F">
        <w:rPr>
          <w:rFonts w:ascii="Calibri" w:eastAsia="Calibri" w:hAnsi="Calibri" w:cs="Calibri"/>
          <w:color w:val="000000" w:themeColor="text1"/>
        </w:rPr>
        <w:t>being</w:t>
      </w:r>
      <w:r w:rsidR="006956D0" w:rsidRPr="00D72A0F">
        <w:rPr>
          <w:rFonts w:ascii="Calibri" w:eastAsia="Calibri" w:hAnsi="Calibri" w:cs="Calibri"/>
          <w:color w:val="000000" w:themeColor="text1"/>
        </w:rPr>
        <w:t xml:space="preserve"> incorporated into the </w:t>
      </w:r>
      <w:r w:rsidR="00801FD3" w:rsidRPr="00D72A0F">
        <w:rPr>
          <w:rFonts w:ascii="Calibri" w:eastAsia="Calibri" w:hAnsi="Calibri" w:cs="Calibri"/>
          <w:color w:val="000000" w:themeColor="text1"/>
        </w:rPr>
        <w:t>recommendations</w:t>
      </w:r>
      <w:r w:rsidR="00FA2357" w:rsidRPr="00D72A0F">
        <w:rPr>
          <w:rFonts w:ascii="Calibri" w:eastAsia="Calibri" w:hAnsi="Calibri" w:cs="Calibri"/>
          <w:color w:val="000000" w:themeColor="text1"/>
        </w:rPr>
        <w:t xml:space="preserve"> below (see Part 6</w:t>
      </w:r>
      <w:r w:rsidR="006956D0" w:rsidRPr="00D72A0F">
        <w:rPr>
          <w:rFonts w:ascii="Calibri" w:eastAsia="Calibri" w:hAnsi="Calibri" w:cs="Calibri"/>
          <w:color w:val="000000" w:themeColor="text1"/>
        </w:rPr>
        <w:t xml:space="preserve">). </w:t>
      </w:r>
    </w:p>
    <w:p w14:paraId="481E2D22" w14:textId="786BBF0B" w:rsidR="00773F7C" w:rsidRPr="00D72A0F" w:rsidRDefault="00773F7C" w:rsidP="00016E93">
      <w:pPr>
        <w:spacing w:line="259" w:lineRule="auto"/>
        <w:jc w:val="both"/>
        <w:rPr>
          <w:rFonts w:ascii="Calibri" w:eastAsia="Calibri" w:hAnsi="Calibri" w:cs="Calibri"/>
          <w:b/>
          <w:bCs/>
          <w:color w:val="000000" w:themeColor="text1"/>
        </w:rPr>
      </w:pPr>
    </w:p>
    <w:p w14:paraId="1FB8B009" w14:textId="6B565CE1" w:rsidR="00773F7C" w:rsidRPr="00D72A0F" w:rsidRDefault="00773F7C" w:rsidP="00C31009">
      <w:pPr>
        <w:pStyle w:val="Heading5"/>
      </w:pPr>
      <w:r w:rsidRPr="00D72A0F">
        <w:t>Theme 2: Creating a Research and Community Engagement Centre for the Study of Racisms, Colonialism and Anti-Black Violence</w:t>
      </w:r>
    </w:p>
    <w:p w14:paraId="149F0B0E" w14:textId="7B30105C" w:rsidR="00FD2C2E" w:rsidRDefault="00FD2C2E" w:rsidP="00EB11F2">
      <w:pPr>
        <w:spacing w:line="259" w:lineRule="auto"/>
        <w:rPr>
          <w:rFonts w:ascii="Calibri" w:eastAsia="Times New Roman" w:hAnsi="Calibri" w:cs="Calibri"/>
          <w:lang w:val="en-US" w:eastAsia="en-GB"/>
        </w:rPr>
      </w:pPr>
      <w:r w:rsidRPr="00D72A0F">
        <w:rPr>
          <w:rFonts w:ascii="Calibri" w:eastAsia="Times New Roman" w:hAnsi="Calibri" w:cs="Calibri"/>
          <w:lang w:val="en-US" w:eastAsia="en-GB"/>
        </w:rPr>
        <w:t xml:space="preserve">Discussions were held on 3 and 6 April 2024 online and in person at the Scottish Salisbury Centre, inviting members of local communities, </w:t>
      </w:r>
      <w:r w:rsidR="006E64F1" w:rsidRPr="00D72A0F">
        <w:rPr>
          <w:rFonts w:ascii="Calibri" w:eastAsia="Times New Roman" w:hAnsi="Calibri" w:cs="Calibri"/>
          <w:lang w:val="en-US" w:eastAsia="en-GB"/>
        </w:rPr>
        <w:t>communities of reparatory justice interest</w:t>
      </w:r>
      <w:r w:rsidRPr="00D72A0F">
        <w:rPr>
          <w:rFonts w:ascii="Calibri" w:eastAsia="Times New Roman" w:hAnsi="Calibri" w:cs="Calibri"/>
          <w:lang w:val="en-US" w:eastAsia="en-GB"/>
        </w:rPr>
        <w:t xml:space="preserve">, </w:t>
      </w:r>
      <w:r w:rsidR="00A27530" w:rsidRPr="00D72A0F">
        <w:rPr>
          <w:rFonts w:ascii="Calibri" w:eastAsia="Times New Roman" w:hAnsi="Calibri" w:cs="Calibri"/>
          <w:lang w:val="en-US" w:eastAsia="en-GB"/>
        </w:rPr>
        <w:t>University of Edinburgh</w:t>
      </w:r>
      <w:r w:rsidRPr="00D72A0F">
        <w:rPr>
          <w:rFonts w:ascii="Calibri" w:eastAsia="Times New Roman" w:hAnsi="Calibri" w:cs="Calibri"/>
          <w:lang w:val="en-US" w:eastAsia="en-GB"/>
        </w:rPr>
        <w:t xml:space="preserve"> staff and students to discuss the possibility of developing a Centre. As outlined in the ‘Vision’ below</w:t>
      </w:r>
      <w:r w:rsidR="006E64F1" w:rsidRPr="00D72A0F">
        <w:rPr>
          <w:rFonts w:ascii="Calibri" w:eastAsia="Times New Roman" w:hAnsi="Calibri" w:cs="Calibri"/>
          <w:lang w:val="en-US" w:eastAsia="en-GB"/>
        </w:rPr>
        <w:t xml:space="preserve"> (Part 6)</w:t>
      </w:r>
      <w:r w:rsidRPr="00D72A0F">
        <w:rPr>
          <w:rFonts w:ascii="Calibri" w:eastAsia="Times New Roman" w:hAnsi="Calibri" w:cs="Calibri"/>
          <w:lang w:val="en-US" w:eastAsia="en-GB"/>
        </w:rPr>
        <w:t xml:space="preserve">, </w:t>
      </w:r>
      <w:r w:rsidR="006E64F1" w:rsidRPr="00D72A0F">
        <w:rPr>
          <w:rFonts w:ascii="Calibri" w:eastAsia="Times New Roman" w:hAnsi="Calibri" w:cs="Calibri"/>
          <w:lang w:val="en-US" w:eastAsia="en-GB"/>
        </w:rPr>
        <w:t>its aim is to</w:t>
      </w:r>
      <w:r w:rsidRPr="00D72A0F">
        <w:rPr>
          <w:rFonts w:ascii="Calibri" w:hAnsi="Calibri" w:cs="Calibri"/>
          <w:lang w:val="en-US"/>
        </w:rPr>
        <w:t xml:space="preserve"> provide a dedicated infrastructure in which to house and implement the REWG’s recommendations, while furthering research and community engagement into the history and legacies of racial violence.</w:t>
      </w:r>
      <w:r w:rsidRPr="00D72A0F">
        <w:rPr>
          <w:rFonts w:ascii="Calibri" w:eastAsia="Times New Roman" w:hAnsi="Calibri" w:cs="Calibri"/>
          <w:lang w:val="en-US" w:eastAsia="en-GB"/>
        </w:rPr>
        <w:t xml:space="preserve"> The summary report</w:t>
      </w:r>
      <w:r w:rsidRPr="00D72A0F">
        <w:rPr>
          <w:rFonts w:ascii="Calibri" w:hAnsi="Calibri" w:cs="Calibri"/>
          <w:lang w:val="en-US"/>
        </w:rPr>
        <w:t xml:space="preserve"> </w:t>
      </w:r>
      <w:r w:rsidR="003D73FF" w:rsidRPr="00D72A0F">
        <w:rPr>
          <w:rFonts w:ascii="Calibri" w:hAnsi="Calibri" w:cs="Calibri"/>
          <w:lang w:val="en-US"/>
        </w:rPr>
        <w:t xml:space="preserve">(Appendix 7) </w:t>
      </w:r>
      <w:r w:rsidRPr="00D72A0F">
        <w:rPr>
          <w:rFonts w:ascii="Calibri" w:eastAsia="Times New Roman" w:hAnsi="Calibri" w:cs="Calibri"/>
          <w:lang w:val="en-US" w:eastAsia="en-GB"/>
        </w:rPr>
        <w:t>provides further insight regarding</w:t>
      </w:r>
      <w:r w:rsidRPr="06D755CD">
        <w:rPr>
          <w:rFonts w:ascii="Calibri" w:eastAsia="Times New Roman" w:hAnsi="Calibri" w:cs="Calibri"/>
          <w:lang w:val="en-US" w:eastAsia="en-GB"/>
        </w:rPr>
        <w:t xml:space="preserve"> the findings from these discussions</w:t>
      </w:r>
      <w:r w:rsidR="00D970A9" w:rsidRPr="06D755CD">
        <w:rPr>
          <w:rFonts w:ascii="Calibri" w:eastAsia="Times New Roman" w:hAnsi="Calibri" w:cs="Calibri"/>
          <w:lang w:val="en-US" w:eastAsia="en-GB"/>
        </w:rPr>
        <w:t>. It also</w:t>
      </w:r>
      <w:r w:rsidRPr="06D755CD">
        <w:rPr>
          <w:rFonts w:ascii="Calibri" w:eastAsia="Times New Roman" w:hAnsi="Calibri" w:cs="Calibri"/>
          <w:lang w:val="en-US" w:eastAsia="en-GB"/>
        </w:rPr>
        <w:t xml:space="preserve"> </w:t>
      </w:r>
      <w:r w:rsidR="00D970A9" w:rsidRPr="06D755CD">
        <w:rPr>
          <w:rFonts w:ascii="Calibri" w:eastAsia="Times New Roman" w:hAnsi="Calibri" w:cs="Calibri"/>
          <w:lang w:val="en-US" w:eastAsia="en-GB"/>
        </w:rPr>
        <w:t>provides</w:t>
      </w:r>
      <w:r w:rsidRPr="06D755CD">
        <w:rPr>
          <w:rFonts w:ascii="Calibri" w:eastAsia="Times New Roman" w:hAnsi="Calibri" w:cs="Calibri"/>
          <w:lang w:val="en-US" w:eastAsia="en-GB"/>
        </w:rPr>
        <w:t xml:space="preserve"> additional context into the longstanding demands </w:t>
      </w:r>
      <w:r w:rsidR="00E41C0C" w:rsidRPr="06D755CD">
        <w:rPr>
          <w:rFonts w:ascii="Calibri" w:eastAsia="Times New Roman" w:hAnsi="Calibri" w:cs="Calibri"/>
          <w:lang w:val="en-US" w:eastAsia="en-GB"/>
        </w:rPr>
        <w:t>of</w:t>
      </w:r>
      <w:r w:rsidRPr="06D755CD">
        <w:rPr>
          <w:rFonts w:ascii="Calibri" w:eastAsia="Times New Roman" w:hAnsi="Calibri" w:cs="Calibri"/>
          <w:lang w:val="en-US" w:eastAsia="en-GB"/>
        </w:rPr>
        <w:t xml:space="preserve"> community groups</w:t>
      </w:r>
      <w:r w:rsidR="00E41C0C" w:rsidRPr="06D755CD">
        <w:rPr>
          <w:rFonts w:ascii="Calibri" w:eastAsia="Times New Roman" w:hAnsi="Calibri" w:cs="Calibri"/>
          <w:lang w:val="en-US" w:eastAsia="en-GB"/>
        </w:rPr>
        <w:t xml:space="preserve"> and community-based efforts to establish such a Centre. These groups include</w:t>
      </w:r>
      <w:r w:rsidRPr="06D755CD">
        <w:rPr>
          <w:rFonts w:ascii="Calibri" w:eastAsia="Times New Roman" w:hAnsi="Calibri" w:cs="Calibri"/>
          <w:lang w:val="en-US" w:eastAsia="en-GB"/>
        </w:rPr>
        <w:t xml:space="preserve"> the </w:t>
      </w:r>
      <w:hyperlink r:id="rId138" w:history="1">
        <w:r w:rsidRPr="06D755CD">
          <w:rPr>
            <w:rStyle w:val="Hyperlink"/>
            <w:rFonts w:ascii="Calibri" w:eastAsia="Times New Roman" w:hAnsi="Calibri" w:cs="Calibri"/>
            <w:lang w:val="en-US" w:eastAsia="en-GB"/>
          </w:rPr>
          <w:t>Sudanese Community in Edinburgh</w:t>
        </w:r>
      </w:hyperlink>
      <w:r w:rsidR="00E33B85" w:rsidRPr="06D755CD">
        <w:rPr>
          <w:rFonts w:ascii="Calibri" w:eastAsia="Times New Roman" w:hAnsi="Calibri" w:cs="Calibri"/>
          <w:lang w:val="en-US" w:eastAsia="en-GB"/>
        </w:rPr>
        <w:t>,</w:t>
      </w:r>
      <w:r w:rsidRPr="06D755CD">
        <w:rPr>
          <w:rFonts w:ascii="Calibri" w:eastAsia="Times New Roman" w:hAnsi="Calibri" w:cs="Calibri"/>
          <w:lang w:val="en-US" w:eastAsia="en-GB"/>
        </w:rPr>
        <w:t xml:space="preserve"> the Pan-African Network of Black community groups, including the </w:t>
      </w:r>
      <w:hyperlink r:id="rId139" w:history="1">
        <w:r w:rsidRPr="06D755CD">
          <w:rPr>
            <w:rStyle w:val="Hyperlink"/>
            <w:rFonts w:ascii="Calibri" w:eastAsia="Times New Roman" w:hAnsi="Calibri" w:cs="Calibri"/>
            <w:lang w:val="en-US" w:eastAsia="en-GB"/>
          </w:rPr>
          <w:t xml:space="preserve">African Caribbean Society </w:t>
        </w:r>
        <w:r w:rsidR="00FB72F9" w:rsidRPr="06D755CD">
          <w:rPr>
            <w:rStyle w:val="Hyperlink"/>
            <w:rFonts w:ascii="Calibri" w:eastAsia="Times New Roman" w:hAnsi="Calibri" w:cs="Calibri"/>
            <w:lang w:val="en-US" w:eastAsia="en-GB"/>
          </w:rPr>
          <w:t xml:space="preserve">of </w:t>
        </w:r>
        <w:r w:rsidRPr="06D755CD">
          <w:rPr>
            <w:rStyle w:val="Hyperlink"/>
            <w:rFonts w:ascii="Calibri" w:eastAsia="Times New Roman" w:hAnsi="Calibri" w:cs="Calibri"/>
            <w:lang w:val="en-US" w:eastAsia="en-GB"/>
          </w:rPr>
          <w:t>Scotland</w:t>
        </w:r>
      </w:hyperlink>
      <w:r w:rsidRPr="06D755CD">
        <w:rPr>
          <w:rFonts w:ascii="Calibri" w:eastAsia="Times New Roman" w:hAnsi="Calibri" w:cs="Calibri"/>
          <w:lang w:val="en-US" w:eastAsia="en-GB"/>
        </w:rPr>
        <w:t>, the</w:t>
      </w:r>
      <w:hyperlink r:id="rId140" w:history="1">
        <w:r w:rsidR="003F24F3" w:rsidRPr="06D755CD">
          <w:rPr>
            <w:rStyle w:val="Hyperlink"/>
            <w:rFonts w:ascii="Calibri" w:eastAsia="Times New Roman" w:hAnsi="Calibri" w:cs="Calibri"/>
            <w:lang w:val="en-US" w:eastAsia="en-GB"/>
          </w:rPr>
          <w:t xml:space="preserve"> </w:t>
        </w:r>
        <w:r w:rsidR="003F24F3" w:rsidRPr="06D755CD">
          <w:rPr>
            <w:rStyle w:val="Hyperlink"/>
            <w:rFonts w:ascii="Calibri" w:hAnsi="Calibri" w:cs="Calibri"/>
            <w:kern w:val="0"/>
            <w:lang w:val="en-US"/>
          </w:rPr>
          <w:t xml:space="preserve">Women of African Descent in Scotland </w:t>
        </w:r>
      </w:hyperlink>
      <w:r w:rsidRPr="06D755CD">
        <w:rPr>
          <w:rFonts w:ascii="Calibri" w:hAnsi="Calibri" w:cs="Calibri"/>
          <w:color w:val="000000"/>
          <w:kern w:val="0"/>
          <w:lang w:val="en-US"/>
        </w:rPr>
        <w:t xml:space="preserve"> </w:t>
      </w:r>
      <w:r w:rsidRPr="06D755CD">
        <w:rPr>
          <w:rFonts w:ascii="Calibri" w:eastAsia="Times New Roman" w:hAnsi="Calibri" w:cs="Calibri"/>
          <w:lang w:val="en-US" w:eastAsia="en-GB"/>
        </w:rPr>
        <w:t xml:space="preserve">and the </w:t>
      </w:r>
      <w:hyperlink r:id="rId141" w:history="1">
        <w:r w:rsidRPr="06D755CD">
          <w:rPr>
            <w:rStyle w:val="Hyperlink"/>
            <w:rFonts w:ascii="Calibri" w:eastAsia="Times New Roman" w:hAnsi="Calibri" w:cs="Calibri"/>
            <w:lang w:val="en-US" w:eastAsia="en-GB"/>
          </w:rPr>
          <w:t>Fair Justice System for Scotland</w:t>
        </w:r>
      </w:hyperlink>
      <w:r w:rsidR="000C799E">
        <w:rPr>
          <w:rFonts w:ascii="Calibri" w:eastAsia="Times New Roman" w:hAnsi="Calibri" w:cs="Calibri"/>
          <w:lang w:val="en-US" w:eastAsia="en-GB"/>
        </w:rPr>
        <w:t>,</w:t>
      </w:r>
      <w:r w:rsidRPr="06D755CD">
        <w:rPr>
          <w:rFonts w:ascii="Calibri" w:eastAsia="Times New Roman" w:hAnsi="Calibri" w:cs="Calibri"/>
          <w:lang w:val="en-US" w:eastAsia="en-GB"/>
        </w:rPr>
        <w:t>among others</w:t>
      </w:r>
      <w:r w:rsidR="00E41C0C" w:rsidRPr="06D755CD">
        <w:rPr>
          <w:rFonts w:ascii="Calibri" w:eastAsia="Times New Roman" w:hAnsi="Calibri" w:cs="Calibri"/>
          <w:lang w:val="en-US" w:eastAsia="en-GB"/>
        </w:rPr>
        <w:t xml:space="preserve">. These demands </w:t>
      </w:r>
      <w:r w:rsidR="00E33B85" w:rsidRPr="06D755CD">
        <w:rPr>
          <w:rFonts w:ascii="Calibri" w:eastAsia="Times New Roman" w:hAnsi="Calibri" w:cs="Calibri"/>
          <w:lang w:val="en-US" w:eastAsia="en-GB"/>
        </w:rPr>
        <w:t>were</w:t>
      </w:r>
      <w:r w:rsidR="00E41C0C" w:rsidRPr="06D755CD">
        <w:rPr>
          <w:rFonts w:ascii="Calibri" w:eastAsia="Times New Roman" w:hAnsi="Calibri" w:cs="Calibri"/>
          <w:lang w:val="en-US" w:eastAsia="en-GB"/>
        </w:rPr>
        <w:t xml:space="preserve"> brought into dialogue with</w:t>
      </w:r>
      <w:r w:rsidRPr="06D755CD">
        <w:rPr>
          <w:rFonts w:ascii="Calibri" w:eastAsia="Times New Roman" w:hAnsi="Calibri" w:cs="Calibri"/>
          <w:lang w:val="en-US" w:eastAsia="en-GB"/>
        </w:rPr>
        <w:t xml:space="preserve"> Professor Tommy Curry’s </w:t>
      </w:r>
      <w:r w:rsidR="00E41C0C" w:rsidRPr="06D755CD">
        <w:rPr>
          <w:rFonts w:ascii="Calibri" w:eastAsia="Times New Roman" w:hAnsi="Calibri" w:cs="Calibri"/>
          <w:lang w:val="en-US" w:eastAsia="en-GB"/>
        </w:rPr>
        <w:t>longstanding</w:t>
      </w:r>
      <w:r w:rsidRPr="06D755CD">
        <w:rPr>
          <w:rFonts w:ascii="Calibri" w:eastAsia="Times New Roman" w:hAnsi="Calibri" w:cs="Calibri"/>
          <w:lang w:val="en-US" w:eastAsia="en-GB"/>
        </w:rPr>
        <w:t xml:space="preserve"> calls for a research centre </w:t>
      </w:r>
      <w:r w:rsidR="00A8488A" w:rsidRPr="00A8488A">
        <w:rPr>
          <w:rFonts w:cstheme="minorHAnsi"/>
          <w:lang w:val="en-US"/>
        </w:rPr>
        <w:t>for the study of racisms, colonialism and anti-Black violence</w:t>
      </w:r>
      <w:r w:rsidRPr="06D755CD">
        <w:rPr>
          <w:rFonts w:ascii="Calibri" w:eastAsia="Times New Roman" w:hAnsi="Calibri" w:cs="Calibri"/>
          <w:lang w:val="en-US" w:eastAsia="en-GB"/>
        </w:rPr>
        <w:t xml:space="preserve">. </w:t>
      </w:r>
    </w:p>
    <w:p w14:paraId="46BDC3BA" w14:textId="28ADC2B7" w:rsidR="00D911E0" w:rsidRDefault="00FD2C2E" w:rsidP="00EB11F2">
      <w:pPr>
        <w:spacing w:line="259" w:lineRule="auto"/>
        <w:ind w:firstLine="720"/>
        <w:rPr>
          <w:rFonts w:ascii="Calibri" w:hAnsi="Calibri" w:cs="Calibri"/>
        </w:rPr>
      </w:pPr>
      <w:r w:rsidRPr="19D534DB">
        <w:rPr>
          <w:rFonts w:ascii="Calibri" w:hAnsi="Calibri" w:cs="Calibri"/>
        </w:rPr>
        <w:t>A key discussion focused on the importance of creating a space that benefits community members of all ages and promotes development in areas such as access to resources and support from researchers.</w:t>
      </w:r>
      <w:r w:rsidR="007F551C" w:rsidRPr="19D534DB">
        <w:rPr>
          <w:rFonts w:ascii="Calibri" w:hAnsi="Calibri" w:cs="Calibri"/>
        </w:rPr>
        <w:t xml:space="preserve"> </w:t>
      </w:r>
      <w:r w:rsidRPr="19D534DB">
        <w:rPr>
          <w:rFonts w:ascii="Calibri" w:hAnsi="Calibri" w:cs="Calibri"/>
        </w:rPr>
        <w:t xml:space="preserve">Communities emphasised the need for a dedicated centre </w:t>
      </w:r>
      <w:r w:rsidR="00184E5F">
        <w:rPr>
          <w:rFonts w:ascii="Calibri" w:hAnsi="Calibri" w:cs="Calibri"/>
        </w:rPr>
        <w:t>in which to</w:t>
      </w:r>
      <w:r w:rsidR="00184E5F" w:rsidRPr="19D534DB">
        <w:rPr>
          <w:rFonts w:ascii="Calibri" w:hAnsi="Calibri" w:cs="Calibri"/>
        </w:rPr>
        <w:t xml:space="preserve"> </w:t>
      </w:r>
      <w:r w:rsidRPr="19D534DB">
        <w:rPr>
          <w:rFonts w:ascii="Calibri" w:hAnsi="Calibri" w:cs="Calibri"/>
        </w:rPr>
        <w:t xml:space="preserve">integrate community-driven research to inform policy and incorporate diverse perspectives. In one discussion, </w:t>
      </w:r>
      <w:r w:rsidR="0391FB5F" w:rsidRPr="3C6D1E23">
        <w:rPr>
          <w:rFonts w:ascii="Calibri" w:hAnsi="Calibri" w:cs="Calibri"/>
        </w:rPr>
        <w:t xml:space="preserve">two </w:t>
      </w:r>
      <w:r w:rsidRPr="19D534DB">
        <w:rPr>
          <w:rFonts w:ascii="Calibri" w:hAnsi="Calibri" w:cs="Calibri"/>
        </w:rPr>
        <w:t>visiting international scholar-activists from Ghana</w:t>
      </w:r>
      <w:r w:rsidR="079F4875" w:rsidRPr="3C6D1E23">
        <w:rPr>
          <w:rFonts w:ascii="Calibri" w:hAnsi="Calibri" w:cs="Calibri"/>
        </w:rPr>
        <w:t>,</w:t>
      </w:r>
      <w:r w:rsidR="079F4875" w:rsidRPr="00E33B85">
        <w:rPr>
          <w:rFonts w:ascii="Calibri" w:eastAsia="Calibri" w:hAnsi="Calibri" w:cs="Calibri"/>
        </w:rPr>
        <w:t xml:space="preserve"> Akorfa Gakpa and Dzigbordi Agbo,</w:t>
      </w:r>
      <w:r w:rsidR="079F4875" w:rsidRPr="3C6D1E23">
        <w:rPr>
          <w:rFonts w:ascii="Calibri" w:hAnsi="Calibri" w:cs="Calibri"/>
        </w:rPr>
        <w:t xml:space="preserve"> </w:t>
      </w:r>
      <w:r w:rsidRPr="19D534DB">
        <w:rPr>
          <w:rFonts w:ascii="Calibri" w:hAnsi="Calibri" w:cs="Calibri"/>
        </w:rPr>
        <w:t>shared the</w:t>
      </w:r>
      <w:r w:rsidR="61802EE9" w:rsidRPr="3C6D1E23">
        <w:rPr>
          <w:rFonts w:ascii="Calibri" w:hAnsi="Calibri" w:cs="Calibri"/>
        </w:rPr>
        <w:t xml:space="preserve">ir </w:t>
      </w:r>
      <w:r w:rsidR="61802EE9" w:rsidRPr="00184E5F">
        <w:rPr>
          <w:rFonts w:ascii="Calibri" w:hAnsi="Calibri" w:cs="Calibri"/>
        </w:rPr>
        <w:t>ongoing</w:t>
      </w:r>
      <w:r w:rsidR="61802EE9" w:rsidRPr="3C6D1E23">
        <w:rPr>
          <w:rFonts w:ascii="Calibri" w:hAnsi="Calibri" w:cs="Calibri"/>
        </w:rPr>
        <w:t xml:space="preserve"> work through </w:t>
      </w:r>
      <w:r w:rsidR="003E0D72">
        <w:rPr>
          <w:rFonts w:ascii="Calibri" w:hAnsi="Calibri" w:cs="Calibri"/>
        </w:rPr>
        <w:t xml:space="preserve">the </w:t>
      </w:r>
      <w:r w:rsidR="61802EE9" w:rsidRPr="00184E5F">
        <w:rPr>
          <w:rFonts w:ascii="Calibri" w:hAnsi="Calibri" w:cs="Calibri"/>
        </w:rPr>
        <w:t>Ablodenunyan</w:t>
      </w:r>
      <w:r w:rsidR="00025056">
        <w:rPr>
          <w:rFonts w:ascii="Calibri" w:hAnsi="Calibri" w:cs="Calibri"/>
        </w:rPr>
        <w:t>s</w:t>
      </w:r>
      <w:r w:rsidR="61802EE9" w:rsidRPr="00184E5F">
        <w:rPr>
          <w:rFonts w:ascii="Calibri" w:hAnsi="Calibri" w:cs="Calibri"/>
        </w:rPr>
        <w:t>a</w:t>
      </w:r>
      <w:r w:rsidR="61802EE9" w:rsidRPr="3C6D1E23">
        <w:rPr>
          <w:rFonts w:ascii="Calibri" w:hAnsi="Calibri" w:cs="Calibri"/>
        </w:rPr>
        <w:t xml:space="preserve"> Communiversity</w:t>
      </w:r>
      <w:r w:rsidR="00795037">
        <w:rPr>
          <w:rFonts w:ascii="Calibri" w:hAnsi="Calibri" w:cs="Calibri"/>
        </w:rPr>
        <w:t>.</w:t>
      </w:r>
      <w:r w:rsidR="00795037">
        <w:rPr>
          <w:rStyle w:val="FootnoteReference"/>
          <w:rFonts w:ascii="Calibri" w:hAnsi="Calibri" w:cs="Calibri"/>
        </w:rPr>
        <w:footnoteReference w:id="218"/>
      </w:r>
      <w:r w:rsidR="61802EE9" w:rsidRPr="00184E5F">
        <w:rPr>
          <w:rFonts w:ascii="Calibri" w:hAnsi="Calibri" w:cs="Calibri"/>
        </w:rPr>
        <w:t xml:space="preserve"> </w:t>
      </w:r>
      <w:r w:rsidR="0010321B">
        <w:rPr>
          <w:rFonts w:ascii="Calibri" w:hAnsi="Calibri" w:cs="Calibri"/>
        </w:rPr>
        <w:t xml:space="preserve">Their aim is </w:t>
      </w:r>
      <w:r w:rsidR="61802EE9" w:rsidRPr="3C6D1E23">
        <w:rPr>
          <w:rFonts w:ascii="Calibri" w:hAnsi="Calibri" w:cs="Calibri"/>
        </w:rPr>
        <w:t xml:space="preserve">to pave ways forward for a </w:t>
      </w:r>
      <w:r w:rsidR="61802EE9" w:rsidRPr="00184E5F">
        <w:rPr>
          <w:rFonts w:ascii="Calibri" w:hAnsi="Calibri" w:cs="Calibri"/>
        </w:rPr>
        <w:t>G</w:t>
      </w:r>
      <w:r w:rsidR="23212713" w:rsidRPr="00184E5F">
        <w:rPr>
          <w:rFonts w:ascii="Calibri" w:hAnsi="Calibri" w:cs="Calibri"/>
        </w:rPr>
        <w:t>betowo</w:t>
      </w:r>
      <w:r w:rsidR="23212713" w:rsidRPr="3C6D1E23">
        <w:rPr>
          <w:rFonts w:ascii="Calibri" w:hAnsi="Calibri" w:cs="Calibri"/>
        </w:rPr>
        <w:t xml:space="preserve"> Indigenous Community Educational Institution, highlighting the</w:t>
      </w:r>
      <w:r w:rsidRPr="3C6D1E23" w:rsidDel="00FD2C2E">
        <w:rPr>
          <w:rFonts w:ascii="Calibri" w:hAnsi="Calibri" w:cs="Calibri"/>
        </w:rPr>
        <w:t xml:space="preserve"> </w:t>
      </w:r>
      <w:r w:rsidRPr="19D534DB">
        <w:rPr>
          <w:rFonts w:ascii="Calibri" w:hAnsi="Calibri" w:cs="Calibri"/>
        </w:rPr>
        <w:t xml:space="preserve">potential for positively </w:t>
      </w:r>
      <w:r w:rsidRPr="19D534DB">
        <w:rPr>
          <w:rFonts w:ascii="Calibri" w:hAnsi="Calibri" w:cs="Calibri"/>
        </w:rPr>
        <w:lastRenderedPageBreak/>
        <w:t>impacting grassroots communities who are developing their own African Indigenous systems of teaching and learning.</w:t>
      </w:r>
      <w:r>
        <w:rPr>
          <w:rStyle w:val="FootnoteReference"/>
          <w:rFonts w:ascii="Calibri" w:hAnsi="Calibri" w:cs="Calibri"/>
        </w:rPr>
        <w:footnoteReference w:id="219"/>
      </w:r>
      <w:r w:rsidRPr="19D534DB">
        <w:rPr>
          <w:rFonts w:ascii="Calibri" w:hAnsi="Calibri" w:cs="Calibri"/>
        </w:rPr>
        <w:t xml:space="preserve"> </w:t>
      </w:r>
      <w:r w:rsidR="31FDDAE4" w:rsidRPr="00E52FD6">
        <w:rPr>
          <w:rFonts w:ascii="Calibri" w:eastAsia="Calibri" w:hAnsi="Calibri" w:cs="Calibri"/>
        </w:rPr>
        <w:t xml:space="preserve">The involvement of </w:t>
      </w:r>
      <w:r w:rsidR="008804F2">
        <w:rPr>
          <w:rFonts w:ascii="Calibri" w:eastAsia="Calibri" w:hAnsi="Calibri" w:cs="Calibri"/>
        </w:rPr>
        <w:t>I</w:t>
      </w:r>
      <w:r w:rsidR="31FDDAE4" w:rsidRPr="00E52FD6">
        <w:rPr>
          <w:rFonts w:ascii="Calibri" w:eastAsia="Calibri" w:hAnsi="Calibri" w:cs="Calibri"/>
        </w:rPr>
        <w:t>ndigenous community educationists</w:t>
      </w:r>
      <w:r w:rsidR="31FDDAE4">
        <w:rPr>
          <w:rFonts w:ascii="Calibri" w:eastAsia="Calibri" w:hAnsi="Calibri" w:cs="Calibri"/>
        </w:rPr>
        <w:t xml:space="preserve"> </w:t>
      </w:r>
      <w:r w:rsidR="008804F2">
        <w:rPr>
          <w:rFonts w:ascii="Calibri" w:eastAsia="Calibri" w:hAnsi="Calibri" w:cs="Calibri"/>
        </w:rPr>
        <w:t>in</w:t>
      </w:r>
      <w:r w:rsidR="31FDDAE4" w:rsidRPr="00E52FD6">
        <w:rPr>
          <w:rFonts w:ascii="Calibri" w:eastAsia="Calibri" w:hAnsi="Calibri" w:cs="Calibri"/>
        </w:rPr>
        <w:t xml:space="preserve"> exploring decolonisation and decolonial curricula</w:t>
      </w:r>
      <w:r w:rsidR="00C31009">
        <w:rPr>
          <w:rFonts w:ascii="Calibri" w:eastAsia="Calibri" w:hAnsi="Calibri" w:cs="Calibri"/>
        </w:rPr>
        <w:t>,</w:t>
      </w:r>
      <w:r w:rsidR="31FDDAE4" w:rsidRPr="00E52FD6">
        <w:rPr>
          <w:rFonts w:ascii="Calibri" w:eastAsia="Calibri" w:hAnsi="Calibri" w:cs="Calibri"/>
        </w:rPr>
        <w:t xml:space="preserve"> through international engagement</w:t>
      </w:r>
      <w:r w:rsidR="00C31009">
        <w:rPr>
          <w:rFonts w:ascii="Calibri" w:eastAsia="Calibri" w:hAnsi="Calibri" w:cs="Calibri"/>
        </w:rPr>
        <w:t>,</w:t>
      </w:r>
      <w:r w:rsidR="31FDDAE4" w:rsidRPr="00E52FD6">
        <w:rPr>
          <w:rFonts w:ascii="Calibri" w:eastAsia="Calibri" w:hAnsi="Calibri" w:cs="Calibri"/>
        </w:rPr>
        <w:t xml:space="preserve"> provided an insight into the collaborative potential of establishing a new type of relationship between university institutions in Europe and </w:t>
      </w:r>
      <w:r w:rsidR="008804F2">
        <w:rPr>
          <w:rFonts w:ascii="Calibri" w:eastAsia="Calibri" w:hAnsi="Calibri" w:cs="Calibri"/>
        </w:rPr>
        <w:t>I</w:t>
      </w:r>
      <w:r w:rsidR="31FDDAE4" w:rsidRPr="00E52FD6">
        <w:rPr>
          <w:rFonts w:ascii="Calibri" w:eastAsia="Calibri" w:hAnsi="Calibri" w:cs="Calibri"/>
        </w:rPr>
        <w:t>ndigenous knowledge centres</w:t>
      </w:r>
      <w:r w:rsidR="00C31009">
        <w:rPr>
          <w:rFonts w:ascii="Calibri" w:eastAsia="Calibri" w:hAnsi="Calibri" w:cs="Calibri"/>
        </w:rPr>
        <w:t>,</w:t>
      </w:r>
      <w:r w:rsidR="31FDDAE4" w:rsidRPr="00E52FD6">
        <w:rPr>
          <w:rFonts w:ascii="Calibri" w:eastAsia="Calibri" w:hAnsi="Calibri" w:cs="Calibri"/>
        </w:rPr>
        <w:t xml:space="preserve"> as a form of repairs</w:t>
      </w:r>
      <w:r w:rsidR="008804F2">
        <w:rPr>
          <w:rFonts w:ascii="Calibri" w:eastAsia="Calibri" w:hAnsi="Calibri" w:cs="Calibri"/>
        </w:rPr>
        <w:t xml:space="preserve">, as well as </w:t>
      </w:r>
      <w:r w:rsidR="31FDDAE4" w:rsidRPr="00E52FD6">
        <w:rPr>
          <w:rFonts w:ascii="Calibri" w:eastAsia="Calibri" w:hAnsi="Calibri" w:cs="Calibri"/>
        </w:rPr>
        <w:t>strengthenin</w:t>
      </w:r>
      <w:r w:rsidR="008804F2">
        <w:rPr>
          <w:rFonts w:ascii="Calibri" w:eastAsia="Calibri" w:hAnsi="Calibri" w:cs="Calibri"/>
        </w:rPr>
        <w:t>g</w:t>
      </w:r>
      <w:r w:rsidR="31FDDAE4" w:rsidRPr="00E52FD6">
        <w:rPr>
          <w:rFonts w:ascii="Calibri" w:eastAsia="Calibri" w:hAnsi="Calibri" w:cs="Calibri"/>
        </w:rPr>
        <w:t xml:space="preserve"> equitable access to knowledge</w:t>
      </w:r>
      <w:r w:rsidR="3218A380" w:rsidRPr="00E52FD6">
        <w:rPr>
          <w:rFonts w:ascii="Calibri" w:eastAsia="Calibri" w:hAnsi="Calibri" w:cs="Calibri"/>
        </w:rPr>
        <w:t xml:space="preserve">. </w:t>
      </w:r>
      <w:r w:rsidRPr="19D534DB">
        <w:rPr>
          <w:rFonts w:ascii="Calibri" w:hAnsi="Calibri" w:cs="Calibri"/>
        </w:rPr>
        <w:t xml:space="preserve">Such a </w:t>
      </w:r>
      <w:r w:rsidR="008804F2">
        <w:rPr>
          <w:rFonts w:ascii="Calibri" w:hAnsi="Calibri" w:cs="Calibri"/>
        </w:rPr>
        <w:t>C</w:t>
      </w:r>
      <w:r w:rsidRPr="00184E5F">
        <w:rPr>
          <w:rFonts w:ascii="Calibri" w:hAnsi="Calibri" w:cs="Calibri"/>
        </w:rPr>
        <w:t>entre</w:t>
      </w:r>
      <w:r w:rsidRPr="19D534DB">
        <w:rPr>
          <w:rFonts w:ascii="Calibri" w:hAnsi="Calibri" w:cs="Calibri"/>
        </w:rPr>
        <w:t xml:space="preserve"> could offer support by providing a platform for various scholar-activist communities to connect and collaborate, as well as material resource</w:t>
      </w:r>
      <w:r w:rsidR="008804F2">
        <w:rPr>
          <w:rFonts w:ascii="Calibri" w:hAnsi="Calibri" w:cs="Calibri"/>
        </w:rPr>
        <w:t xml:space="preserve"> (e.g. supplying technology)</w:t>
      </w:r>
      <w:r w:rsidRPr="00184E5F" w:rsidDel="00876C14">
        <w:rPr>
          <w:rFonts w:ascii="Calibri" w:hAnsi="Calibri" w:cs="Calibri"/>
        </w:rPr>
        <w:t xml:space="preserve"> </w:t>
      </w:r>
      <w:r w:rsidRPr="19D534DB">
        <w:rPr>
          <w:rFonts w:ascii="Calibri" w:hAnsi="Calibri" w:cs="Calibri"/>
        </w:rPr>
        <w:t xml:space="preserve">for international collaborators. Not only would this support grassroots communities to engage with the </w:t>
      </w:r>
      <w:r w:rsidR="008804F2">
        <w:rPr>
          <w:rFonts w:ascii="Calibri" w:hAnsi="Calibri" w:cs="Calibri"/>
        </w:rPr>
        <w:t>C</w:t>
      </w:r>
      <w:r w:rsidRPr="19D534DB">
        <w:rPr>
          <w:rFonts w:ascii="Calibri" w:hAnsi="Calibri" w:cs="Calibri"/>
        </w:rPr>
        <w:t xml:space="preserve">entre, but it would also help </w:t>
      </w:r>
      <w:r w:rsidR="00F209FE">
        <w:rPr>
          <w:rFonts w:ascii="Calibri" w:hAnsi="Calibri" w:cs="Calibri"/>
        </w:rPr>
        <w:t>communities to access</w:t>
      </w:r>
      <w:r w:rsidRPr="19D534DB">
        <w:rPr>
          <w:rFonts w:ascii="Calibri" w:hAnsi="Calibri" w:cs="Calibri"/>
        </w:rPr>
        <w:t xml:space="preserve"> resource</w:t>
      </w:r>
      <w:r w:rsidR="00F209FE">
        <w:rPr>
          <w:rFonts w:ascii="Calibri" w:hAnsi="Calibri" w:cs="Calibri"/>
        </w:rPr>
        <w:t xml:space="preserve"> and </w:t>
      </w:r>
      <w:r w:rsidRPr="19D534DB">
        <w:rPr>
          <w:rFonts w:ascii="Calibri" w:hAnsi="Calibri" w:cs="Calibri"/>
        </w:rPr>
        <w:t xml:space="preserve">develop their own </w:t>
      </w:r>
      <w:r w:rsidR="00F209FE">
        <w:rPr>
          <w:rFonts w:ascii="Calibri" w:hAnsi="Calibri" w:cs="Calibri"/>
        </w:rPr>
        <w:t>reparatory</w:t>
      </w:r>
      <w:r w:rsidRPr="19D534DB">
        <w:rPr>
          <w:rFonts w:ascii="Calibri" w:hAnsi="Calibri" w:cs="Calibri"/>
        </w:rPr>
        <w:t xml:space="preserve"> initiatives. </w:t>
      </w:r>
    </w:p>
    <w:p w14:paraId="05783AEA" w14:textId="51261F02" w:rsidR="00B35729" w:rsidRDefault="00FD2C2E" w:rsidP="00EB11F2">
      <w:pPr>
        <w:spacing w:line="259" w:lineRule="auto"/>
        <w:ind w:firstLine="720"/>
        <w:rPr>
          <w:rFonts w:ascii="Calibri" w:eastAsia="Times New Roman" w:hAnsi="Calibri" w:cs="Calibri"/>
          <w:lang w:eastAsia="en-GB"/>
        </w:rPr>
      </w:pPr>
      <w:r w:rsidRPr="00891F88">
        <w:rPr>
          <w:rFonts w:ascii="Calibri" w:hAnsi="Calibri" w:cs="Calibri"/>
        </w:rPr>
        <w:t xml:space="preserve">Another example discussed the </w:t>
      </w:r>
      <w:r w:rsidR="00A70BF3">
        <w:rPr>
          <w:rFonts w:ascii="Calibri" w:hAnsi="Calibri" w:cs="Calibri"/>
        </w:rPr>
        <w:t>ways that the Centre could support other</w:t>
      </w:r>
      <w:r w:rsidRPr="00891F88">
        <w:rPr>
          <w:rFonts w:ascii="Calibri" w:hAnsi="Calibri" w:cs="Calibri"/>
        </w:rPr>
        <w:t xml:space="preserve"> communities who have experienced the effects of colonialism</w:t>
      </w:r>
      <w:r w:rsidR="00443EF6">
        <w:rPr>
          <w:rFonts w:ascii="Calibri" w:hAnsi="Calibri" w:cs="Calibri"/>
        </w:rPr>
        <w:t>. For example, it could be used to</w:t>
      </w:r>
      <w:r w:rsidR="00A70BF3">
        <w:rPr>
          <w:rFonts w:ascii="Calibri" w:hAnsi="Calibri" w:cs="Calibri"/>
        </w:rPr>
        <w:t xml:space="preserve"> </w:t>
      </w:r>
      <w:r w:rsidRPr="00891F88">
        <w:rPr>
          <w:rFonts w:ascii="Calibri" w:hAnsi="Calibri" w:cs="Calibri"/>
        </w:rPr>
        <w:t>challen</w:t>
      </w:r>
      <w:r w:rsidR="00443EF6">
        <w:rPr>
          <w:rFonts w:ascii="Calibri" w:hAnsi="Calibri" w:cs="Calibri"/>
        </w:rPr>
        <w:t>ge the</w:t>
      </w:r>
      <w:r w:rsidRPr="00891F88">
        <w:rPr>
          <w:rFonts w:ascii="Calibri" w:hAnsi="Calibri" w:cs="Calibri"/>
        </w:rPr>
        <w:t xml:space="preserve"> limited perceptions </w:t>
      </w:r>
      <w:r w:rsidR="00443EF6">
        <w:rPr>
          <w:rFonts w:ascii="Calibri" w:hAnsi="Calibri" w:cs="Calibri"/>
        </w:rPr>
        <w:t>of</w:t>
      </w:r>
      <w:r w:rsidRPr="00891F88">
        <w:rPr>
          <w:rFonts w:ascii="Calibri" w:hAnsi="Calibri" w:cs="Calibri"/>
        </w:rPr>
        <w:t xml:space="preserve"> </w:t>
      </w:r>
      <w:r w:rsidR="00443EF6" w:rsidRPr="00891F88">
        <w:rPr>
          <w:rFonts w:ascii="Calibri" w:hAnsi="Calibri" w:cs="Calibri"/>
        </w:rPr>
        <w:t xml:space="preserve">the Sikh </w:t>
      </w:r>
      <w:r w:rsidR="00443EF6">
        <w:rPr>
          <w:rFonts w:ascii="Calibri" w:hAnsi="Calibri" w:cs="Calibri"/>
        </w:rPr>
        <w:t>D</w:t>
      </w:r>
      <w:r w:rsidR="00443EF6" w:rsidRPr="00891F88">
        <w:rPr>
          <w:rFonts w:ascii="Calibri" w:hAnsi="Calibri" w:cs="Calibri"/>
        </w:rPr>
        <w:t xml:space="preserve">iaspora in Scotland </w:t>
      </w:r>
      <w:r w:rsidRPr="00891F88">
        <w:rPr>
          <w:rFonts w:ascii="Calibri" w:hAnsi="Calibri" w:cs="Calibri"/>
        </w:rPr>
        <w:t>and highlight their long-standing presence</w:t>
      </w:r>
      <w:r w:rsidR="002B7C75">
        <w:rPr>
          <w:rFonts w:ascii="Calibri" w:hAnsi="Calibri" w:cs="Calibri"/>
        </w:rPr>
        <w:t xml:space="preserve"> in Scotland</w:t>
      </w:r>
      <w:r w:rsidRPr="00891F88">
        <w:rPr>
          <w:rFonts w:ascii="Calibri" w:hAnsi="Calibri" w:cs="Calibri"/>
        </w:rPr>
        <w:t xml:space="preserve">. It </w:t>
      </w:r>
      <w:r w:rsidR="00443EF6">
        <w:rPr>
          <w:rFonts w:ascii="Calibri" w:hAnsi="Calibri" w:cs="Calibri"/>
        </w:rPr>
        <w:t>c</w:t>
      </w:r>
      <w:r w:rsidRPr="00891F88">
        <w:rPr>
          <w:rFonts w:ascii="Calibri" w:hAnsi="Calibri" w:cs="Calibri"/>
        </w:rPr>
        <w:t xml:space="preserve">ould also </w:t>
      </w:r>
      <w:r w:rsidR="00443EF6">
        <w:rPr>
          <w:rFonts w:ascii="Calibri" w:hAnsi="Calibri" w:cs="Calibri"/>
        </w:rPr>
        <w:t>be used to</w:t>
      </w:r>
      <w:r w:rsidRPr="00891F88">
        <w:rPr>
          <w:rFonts w:ascii="Calibri" w:hAnsi="Calibri" w:cs="Calibri"/>
        </w:rPr>
        <w:t xml:space="preserve"> improve access to archival materials within the institution, providing a historical record of their colonial experience</w:t>
      </w:r>
      <w:r w:rsidR="00443EF6">
        <w:rPr>
          <w:rFonts w:ascii="Calibri" w:hAnsi="Calibri" w:cs="Calibri"/>
        </w:rPr>
        <w:t>s</w:t>
      </w:r>
      <w:r w:rsidRPr="00891F88">
        <w:rPr>
          <w:rFonts w:ascii="Calibri" w:hAnsi="Calibri" w:cs="Calibri"/>
        </w:rPr>
        <w:t xml:space="preserve"> by creating courses and space for reciprocal learning. This underscores the importance of supporting community</w:t>
      </w:r>
      <w:r w:rsidR="00443EF6">
        <w:rPr>
          <w:rFonts w:ascii="Calibri" w:hAnsi="Calibri" w:cs="Calibri"/>
        </w:rPr>
        <w:t>-centred</w:t>
      </w:r>
      <w:r w:rsidRPr="00891F88">
        <w:rPr>
          <w:rFonts w:ascii="Calibri" w:hAnsi="Calibri" w:cs="Calibri"/>
        </w:rPr>
        <w:t xml:space="preserve"> research that addresses the unique forms of marginalisation </w:t>
      </w:r>
      <w:r w:rsidR="002B7C75">
        <w:rPr>
          <w:rFonts w:ascii="Calibri" w:hAnsi="Calibri" w:cs="Calibri"/>
        </w:rPr>
        <w:t xml:space="preserve">that different </w:t>
      </w:r>
      <w:r w:rsidRPr="00891F88">
        <w:rPr>
          <w:rFonts w:ascii="Calibri" w:hAnsi="Calibri" w:cs="Calibri"/>
        </w:rPr>
        <w:t>racialised communities face, particularly when these communities are further marginalised as a smaller minority within a minorit</w:t>
      </w:r>
      <w:r w:rsidR="00443EF6">
        <w:rPr>
          <w:rFonts w:ascii="Calibri" w:hAnsi="Calibri" w:cs="Calibri"/>
        </w:rPr>
        <w:t>ised</w:t>
      </w:r>
      <w:r w:rsidRPr="00891F88">
        <w:rPr>
          <w:rFonts w:ascii="Calibri" w:hAnsi="Calibri" w:cs="Calibri"/>
        </w:rPr>
        <w:t xml:space="preserve"> group.</w:t>
      </w:r>
    </w:p>
    <w:p w14:paraId="348A8290" w14:textId="6BD0007D" w:rsidR="00773F7C" w:rsidRPr="00FD2C2E" w:rsidRDefault="00FD2C2E" w:rsidP="00EB11F2">
      <w:pPr>
        <w:spacing w:line="259" w:lineRule="auto"/>
        <w:ind w:firstLine="720"/>
        <w:rPr>
          <w:rFonts w:ascii="Calibri" w:eastAsia="Times New Roman" w:hAnsi="Calibri" w:cs="Calibri"/>
          <w:lang w:eastAsia="en-GB"/>
        </w:rPr>
      </w:pPr>
      <w:r w:rsidRPr="00891F88">
        <w:rPr>
          <w:rFonts w:ascii="Calibri" w:hAnsi="Calibri" w:cs="Calibri"/>
        </w:rPr>
        <w:t xml:space="preserve">Additionally, participants highlighted how this space could foster engagement, reciprocal learning and collaboration across various intellectual efforts. The </w:t>
      </w:r>
      <w:r w:rsidR="00D911E0">
        <w:rPr>
          <w:rFonts w:ascii="Calibri" w:hAnsi="Calibri" w:cs="Calibri"/>
        </w:rPr>
        <w:t>C</w:t>
      </w:r>
      <w:r w:rsidRPr="00891F88">
        <w:rPr>
          <w:rFonts w:ascii="Calibri" w:hAnsi="Calibri" w:cs="Calibri"/>
        </w:rPr>
        <w:t>entre was envisioned as a physical space that could bridge the gap between numerous communities, welcoming</w:t>
      </w:r>
      <w:r w:rsidR="00F31BE6">
        <w:rPr>
          <w:rFonts w:ascii="Calibri" w:hAnsi="Calibri" w:cs="Calibri"/>
        </w:rPr>
        <w:t xml:space="preserve"> </w:t>
      </w:r>
      <w:r w:rsidRPr="00891F88">
        <w:rPr>
          <w:rFonts w:ascii="Calibri" w:hAnsi="Calibri" w:cs="Calibri"/>
        </w:rPr>
        <w:t xml:space="preserve">intellectual and socially progressive initiatives across </w:t>
      </w:r>
      <w:r w:rsidR="00D911E0">
        <w:rPr>
          <w:rFonts w:ascii="Calibri" w:hAnsi="Calibri" w:cs="Calibri"/>
        </w:rPr>
        <w:t xml:space="preserve">the </w:t>
      </w:r>
      <w:r w:rsidRPr="00891F88">
        <w:rPr>
          <w:rFonts w:ascii="Calibri" w:hAnsi="Calibri" w:cs="Calibri"/>
        </w:rPr>
        <w:t xml:space="preserve">board and providing a well-funded platform </w:t>
      </w:r>
      <w:r w:rsidR="00F31BE6">
        <w:rPr>
          <w:rFonts w:ascii="Calibri" w:hAnsi="Calibri" w:cs="Calibri"/>
        </w:rPr>
        <w:t>to investigate</w:t>
      </w:r>
      <w:r w:rsidRPr="00891F88">
        <w:rPr>
          <w:rFonts w:ascii="Calibri" w:hAnsi="Calibri" w:cs="Calibri"/>
        </w:rPr>
        <w:t xml:space="preserve"> </w:t>
      </w:r>
      <w:r w:rsidR="00F31BE6">
        <w:rPr>
          <w:rFonts w:ascii="Calibri" w:hAnsi="Calibri" w:cs="Calibri"/>
        </w:rPr>
        <w:t>different</w:t>
      </w:r>
      <w:r w:rsidRPr="00891F88">
        <w:rPr>
          <w:rFonts w:ascii="Calibri" w:hAnsi="Calibri" w:cs="Calibri"/>
        </w:rPr>
        <w:t xml:space="preserve"> histories</w:t>
      </w:r>
      <w:r w:rsidR="00F31BE6">
        <w:rPr>
          <w:rFonts w:ascii="Calibri" w:hAnsi="Calibri" w:cs="Calibri"/>
        </w:rPr>
        <w:t xml:space="preserve"> and legacies of racism</w:t>
      </w:r>
      <w:r w:rsidRPr="00891F88">
        <w:rPr>
          <w:rFonts w:ascii="Calibri" w:hAnsi="Calibri" w:cs="Calibri"/>
        </w:rPr>
        <w:t xml:space="preserve"> and resistance movements</w:t>
      </w:r>
      <w:r w:rsidR="00BC2B1B">
        <w:rPr>
          <w:rFonts w:ascii="Calibri" w:hAnsi="Calibri" w:cs="Calibri"/>
        </w:rPr>
        <w:t>. This would require</w:t>
      </w:r>
      <w:r w:rsidRPr="00891F88">
        <w:rPr>
          <w:rFonts w:ascii="Calibri" w:hAnsi="Calibri" w:cs="Calibri"/>
        </w:rPr>
        <w:t xml:space="preserve"> </w:t>
      </w:r>
      <w:r w:rsidR="00F31BE6">
        <w:rPr>
          <w:rFonts w:ascii="Calibri" w:hAnsi="Calibri" w:cs="Calibri"/>
        </w:rPr>
        <w:t xml:space="preserve">dedicated </w:t>
      </w:r>
      <w:r w:rsidR="00BC2B1B">
        <w:rPr>
          <w:rFonts w:ascii="Calibri" w:hAnsi="Calibri" w:cs="Calibri"/>
        </w:rPr>
        <w:t xml:space="preserve">staff </w:t>
      </w:r>
      <w:r w:rsidRPr="00891F88">
        <w:rPr>
          <w:rFonts w:ascii="Calibri" w:hAnsi="Calibri" w:cs="Calibri"/>
        </w:rPr>
        <w:t xml:space="preserve">to maintain </w:t>
      </w:r>
      <w:r w:rsidR="4BD8E403" w:rsidRPr="19D534DB">
        <w:rPr>
          <w:rFonts w:ascii="Calibri" w:hAnsi="Calibri" w:cs="Calibri"/>
        </w:rPr>
        <w:t>and</w:t>
      </w:r>
      <w:r w:rsidRPr="00891F88">
        <w:rPr>
          <w:rFonts w:ascii="Calibri" w:hAnsi="Calibri" w:cs="Calibri"/>
        </w:rPr>
        <w:t xml:space="preserve"> facilitate this type of interaction</w:t>
      </w:r>
      <w:r w:rsidR="00BC2B1B">
        <w:rPr>
          <w:rFonts w:ascii="Calibri" w:hAnsi="Calibri" w:cs="Calibri"/>
        </w:rPr>
        <w:t>, including:</w:t>
      </w:r>
      <w:r w:rsidRPr="00891F88">
        <w:rPr>
          <w:rFonts w:ascii="Calibri" w:hAnsi="Calibri" w:cs="Calibri"/>
        </w:rPr>
        <w:t xml:space="preserve"> </w:t>
      </w:r>
      <w:r w:rsidR="00BC2B1B">
        <w:rPr>
          <w:rFonts w:ascii="Calibri" w:hAnsi="Calibri" w:cs="Calibri"/>
        </w:rPr>
        <w:t xml:space="preserve">a </w:t>
      </w:r>
      <w:r w:rsidRPr="00891F88">
        <w:rPr>
          <w:rFonts w:ascii="Calibri" w:hAnsi="Calibri" w:cs="Calibri"/>
        </w:rPr>
        <w:t>Community Archivist/Curator</w:t>
      </w:r>
      <w:r w:rsidR="00BC2B1B">
        <w:rPr>
          <w:rFonts w:ascii="Calibri" w:hAnsi="Calibri" w:cs="Calibri"/>
        </w:rPr>
        <w:t xml:space="preserve"> </w:t>
      </w:r>
      <w:r w:rsidRPr="00891F88">
        <w:rPr>
          <w:rFonts w:ascii="Calibri" w:hAnsi="Calibri" w:cs="Calibri"/>
        </w:rPr>
        <w:t xml:space="preserve">specialising in digital archiving </w:t>
      </w:r>
      <w:r w:rsidR="00AE2AFA">
        <w:rPr>
          <w:rFonts w:ascii="Calibri" w:hAnsi="Calibri" w:cs="Calibri"/>
        </w:rPr>
        <w:t>and dedicated to archiving the work of</w:t>
      </w:r>
      <w:r w:rsidRPr="00891F88" w:rsidDel="00AE2AFA">
        <w:rPr>
          <w:rFonts w:ascii="Calibri" w:hAnsi="Calibri" w:cs="Calibri"/>
        </w:rPr>
        <w:t xml:space="preserve"> </w:t>
      </w:r>
      <w:r w:rsidRPr="00891F88">
        <w:rPr>
          <w:rFonts w:ascii="Calibri" w:hAnsi="Calibri" w:cs="Calibri"/>
        </w:rPr>
        <w:t>contemporary movements</w:t>
      </w:r>
      <w:r w:rsidR="00C31009">
        <w:rPr>
          <w:rFonts w:ascii="Calibri" w:hAnsi="Calibri" w:cs="Calibri"/>
        </w:rPr>
        <w:t>,</w:t>
      </w:r>
      <w:r w:rsidRPr="00891F88">
        <w:rPr>
          <w:rFonts w:ascii="Calibri" w:hAnsi="Calibri" w:cs="Calibri"/>
        </w:rPr>
        <w:t xml:space="preserve"> and improv</w:t>
      </w:r>
      <w:r w:rsidR="00AE2AFA">
        <w:rPr>
          <w:rFonts w:ascii="Calibri" w:hAnsi="Calibri" w:cs="Calibri"/>
        </w:rPr>
        <w:t>ing</w:t>
      </w:r>
      <w:r w:rsidRPr="00891F88">
        <w:rPr>
          <w:rFonts w:ascii="Calibri" w:hAnsi="Calibri" w:cs="Calibri"/>
        </w:rPr>
        <w:t xml:space="preserve"> access to historical archives</w:t>
      </w:r>
      <w:r w:rsidR="006722AA">
        <w:rPr>
          <w:rFonts w:ascii="Calibri" w:hAnsi="Calibri" w:cs="Calibri"/>
        </w:rPr>
        <w:t>; a</w:t>
      </w:r>
      <w:r w:rsidRPr="00891F88">
        <w:rPr>
          <w:rFonts w:ascii="Calibri" w:hAnsi="Calibri" w:cs="Calibri"/>
        </w:rPr>
        <w:t xml:space="preserve"> Community Representative/Scholar-Activist-in-Residence as an annual post giving communities the opportunity to work on specific projects</w:t>
      </w:r>
      <w:r w:rsidR="006722AA">
        <w:rPr>
          <w:rFonts w:ascii="Calibri" w:hAnsi="Calibri" w:cs="Calibri"/>
        </w:rPr>
        <w:t>;</w:t>
      </w:r>
      <w:r w:rsidR="00C46C07">
        <w:rPr>
          <w:rFonts w:ascii="Calibri" w:hAnsi="Calibri" w:cs="Calibri"/>
        </w:rPr>
        <w:t xml:space="preserve"> </w:t>
      </w:r>
      <w:r w:rsidRPr="00891F88">
        <w:rPr>
          <w:rFonts w:ascii="Calibri" w:hAnsi="Calibri" w:cs="Calibri"/>
        </w:rPr>
        <w:t xml:space="preserve">a dedicated </w:t>
      </w:r>
      <w:r w:rsidR="006722AA">
        <w:rPr>
          <w:rFonts w:ascii="Calibri" w:hAnsi="Calibri" w:cs="Calibri"/>
        </w:rPr>
        <w:t>C</w:t>
      </w:r>
      <w:r w:rsidRPr="00891F88">
        <w:rPr>
          <w:rFonts w:ascii="Calibri" w:hAnsi="Calibri" w:cs="Calibri"/>
        </w:rPr>
        <w:t xml:space="preserve">entre </w:t>
      </w:r>
      <w:r w:rsidR="006722AA">
        <w:rPr>
          <w:rFonts w:ascii="Calibri" w:hAnsi="Calibri" w:cs="Calibri"/>
        </w:rPr>
        <w:t>D</w:t>
      </w:r>
      <w:r w:rsidRPr="00891F88">
        <w:rPr>
          <w:rFonts w:ascii="Calibri" w:hAnsi="Calibri" w:cs="Calibri"/>
        </w:rPr>
        <w:t>irector</w:t>
      </w:r>
      <w:r w:rsidR="00C46C07">
        <w:rPr>
          <w:rFonts w:ascii="Calibri" w:hAnsi="Calibri" w:cs="Calibri"/>
        </w:rPr>
        <w:t>;</w:t>
      </w:r>
      <w:r w:rsidRPr="00891F88">
        <w:rPr>
          <w:rFonts w:ascii="Calibri" w:hAnsi="Calibri" w:cs="Calibri"/>
        </w:rPr>
        <w:t xml:space="preserve"> and</w:t>
      </w:r>
      <w:r w:rsidR="00C46C07">
        <w:rPr>
          <w:rFonts w:ascii="Calibri" w:hAnsi="Calibri" w:cs="Calibri"/>
        </w:rPr>
        <w:t xml:space="preserve"> a</w:t>
      </w:r>
      <w:r w:rsidR="00C46C07" w:rsidRPr="00C46C07">
        <w:rPr>
          <w:rFonts w:ascii="Calibri" w:hAnsi="Calibri" w:cs="Calibri"/>
        </w:rPr>
        <w:t xml:space="preserve"> </w:t>
      </w:r>
      <w:r w:rsidR="00C46C07">
        <w:rPr>
          <w:rFonts w:ascii="Calibri" w:hAnsi="Calibri" w:cs="Calibri"/>
        </w:rPr>
        <w:t>Community Engagement Officer/Manager</w:t>
      </w:r>
      <w:r w:rsidRPr="00891F88">
        <w:rPr>
          <w:rFonts w:ascii="Calibri" w:hAnsi="Calibri" w:cs="Calibri"/>
        </w:rPr>
        <w:t xml:space="preserve"> to bridge the gap between the aims of various communities.</w:t>
      </w:r>
      <w:r w:rsidR="00B35729">
        <w:rPr>
          <w:rFonts w:ascii="Calibri" w:hAnsi="Calibri" w:cs="Calibri"/>
        </w:rPr>
        <w:t xml:space="preserve"> </w:t>
      </w:r>
      <w:r w:rsidR="00B35729" w:rsidRPr="0017357E">
        <w:rPr>
          <w:rFonts w:ascii="Calibri" w:eastAsia="Calibri" w:hAnsi="Calibri" w:cs="Calibri"/>
          <w:color w:val="000000" w:themeColor="text1"/>
        </w:rPr>
        <w:t>The</w:t>
      </w:r>
      <w:r w:rsidR="00EB1C99">
        <w:rPr>
          <w:rFonts w:ascii="Calibri" w:eastAsia="Calibri" w:hAnsi="Calibri" w:cs="Calibri"/>
          <w:color w:val="000000" w:themeColor="text1"/>
        </w:rPr>
        <w:t>se</w:t>
      </w:r>
      <w:r w:rsidR="00B35729" w:rsidRPr="0017357E">
        <w:rPr>
          <w:rFonts w:ascii="Calibri" w:eastAsia="Calibri" w:hAnsi="Calibri" w:cs="Calibri"/>
          <w:color w:val="000000" w:themeColor="text1"/>
        </w:rPr>
        <w:t xml:space="preserve"> </w:t>
      </w:r>
      <w:r w:rsidR="00B35729">
        <w:rPr>
          <w:rFonts w:ascii="Calibri" w:eastAsia="Calibri" w:hAnsi="Calibri" w:cs="Calibri"/>
          <w:color w:val="000000" w:themeColor="text1"/>
        </w:rPr>
        <w:t>recommendations</w:t>
      </w:r>
      <w:r w:rsidR="00C12378">
        <w:rPr>
          <w:rFonts w:ascii="Calibri" w:eastAsia="Calibri" w:hAnsi="Calibri" w:cs="Calibri"/>
          <w:color w:val="000000" w:themeColor="text1"/>
        </w:rPr>
        <w:t xml:space="preserve"> have been</w:t>
      </w:r>
      <w:r w:rsidR="00B35729">
        <w:rPr>
          <w:rFonts w:ascii="Calibri" w:eastAsia="Calibri" w:hAnsi="Calibri" w:cs="Calibri"/>
          <w:color w:val="000000" w:themeColor="text1"/>
        </w:rPr>
        <w:t xml:space="preserve"> incorporated into </w:t>
      </w:r>
      <w:r w:rsidR="00AE2AFA">
        <w:rPr>
          <w:rFonts w:ascii="Calibri" w:eastAsia="Calibri" w:hAnsi="Calibri" w:cs="Calibri"/>
          <w:color w:val="000000" w:themeColor="text1"/>
        </w:rPr>
        <w:t>recommendations</w:t>
      </w:r>
      <w:r w:rsidR="0048541B">
        <w:rPr>
          <w:rFonts w:ascii="Calibri" w:eastAsia="Calibri" w:hAnsi="Calibri" w:cs="Calibri"/>
          <w:color w:val="000000" w:themeColor="text1"/>
        </w:rPr>
        <w:t xml:space="preserve"> below</w:t>
      </w:r>
      <w:r w:rsidR="00AE2AFA">
        <w:rPr>
          <w:rFonts w:ascii="Calibri" w:eastAsia="Calibri" w:hAnsi="Calibri" w:cs="Calibri"/>
          <w:color w:val="000000" w:themeColor="text1"/>
        </w:rPr>
        <w:t>, but</w:t>
      </w:r>
      <w:r w:rsidR="0048541B">
        <w:rPr>
          <w:rFonts w:ascii="Calibri" w:eastAsia="Calibri" w:hAnsi="Calibri" w:cs="Calibri"/>
          <w:color w:val="000000" w:themeColor="text1"/>
        </w:rPr>
        <w:t xml:space="preserve"> are outlined in greater detail in Appendix 8</w:t>
      </w:r>
      <w:r w:rsidR="00B35729">
        <w:rPr>
          <w:rFonts w:ascii="Calibri" w:eastAsia="Calibri" w:hAnsi="Calibri" w:cs="Calibri"/>
          <w:color w:val="000000" w:themeColor="text1"/>
        </w:rPr>
        <w:t xml:space="preserve">. </w:t>
      </w:r>
      <w:r w:rsidR="00D72A0F">
        <w:rPr>
          <w:rFonts w:ascii="Calibri" w:eastAsia="Calibri" w:hAnsi="Calibri" w:cs="Calibri"/>
          <w:color w:val="000000" w:themeColor="text1"/>
        </w:rPr>
        <w:t xml:space="preserve"> </w:t>
      </w:r>
    </w:p>
    <w:p w14:paraId="541CFF17" w14:textId="77777777" w:rsidR="00FD2C2E" w:rsidRPr="0017357E" w:rsidRDefault="00FD2C2E" w:rsidP="00EB11F2">
      <w:pPr>
        <w:spacing w:line="259" w:lineRule="auto"/>
        <w:rPr>
          <w:rFonts w:ascii="Calibri" w:eastAsia="Calibri" w:hAnsi="Calibri" w:cs="Calibri"/>
          <w:color w:val="000000" w:themeColor="text1"/>
        </w:rPr>
      </w:pPr>
    </w:p>
    <w:p w14:paraId="7ACDFBA4" w14:textId="6D11B08E" w:rsidR="00773F7C" w:rsidRPr="00D07AB0" w:rsidRDefault="00773F7C" w:rsidP="00C31009">
      <w:pPr>
        <w:pStyle w:val="Heading5"/>
      </w:pPr>
      <w:r w:rsidRPr="00D07AB0">
        <w:t>Theme 3: Digital Archiving</w:t>
      </w:r>
    </w:p>
    <w:p w14:paraId="327024FD" w14:textId="2331AF27" w:rsidR="00350A50" w:rsidRPr="00BA080A" w:rsidRDefault="00350A50" w:rsidP="00EB11F2">
      <w:pPr>
        <w:spacing w:line="259" w:lineRule="auto"/>
        <w:rPr>
          <w:rFonts w:eastAsia="Calibri" w:cstheme="minorHAnsi"/>
          <w:color w:val="000000" w:themeColor="text1"/>
        </w:rPr>
      </w:pPr>
      <w:r w:rsidRPr="00891F88">
        <w:rPr>
          <w:rFonts w:ascii="Calibri" w:eastAsia="Calibri" w:hAnsi="Calibri" w:cs="Calibri"/>
          <w:color w:val="000000" w:themeColor="text1"/>
        </w:rPr>
        <w:t xml:space="preserve">Work </w:t>
      </w:r>
      <w:r>
        <w:rPr>
          <w:rFonts w:ascii="Calibri" w:eastAsia="Calibri" w:hAnsi="Calibri" w:cs="Calibri"/>
          <w:color w:val="000000" w:themeColor="text1"/>
        </w:rPr>
        <w:t>was also conducted on</w:t>
      </w:r>
      <w:r w:rsidRPr="00891F88">
        <w:rPr>
          <w:rFonts w:ascii="Calibri" w:eastAsia="Calibri" w:hAnsi="Calibri" w:cs="Calibri"/>
          <w:color w:val="000000" w:themeColor="text1"/>
        </w:rPr>
        <w:t xml:space="preserve"> theme 3, which focuse</w:t>
      </w:r>
      <w:r>
        <w:rPr>
          <w:rFonts w:ascii="Calibri" w:eastAsia="Calibri" w:hAnsi="Calibri" w:cs="Calibri"/>
          <w:color w:val="000000" w:themeColor="text1"/>
        </w:rPr>
        <w:t xml:space="preserve">d </w:t>
      </w:r>
      <w:r w:rsidRPr="00891F88">
        <w:rPr>
          <w:rFonts w:ascii="Calibri" w:eastAsia="Calibri" w:hAnsi="Calibri" w:cs="Calibri"/>
          <w:color w:val="000000" w:themeColor="text1"/>
        </w:rPr>
        <w:t xml:space="preserve">on two aspects of digital archiving. The first </w:t>
      </w:r>
      <w:r w:rsidR="00C12378">
        <w:rPr>
          <w:rFonts w:ascii="Calibri" w:eastAsia="Calibri" w:hAnsi="Calibri" w:cs="Calibri"/>
          <w:color w:val="000000" w:themeColor="text1"/>
        </w:rPr>
        <w:t xml:space="preserve">aspect </w:t>
      </w:r>
      <w:r w:rsidR="00016A95">
        <w:rPr>
          <w:rFonts w:ascii="Calibri" w:eastAsia="Calibri" w:hAnsi="Calibri" w:cs="Calibri"/>
          <w:color w:val="000000" w:themeColor="text1"/>
        </w:rPr>
        <w:t>looked at the feasibility of creating</w:t>
      </w:r>
      <w:r w:rsidRPr="00891F88">
        <w:rPr>
          <w:rFonts w:ascii="Calibri" w:eastAsia="Calibri" w:hAnsi="Calibri" w:cs="Calibri"/>
          <w:color w:val="000000" w:themeColor="text1"/>
        </w:rPr>
        <w:t xml:space="preserve"> a publicly accessible, grassroots-driven digital archive </w:t>
      </w:r>
      <w:r w:rsidR="00016A95">
        <w:rPr>
          <w:rFonts w:ascii="Calibri" w:eastAsia="Calibri" w:hAnsi="Calibri" w:cs="Calibri"/>
          <w:color w:val="000000" w:themeColor="text1"/>
        </w:rPr>
        <w:t>to</w:t>
      </w:r>
      <w:r w:rsidRPr="00891F88">
        <w:rPr>
          <w:rFonts w:ascii="Calibri" w:eastAsia="Calibri" w:hAnsi="Calibri" w:cs="Calibri"/>
          <w:color w:val="000000" w:themeColor="text1"/>
        </w:rPr>
        <w:t xml:space="preserve"> document the 40-year history of reparations movements in the UK and their </w:t>
      </w:r>
      <w:r w:rsidRPr="00891F88">
        <w:rPr>
          <w:rFonts w:ascii="Calibri" w:eastAsia="Calibri" w:hAnsi="Calibri" w:cs="Calibri"/>
          <w:color w:val="000000" w:themeColor="text1"/>
        </w:rPr>
        <w:lastRenderedPageBreak/>
        <w:t>contribution to the ‘International Social Movement for Afrikan Reparations’.</w:t>
      </w:r>
      <w:r w:rsidR="00016A95" w:rsidRPr="00891F88">
        <w:rPr>
          <w:rStyle w:val="FootnoteReference"/>
          <w:rFonts w:ascii="Calibri" w:eastAsia="Calibri" w:hAnsi="Calibri" w:cs="Calibri"/>
          <w:color w:val="000000" w:themeColor="text1"/>
        </w:rPr>
        <w:footnoteReference w:id="220"/>
      </w:r>
      <w:r w:rsidRPr="00891F88">
        <w:rPr>
          <w:rFonts w:ascii="Calibri" w:eastAsia="Calibri" w:hAnsi="Calibri" w:cs="Calibri"/>
          <w:color w:val="000000" w:themeColor="text1"/>
        </w:rPr>
        <w:t xml:space="preserve"> This archive</w:t>
      </w:r>
      <w:r w:rsidR="00AC2F32">
        <w:rPr>
          <w:rFonts w:ascii="Calibri" w:eastAsia="Calibri" w:hAnsi="Calibri" w:cs="Calibri"/>
          <w:color w:val="000000" w:themeColor="text1"/>
        </w:rPr>
        <w:t xml:space="preserve"> was</w:t>
      </w:r>
      <w:r w:rsidRPr="00891F88">
        <w:rPr>
          <w:rFonts w:ascii="Calibri" w:eastAsia="Calibri" w:hAnsi="Calibri" w:cs="Calibri"/>
          <w:color w:val="000000" w:themeColor="text1"/>
        </w:rPr>
        <w:t xml:space="preserve"> initiated and </w:t>
      </w:r>
      <w:r w:rsidR="00AC2F32">
        <w:rPr>
          <w:rFonts w:ascii="Calibri" w:eastAsia="Calibri" w:hAnsi="Calibri" w:cs="Calibri"/>
          <w:color w:val="000000" w:themeColor="text1"/>
        </w:rPr>
        <w:t xml:space="preserve">is currently </w:t>
      </w:r>
      <w:r w:rsidR="00980B1B">
        <w:rPr>
          <w:rFonts w:ascii="Calibri" w:eastAsia="Calibri" w:hAnsi="Calibri" w:cs="Calibri"/>
          <w:color w:val="000000" w:themeColor="text1"/>
        </w:rPr>
        <w:t xml:space="preserve">being </w:t>
      </w:r>
      <w:r w:rsidR="00AD5E59">
        <w:rPr>
          <w:rFonts w:ascii="Calibri" w:eastAsia="Calibri" w:hAnsi="Calibri" w:cs="Calibri"/>
          <w:color w:val="000000" w:themeColor="text1"/>
        </w:rPr>
        <w:t>held</w:t>
      </w:r>
      <w:r w:rsidRPr="00891F88">
        <w:rPr>
          <w:rFonts w:ascii="Calibri" w:eastAsia="Calibri" w:hAnsi="Calibri" w:cs="Calibri"/>
          <w:color w:val="000000" w:themeColor="text1"/>
        </w:rPr>
        <w:t xml:space="preserve"> by the </w:t>
      </w:r>
      <w:hyperlink r:id="rId142">
        <w:r w:rsidRPr="00891F88">
          <w:rPr>
            <w:rStyle w:val="Hyperlink"/>
            <w:rFonts w:ascii="Calibri" w:eastAsia="Calibri" w:hAnsi="Calibri" w:cs="Calibri"/>
            <w:color w:val="000000" w:themeColor="text1"/>
          </w:rPr>
          <w:t>Maangamizi Educational Trust</w:t>
        </w:r>
      </w:hyperlink>
      <w:r w:rsidRPr="00891F88">
        <w:rPr>
          <w:rStyle w:val="Hyperlink"/>
          <w:rFonts w:ascii="Calibri" w:eastAsia="Calibri" w:hAnsi="Calibri" w:cs="Calibri"/>
          <w:color w:val="000000" w:themeColor="text1"/>
          <w:u w:val="none"/>
        </w:rPr>
        <w:t xml:space="preserve">, </w:t>
      </w:r>
      <w:r w:rsidR="00AC2F32">
        <w:rPr>
          <w:rStyle w:val="Hyperlink"/>
          <w:rFonts w:ascii="Calibri" w:eastAsia="Calibri" w:hAnsi="Calibri" w:cs="Calibri"/>
          <w:color w:val="000000" w:themeColor="text1"/>
          <w:u w:val="none"/>
        </w:rPr>
        <w:t xml:space="preserve">but </w:t>
      </w:r>
      <w:r w:rsidR="00AD5E59">
        <w:rPr>
          <w:rStyle w:val="Hyperlink"/>
          <w:rFonts w:ascii="Calibri" w:eastAsia="Calibri" w:hAnsi="Calibri" w:cs="Calibri"/>
          <w:color w:val="000000" w:themeColor="text1"/>
          <w:u w:val="none"/>
        </w:rPr>
        <w:t>has yet to be digitised to make it publicly available. Digitisation would</w:t>
      </w:r>
      <w:r w:rsidRPr="00891F88">
        <w:rPr>
          <w:rFonts w:ascii="Calibri" w:eastAsia="Calibri" w:hAnsi="Calibri" w:cs="Calibri"/>
          <w:color w:val="000000" w:themeColor="text1"/>
        </w:rPr>
        <w:t xml:space="preserve"> address the lack of visibility of the UK </w:t>
      </w:r>
      <w:r w:rsidR="00940FDC">
        <w:rPr>
          <w:rFonts w:ascii="Calibri" w:eastAsia="Calibri" w:hAnsi="Calibri" w:cs="Calibri"/>
          <w:color w:val="000000" w:themeColor="text1"/>
        </w:rPr>
        <w:t xml:space="preserve">reparations </w:t>
      </w:r>
      <w:r w:rsidRPr="00891F88">
        <w:rPr>
          <w:rFonts w:ascii="Calibri" w:eastAsia="Calibri" w:hAnsi="Calibri" w:cs="Calibri"/>
          <w:color w:val="000000" w:themeColor="text1"/>
        </w:rPr>
        <w:t>movement, offer a necessary counter-narrative to misconceptions about reparations (commonly reduced to monetary payments) and provide a valuable resource for racial justice movements, researchers, policymakers and educators.</w:t>
      </w:r>
      <w:r w:rsidR="00385C10">
        <w:rPr>
          <w:rFonts w:ascii="Calibri" w:eastAsia="Calibri" w:hAnsi="Calibri" w:cs="Calibri"/>
          <w:color w:val="000000" w:themeColor="text1"/>
        </w:rPr>
        <w:t xml:space="preserve"> The process of digitising such an archive would also </w:t>
      </w:r>
      <w:r w:rsidR="00385C10" w:rsidRPr="19D534DB">
        <w:rPr>
          <w:rFonts w:eastAsia="Calibri"/>
          <w:color w:val="000000" w:themeColor="text1"/>
        </w:rPr>
        <w:t xml:space="preserve">act as a pilot study for the establishment of a resource in </w:t>
      </w:r>
      <w:r w:rsidR="006B016F">
        <w:rPr>
          <w:rFonts w:eastAsia="Calibri"/>
          <w:color w:val="000000" w:themeColor="text1"/>
        </w:rPr>
        <w:t>the</w:t>
      </w:r>
      <w:r w:rsidR="00385C10" w:rsidRPr="19D534DB">
        <w:rPr>
          <w:rFonts w:eastAsia="Calibri"/>
          <w:color w:val="000000" w:themeColor="text1"/>
        </w:rPr>
        <w:t xml:space="preserve"> </w:t>
      </w:r>
      <w:r w:rsidR="00A27530" w:rsidRPr="3C6D1E23">
        <w:rPr>
          <w:rFonts w:eastAsia="Calibri"/>
          <w:color w:val="000000" w:themeColor="text1"/>
        </w:rPr>
        <w:t>University of Edinburgh</w:t>
      </w:r>
      <w:r w:rsidR="000C799E">
        <w:rPr>
          <w:rFonts w:eastAsia="Calibri"/>
          <w:color w:val="000000" w:themeColor="text1"/>
        </w:rPr>
        <w:t>,</w:t>
      </w:r>
      <w:r w:rsidR="00385C10" w:rsidRPr="19D534DB">
        <w:rPr>
          <w:rFonts w:eastAsia="Calibri"/>
          <w:color w:val="000000" w:themeColor="text1"/>
        </w:rPr>
        <w:t xml:space="preserve"> to enable other community-based groups to digitise</w:t>
      </w:r>
      <w:r w:rsidR="00385C10" w:rsidRPr="00891F88">
        <w:rPr>
          <w:rFonts w:ascii="Calibri" w:eastAsia="Calibri" w:hAnsi="Calibri" w:cs="Calibri"/>
          <w:color w:val="000000" w:themeColor="text1"/>
        </w:rPr>
        <w:t xml:space="preserve"> their reparatory justice and anti-racism work.</w:t>
      </w:r>
      <w:r w:rsidR="00385C10" w:rsidRPr="19D534DB">
        <w:rPr>
          <w:rFonts w:eastAsia="Calibri"/>
          <w:color w:val="000000" w:themeColor="text1"/>
        </w:rPr>
        <w:t xml:space="preserve"> </w:t>
      </w:r>
      <w:r w:rsidR="0053130C">
        <w:rPr>
          <w:rFonts w:ascii="Calibri" w:eastAsia="Calibri" w:hAnsi="Calibri" w:cs="Calibri"/>
          <w:color w:val="000000" w:themeColor="text1"/>
        </w:rPr>
        <w:t xml:space="preserve">Following an initial feasibility study conducted by </w:t>
      </w:r>
      <w:hyperlink r:id="rId143" w:history="1">
        <w:r w:rsidR="0053130C" w:rsidRPr="0053130C">
          <w:rPr>
            <w:rStyle w:val="Hyperlink"/>
            <w:rFonts w:ascii="Calibri" w:eastAsia="Calibri" w:hAnsi="Calibri" w:cs="Calibri"/>
          </w:rPr>
          <w:t>Janice Tullock Associates</w:t>
        </w:r>
      </w:hyperlink>
      <w:r w:rsidR="0053130C">
        <w:rPr>
          <w:rFonts w:ascii="Calibri" w:eastAsia="Calibri" w:hAnsi="Calibri" w:cs="Calibri"/>
          <w:color w:val="000000" w:themeColor="text1"/>
        </w:rPr>
        <w:t xml:space="preserve"> and funded by the </w:t>
      </w:r>
      <w:hyperlink r:id="rId144" w:history="1">
        <w:r w:rsidR="0053130C" w:rsidRPr="0053130C">
          <w:rPr>
            <w:rStyle w:val="Hyperlink"/>
            <w:rFonts w:ascii="Calibri" w:eastAsia="Calibri" w:hAnsi="Calibri" w:cs="Calibri"/>
          </w:rPr>
          <w:t>Edinburgh Futures Institute</w:t>
        </w:r>
      </w:hyperlink>
      <w:r w:rsidR="0053130C">
        <w:rPr>
          <w:rFonts w:ascii="Calibri" w:eastAsia="Calibri" w:hAnsi="Calibri" w:cs="Calibri"/>
          <w:color w:val="000000" w:themeColor="text1"/>
        </w:rPr>
        <w:t xml:space="preserve">, </w:t>
      </w:r>
      <w:r w:rsidR="0053130C" w:rsidRPr="19D534DB">
        <w:rPr>
          <w:rFonts w:eastAsia="Calibri"/>
          <w:color w:val="000000" w:themeColor="text1"/>
        </w:rPr>
        <w:t>t</w:t>
      </w:r>
      <w:r w:rsidR="00AD5E59" w:rsidRPr="19D534DB">
        <w:rPr>
          <w:rFonts w:eastAsia="Calibri"/>
          <w:color w:val="000000" w:themeColor="text1"/>
        </w:rPr>
        <w:t>he archive</w:t>
      </w:r>
      <w:r w:rsidR="0078615E" w:rsidRPr="19D534DB">
        <w:rPr>
          <w:rFonts w:eastAsia="Calibri"/>
          <w:color w:val="000000" w:themeColor="text1"/>
        </w:rPr>
        <w:t xml:space="preserve"> was assessed by Etienne Joseph </w:t>
      </w:r>
      <w:r w:rsidR="00AD5E59" w:rsidRPr="19D534DB">
        <w:rPr>
          <w:color w:val="212121"/>
        </w:rPr>
        <w:t>(an archivist with a specialisation in digital archiving who works at</w:t>
      </w:r>
      <w:r w:rsidR="0078615E" w:rsidRPr="19D534DB">
        <w:rPr>
          <w:rStyle w:val="apple-converted-space"/>
          <w:color w:val="212121"/>
        </w:rPr>
        <w:t xml:space="preserve"> </w:t>
      </w:r>
      <w:r w:rsidR="00AD5E59" w:rsidRPr="19D534DB">
        <w:rPr>
          <w:rStyle w:val="outlook-search-highlight"/>
          <w:color w:val="212121"/>
        </w:rPr>
        <w:t>the</w:t>
      </w:r>
      <w:r w:rsidR="0078615E" w:rsidRPr="19D534DB">
        <w:rPr>
          <w:rStyle w:val="apple-converted-space"/>
          <w:color w:val="212121"/>
        </w:rPr>
        <w:t xml:space="preserve"> </w:t>
      </w:r>
      <w:hyperlink r:id="rId145" w:history="1">
        <w:r w:rsidR="00AD5E59" w:rsidRPr="19D534DB">
          <w:rPr>
            <w:rStyle w:val="Hyperlink"/>
          </w:rPr>
          <w:t>Hackney</w:t>
        </w:r>
        <w:r w:rsidR="0078615E" w:rsidRPr="19D534DB">
          <w:rPr>
            <w:rStyle w:val="Hyperlink"/>
          </w:rPr>
          <w:t xml:space="preserve"> </w:t>
        </w:r>
        <w:r w:rsidR="00AD5E59" w:rsidRPr="19D534DB">
          <w:rPr>
            <w:rStyle w:val="Hyperlink"/>
          </w:rPr>
          <w:t>Archives</w:t>
        </w:r>
      </w:hyperlink>
      <w:r w:rsidR="00AD5E59" w:rsidRPr="19D534DB">
        <w:rPr>
          <w:color w:val="212121"/>
        </w:rPr>
        <w:t xml:space="preserve"> and for</w:t>
      </w:r>
      <w:r w:rsidR="0078615E" w:rsidRPr="19D534DB">
        <w:rPr>
          <w:rStyle w:val="apple-converted-space"/>
          <w:color w:val="212121"/>
        </w:rPr>
        <w:t xml:space="preserve"> </w:t>
      </w:r>
      <w:hyperlink r:id="rId146" w:history="1">
        <w:r w:rsidR="00AD5E59" w:rsidRPr="19D534DB">
          <w:rPr>
            <w:rStyle w:val="Hyperlink"/>
          </w:rPr>
          <w:t>Decolonising</w:t>
        </w:r>
        <w:r w:rsidR="0078615E" w:rsidRPr="19D534DB">
          <w:rPr>
            <w:rStyle w:val="Hyperlink"/>
          </w:rPr>
          <w:t xml:space="preserve"> </w:t>
        </w:r>
        <w:r w:rsidR="00AD5E59" w:rsidRPr="19D534DB">
          <w:rPr>
            <w:rStyle w:val="Hyperlink"/>
          </w:rPr>
          <w:t>the</w:t>
        </w:r>
        <w:r w:rsidR="0078615E" w:rsidRPr="19D534DB">
          <w:rPr>
            <w:rStyle w:val="Hyperlink"/>
          </w:rPr>
          <w:t xml:space="preserve"> </w:t>
        </w:r>
        <w:r w:rsidR="00AD5E59" w:rsidRPr="19D534DB">
          <w:rPr>
            <w:rStyle w:val="Hyperlink"/>
          </w:rPr>
          <w:t>Archive</w:t>
        </w:r>
      </w:hyperlink>
      <w:r w:rsidR="00FF0DC2" w:rsidRPr="19D534DB">
        <w:rPr>
          <w:rStyle w:val="outlook-search-highlight"/>
          <w:color w:val="212121"/>
        </w:rPr>
        <w:t>,</w:t>
      </w:r>
      <w:r w:rsidR="00AD5E59" w:rsidRPr="19D534DB">
        <w:rPr>
          <w:color w:val="212121"/>
        </w:rPr>
        <w:t xml:space="preserve">) </w:t>
      </w:r>
      <w:r w:rsidR="00B649B9" w:rsidRPr="19D534DB">
        <w:rPr>
          <w:color w:val="212121"/>
        </w:rPr>
        <w:t xml:space="preserve">with a view to preparing it for </w:t>
      </w:r>
      <w:r w:rsidR="00AD5E59" w:rsidRPr="19D534DB">
        <w:rPr>
          <w:color w:val="212121"/>
        </w:rPr>
        <w:t xml:space="preserve">digitisation. This </w:t>
      </w:r>
      <w:r w:rsidR="00B649B9" w:rsidRPr="19D534DB">
        <w:rPr>
          <w:color w:val="212121"/>
        </w:rPr>
        <w:t xml:space="preserve">process </w:t>
      </w:r>
      <w:r w:rsidR="00AD5E59" w:rsidRPr="19D534DB">
        <w:rPr>
          <w:color w:val="212121"/>
        </w:rPr>
        <w:t>include</w:t>
      </w:r>
      <w:r w:rsidR="00B649B9" w:rsidRPr="19D534DB">
        <w:rPr>
          <w:color w:val="212121"/>
        </w:rPr>
        <w:t>d</w:t>
      </w:r>
      <w:r w:rsidR="00AD5E59" w:rsidRPr="19D534DB">
        <w:rPr>
          <w:color w:val="212121"/>
        </w:rPr>
        <w:t xml:space="preserve"> weeding, </w:t>
      </w:r>
      <w:r w:rsidR="002B6D16">
        <w:rPr>
          <w:color w:val="212121"/>
        </w:rPr>
        <w:t>looking at</w:t>
      </w:r>
      <w:r w:rsidR="00AD5E59" w:rsidRPr="19D534DB">
        <w:rPr>
          <w:color w:val="212121"/>
        </w:rPr>
        <w:t xml:space="preserve"> copyright, creating a digital management plan, identifying items for digitisation, tracking permissions, cataloguing and re-boxing. </w:t>
      </w:r>
      <w:r w:rsidR="00B649B9" w:rsidRPr="19D534DB">
        <w:rPr>
          <w:color w:val="212121"/>
        </w:rPr>
        <w:t xml:space="preserve">A </w:t>
      </w:r>
      <w:r w:rsidR="00BA080A" w:rsidRPr="19D534DB">
        <w:rPr>
          <w:color w:val="212121"/>
        </w:rPr>
        <w:t xml:space="preserve">more detailed </w:t>
      </w:r>
      <w:r w:rsidR="00B649B9" w:rsidRPr="19D534DB">
        <w:rPr>
          <w:color w:val="212121"/>
        </w:rPr>
        <w:t xml:space="preserve">report </w:t>
      </w:r>
      <w:r w:rsidR="00BA080A" w:rsidRPr="19D534DB">
        <w:rPr>
          <w:color w:val="212121"/>
        </w:rPr>
        <w:t xml:space="preserve">on the next steps is </w:t>
      </w:r>
      <w:r w:rsidR="00BA080A" w:rsidRPr="00D72A0F">
        <w:rPr>
          <w:color w:val="212121"/>
        </w:rPr>
        <w:t xml:space="preserve">available in Appendix </w:t>
      </w:r>
      <w:r w:rsidR="00550543" w:rsidRPr="00D72A0F">
        <w:rPr>
          <w:color w:val="212121"/>
        </w:rPr>
        <w:t>8</w:t>
      </w:r>
      <w:r w:rsidR="00AD5E59" w:rsidRPr="00D72A0F">
        <w:rPr>
          <w:color w:val="212121"/>
        </w:rPr>
        <w:t>.</w:t>
      </w:r>
    </w:p>
    <w:p w14:paraId="63A8634A" w14:textId="7DBD2B0B" w:rsidR="00FF0DC2" w:rsidRDefault="00350A50" w:rsidP="00EB11F2">
      <w:pPr>
        <w:spacing w:line="259" w:lineRule="auto"/>
        <w:ind w:firstLine="720"/>
        <w:rPr>
          <w:rFonts w:ascii="Calibri" w:eastAsia="Calibri" w:hAnsi="Calibri" w:cs="Calibri"/>
          <w:color w:val="000000" w:themeColor="text1"/>
        </w:rPr>
      </w:pPr>
      <w:r w:rsidRPr="00891F88">
        <w:rPr>
          <w:rFonts w:ascii="Calibri" w:eastAsia="Calibri" w:hAnsi="Calibri" w:cs="Calibri"/>
          <w:color w:val="000000" w:themeColor="text1"/>
        </w:rPr>
        <w:t>The second aspect concern</w:t>
      </w:r>
      <w:r w:rsidR="00940FDC">
        <w:rPr>
          <w:rFonts w:ascii="Calibri" w:eastAsia="Calibri" w:hAnsi="Calibri" w:cs="Calibri"/>
          <w:color w:val="000000" w:themeColor="text1"/>
        </w:rPr>
        <w:t>ed</w:t>
      </w:r>
      <w:r w:rsidRPr="00891F88">
        <w:rPr>
          <w:rFonts w:ascii="Calibri" w:eastAsia="Calibri" w:hAnsi="Calibri" w:cs="Calibri"/>
          <w:color w:val="000000" w:themeColor="text1"/>
        </w:rPr>
        <w:t xml:space="preserve"> improving access to institutional records, either directly or through curated and mediated contexts, to help communities, researchers and students get to grips with the evidence base which tells the </w:t>
      </w:r>
      <w:r w:rsidR="00203CF0">
        <w:rPr>
          <w:rFonts w:ascii="Calibri" w:eastAsia="Calibri" w:hAnsi="Calibri" w:cs="Calibri"/>
          <w:color w:val="000000" w:themeColor="text1"/>
        </w:rPr>
        <w:t>long</w:t>
      </w:r>
      <w:r w:rsidRPr="00891F88">
        <w:rPr>
          <w:rFonts w:ascii="Calibri" w:eastAsia="Calibri" w:hAnsi="Calibri" w:cs="Calibri"/>
          <w:color w:val="000000" w:themeColor="text1"/>
        </w:rPr>
        <w:t xml:space="preserve"> history of the </w:t>
      </w:r>
      <w:r w:rsidR="00203CF0">
        <w:rPr>
          <w:rFonts w:ascii="Calibri" w:eastAsia="Calibri" w:hAnsi="Calibri" w:cs="Calibri"/>
          <w:color w:val="000000" w:themeColor="text1"/>
        </w:rPr>
        <w:t>University’s links to enslavement, colonialism and the development of racial thought</w:t>
      </w:r>
      <w:r w:rsidRPr="00891F88">
        <w:rPr>
          <w:rFonts w:ascii="Calibri" w:eastAsia="Calibri" w:hAnsi="Calibri" w:cs="Calibri"/>
          <w:color w:val="000000" w:themeColor="text1"/>
        </w:rPr>
        <w:t>.</w:t>
      </w:r>
      <w:r w:rsidRPr="00891F88" w:rsidDel="00B46724">
        <w:rPr>
          <w:rFonts w:ascii="Calibri" w:eastAsia="Calibri" w:hAnsi="Calibri" w:cs="Calibri"/>
          <w:color w:val="000000" w:themeColor="text1"/>
        </w:rPr>
        <w:t xml:space="preserve"> </w:t>
      </w:r>
      <w:r w:rsidRPr="00891F88">
        <w:rPr>
          <w:rFonts w:ascii="Calibri" w:eastAsia="Calibri" w:hAnsi="Calibri" w:cs="Calibri"/>
          <w:color w:val="000000" w:themeColor="text1"/>
        </w:rPr>
        <w:t>A business case entitled ‘Race, Repatriation and University Histories’ has</w:t>
      </w:r>
      <w:r w:rsidR="00940FDC">
        <w:rPr>
          <w:rFonts w:ascii="Calibri" w:eastAsia="Calibri" w:hAnsi="Calibri" w:cs="Calibri"/>
          <w:color w:val="000000" w:themeColor="text1"/>
        </w:rPr>
        <w:t xml:space="preserve"> already</w:t>
      </w:r>
      <w:r w:rsidRPr="00891F88">
        <w:rPr>
          <w:rFonts w:ascii="Calibri" w:eastAsia="Calibri" w:hAnsi="Calibri" w:cs="Calibri"/>
          <w:color w:val="000000" w:themeColor="text1"/>
        </w:rPr>
        <w:t xml:space="preserve"> been made by the C</w:t>
      </w:r>
      <w:r w:rsidR="00B46724">
        <w:rPr>
          <w:rFonts w:ascii="Calibri" w:eastAsia="Calibri" w:hAnsi="Calibri" w:cs="Calibri"/>
          <w:color w:val="000000" w:themeColor="text1"/>
        </w:rPr>
        <w:t>entre for Research Collections</w:t>
      </w:r>
      <w:r w:rsidRPr="00891F88">
        <w:rPr>
          <w:rFonts w:ascii="Calibri" w:eastAsia="Calibri" w:hAnsi="Calibri" w:cs="Calibri"/>
          <w:color w:val="000000" w:themeColor="text1"/>
        </w:rPr>
        <w:t>, which point</w:t>
      </w:r>
      <w:r w:rsidR="00940FDC">
        <w:rPr>
          <w:rFonts w:ascii="Calibri" w:eastAsia="Calibri" w:hAnsi="Calibri" w:cs="Calibri"/>
          <w:color w:val="000000" w:themeColor="text1"/>
        </w:rPr>
        <w:t>ed</w:t>
      </w:r>
      <w:r w:rsidRPr="00891F88">
        <w:rPr>
          <w:rFonts w:ascii="Calibri" w:eastAsia="Calibri" w:hAnsi="Calibri" w:cs="Calibri"/>
          <w:color w:val="000000" w:themeColor="text1"/>
        </w:rPr>
        <w:t xml:space="preserve"> to the need for significant investment in human resourcing to improve access to</w:t>
      </w:r>
      <w:r w:rsidR="00C32D75">
        <w:rPr>
          <w:rFonts w:ascii="Calibri" w:eastAsia="Calibri" w:hAnsi="Calibri" w:cs="Calibri"/>
          <w:color w:val="000000" w:themeColor="text1"/>
        </w:rPr>
        <w:t xml:space="preserve"> </w:t>
      </w:r>
      <w:r w:rsidR="00B46724">
        <w:rPr>
          <w:rFonts w:ascii="Calibri" w:eastAsia="Calibri" w:hAnsi="Calibri" w:cs="Calibri"/>
          <w:color w:val="000000" w:themeColor="text1"/>
        </w:rPr>
        <w:t>U</w:t>
      </w:r>
      <w:r w:rsidRPr="00891F88">
        <w:rPr>
          <w:rFonts w:ascii="Calibri" w:eastAsia="Calibri" w:hAnsi="Calibri" w:cs="Calibri"/>
          <w:color w:val="000000" w:themeColor="text1"/>
        </w:rPr>
        <w:t xml:space="preserve">niversity records, </w:t>
      </w:r>
      <w:r w:rsidR="00C32D75">
        <w:rPr>
          <w:rFonts w:ascii="Calibri" w:eastAsia="Calibri" w:hAnsi="Calibri" w:cs="Calibri"/>
          <w:color w:val="000000" w:themeColor="text1"/>
        </w:rPr>
        <w:t xml:space="preserve">for example through digitisation, </w:t>
      </w:r>
      <w:r w:rsidRPr="00891F88">
        <w:rPr>
          <w:rFonts w:ascii="Calibri" w:eastAsia="Calibri" w:hAnsi="Calibri" w:cs="Calibri"/>
          <w:color w:val="000000" w:themeColor="text1"/>
        </w:rPr>
        <w:t xml:space="preserve">including its links to slavery and colonialism. </w:t>
      </w:r>
      <w:r w:rsidRPr="19D534DB">
        <w:rPr>
          <w:rFonts w:ascii="Calibri" w:eastAsia="Calibri" w:hAnsi="Calibri" w:cs="Calibri"/>
          <w:color w:val="000000" w:themeColor="text1"/>
        </w:rPr>
        <w:t>Th</w:t>
      </w:r>
      <w:r w:rsidR="3E525A50" w:rsidRPr="19D534DB">
        <w:rPr>
          <w:rFonts w:ascii="Calibri" w:eastAsia="Calibri" w:hAnsi="Calibri" w:cs="Calibri"/>
          <w:color w:val="000000" w:themeColor="text1"/>
        </w:rPr>
        <w:t>is</w:t>
      </w:r>
      <w:r w:rsidRPr="00891F88">
        <w:rPr>
          <w:rFonts w:ascii="Calibri" w:eastAsia="Calibri" w:hAnsi="Calibri" w:cs="Calibri"/>
          <w:color w:val="000000" w:themeColor="text1"/>
        </w:rPr>
        <w:t xml:space="preserve"> includes </w:t>
      </w:r>
      <w:r w:rsidR="00B46724">
        <w:rPr>
          <w:rFonts w:ascii="Calibri" w:eastAsia="Calibri" w:hAnsi="Calibri" w:cs="Calibri"/>
          <w:color w:val="000000" w:themeColor="text1"/>
        </w:rPr>
        <w:t xml:space="preserve">requests for </w:t>
      </w:r>
      <w:r w:rsidRPr="00891F88">
        <w:rPr>
          <w:rFonts w:ascii="Calibri" w:eastAsia="Calibri" w:hAnsi="Calibri" w:cs="Calibri"/>
          <w:color w:val="000000" w:themeColor="text1"/>
        </w:rPr>
        <w:t xml:space="preserve">the creation of several new posts, such as a </w:t>
      </w:r>
      <w:r w:rsidR="00BA0049">
        <w:rPr>
          <w:rFonts w:ascii="Calibri" w:eastAsia="Calibri" w:hAnsi="Calibri" w:cs="Calibri"/>
          <w:color w:val="000000" w:themeColor="text1"/>
        </w:rPr>
        <w:t>U</w:t>
      </w:r>
      <w:r w:rsidRPr="00891F88">
        <w:rPr>
          <w:rFonts w:ascii="Calibri" w:eastAsia="Calibri" w:hAnsi="Calibri" w:cs="Calibri"/>
          <w:color w:val="000000" w:themeColor="text1"/>
        </w:rPr>
        <w:t xml:space="preserve">niversity </w:t>
      </w:r>
      <w:r w:rsidR="00BA0049">
        <w:rPr>
          <w:rFonts w:ascii="Calibri" w:eastAsia="Calibri" w:hAnsi="Calibri" w:cs="Calibri"/>
          <w:color w:val="000000" w:themeColor="text1"/>
        </w:rPr>
        <w:t>H</w:t>
      </w:r>
      <w:r w:rsidRPr="00891F88">
        <w:rPr>
          <w:rFonts w:ascii="Calibri" w:eastAsia="Calibri" w:hAnsi="Calibri" w:cs="Calibri"/>
          <w:color w:val="000000" w:themeColor="text1"/>
        </w:rPr>
        <w:t xml:space="preserve">istorian and a </w:t>
      </w:r>
      <w:r w:rsidR="00FF0DC2">
        <w:rPr>
          <w:rFonts w:ascii="Calibri" w:eastAsia="Calibri" w:hAnsi="Calibri" w:cs="Calibri"/>
          <w:color w:val="000000" w:themeColor="text1"/>
        </w:rPr>
        <w:t>r</w:t>
      </w:r>
      <w:r w:rsidRPr="00891F88">
        <w:rPr>
          <w:rFonts w:ascii="Calibri" w:eastAsia="Calibri" w:hAnsi="Calibri" w:cs="Calibri"/>
          <w:color w:val="000000" w:themeColor="text1"/>
        </w:rPr>
        <w:t xml:space="preserve">epatriation and </w:t>
      </w:r>
      <w:r w:rsidR="00FF0DC2">
        <w:rPr>
          <w:rFonts w:ascii="Calibri" w:eastAsia="Calibri" w:hAnsi="Calibri" w:cs="Calibri"/>
          <w:color w:val="000000" w:themeColor="text1"/>
        </w:rPr>
        <w:t>c</w:t>
      </w:r>
      <w:r w:rsidRPr="00891F88">
        <w:rPr>
          <w:rFonts w:ascii="Calibri" w:eastAsia="Calibri" w:hAnsi="Calibri" w:cs="Calibri"/>
          <w:color w:val="000000" w:themeColor="text1"/>
        </w:rPr>
        <w:t xml:space="preserve">ommunity </w:t>
      </w:r>
      <w:r w:rsidR="00FF0DC2">
        <w:rPr>
          <w:rFonts w:ascii="Calibri" w:eastAsia="Calibri" w:hAnsi="Calibri" w:cs="Calibri"/>
          <w:color w:val="000000" w:themeColor="text1"/>
        </w:rPr>
        <w:t>e</w:t>
      </w:r>
      <w:r w:rsidRPr="00891F88">
        <w:rPr>
          <w:rFonts w:ascii="Calibri" w:eastAsia="Calibri" w:hAnsi="Calibri" w:cs="Calibri"/>
          <w:color w:val="000000" w:themeColor="text1"/>
        </w:rPr>
        <w:t>ngagement specialist.</w:t>
      </w:r>
    </w:p>
    <w:p w14:paraId="02C81836" w14:textId="4E19DD01" w:rsidR="008F225B" w:rsidRDefault="00773F7C" w:rsidP="00EB11F2">
      <w:pPr>
        <w:spacing w:line="259" w:lineRule="auto"/>
        <w:ind w:firstLine="720"/>
        <w:rPr>
          <w:rFonts w:ascii="Calibri" w:eastAsia="Times New Roman" w:hAnsi="Calibri" w:cs="Calibri"/>
          <w:lang w:eastAsia="en-GB"/>
        </w:rPr>
      </w:pPr>
      <w:r w:rsidRPr="0017357E">
        <w:rPr>
          <w:rFonts w:ascii="Calibri" w:eastAsia="Calibri" w:hAnsi="Calibri" w:cs="Calibri"/>
          <w:color w:val="000000" w:themeColor="text1"/>
        </w:rPr>
        <w:t xml:space="preserve">Complementing this work, </w:t>
      </w:r>
      <w:r w:rsidR="00FF0DC2">
        <w:rPr>
          <w:rFonts w:ascii="Calibri" w:eastAsia="Calibri" w:hAnsi="Calibri" w:cs="Calibri"/>
          <w:color w:val="000000" w:themeColor="text1"/>
        </w:rPr>
        <w:t>the REWG collaborated</w:t>
      </w:r>
      <w:r w:rsidRPr="0017357E">
        <w:rPr>
          <w:rFonts w:ascii="Calibri" w:eastAsia="Calibri" w:hAnsi="Calibri" w:cs="Calibri"/>
          <w:color w:val="000000" w:themeColor="text1"/>
        </w:rPr>
        <w:t xml:space="preserve"> </w:t>
      </w:r>
      <w:r w:rsidRPr="00E33B85">
        <w:rPr>
          <w:rFonts w:eastAsia="Calibri" w:cstheme="minorHAnsi"/>
          <w:color w:val="000000" w:themeColor="text1"/>
        </w:rPr>
        <w:t>with</w:t>
      </w:r>
      <w:r w:rsidR="00FF0DC2" w:rsidRPr="00E33B85">
        <w:rPr>
          <w:rFonts w:eastAsia="Calibri" w:cstheme="minorHAnsi"/>
          <w:color w:val="000000" w:themeColor="text1"/>
        </w:rPr>
        <w:t xml:space="preserve"> </w:t>
      </w:r>
      <w:hyperlink r:id="rId147" w:history="1">
        <w:r w:rsidR="00123AD0" w:rsidRPr="00E33B85">
          <w:rPr>
            <w:rStyle w:val="Hyperlink"/>
            <w:rFonts w:eastAsia="Calibri" w:cstheme="minorHAnsi"/>
          </w:rPr>
          <w:t>Decolonising the Archive</w:t>
        </w:r>
      </w:hyperlink>
      <w:r w:rsidR="00172020" w:rsidRPr="00E33B85">
        <w:rPr>
          <w:rFonts w:eastAsia="Calibri" w:cstheme="minorHAnsi"/>
          <w:color w:val="000000" w:themeColor="text1"/>
        </w:rPr>
        <w:t xml:space="preserve">, a London-based </w:t>
      </w:r>
      <w:r w:rsidR="00CA0DE2" w:rsidRPr="00E33B85">
        <w:rPr>
          <w:rFonts w:eastAsia="Calibri" w:cstheme="minorHAnsi"/>
          <w:color w:val="000000" w:themeColor="text1"/>
        </w:rPr>
        <w:t>organisation</w:t>
      </w:r>
      <w:r w:rsidR="00CA0DE2">
        <w:rPr>
          <w:rFonts w:eastAsia="Calibri" w:cstheme="minorHAnsi"/>
          <w:color w:val="000000" w:themeColor="text1"/>
        </w:rPr>
        <w:t xml:space="preserve"> </w:t>
      </w:r>
      <w:r w:rsidR="00CA0DE2" w:rsidRPr="005F597E">
        <w:rPr>
          <w:rFonts w:eastAsia="Calibri" w:cstheme="minorHAnsi"/>
          <w:color w:val="000000" w:themeColor="text1"/>
        </w:rPr>
        <w:t>that ‘seeks to facilitate heritage-based therapeutic interventions for people of African heritage rooted in our archives, cultural principles and technologies’</w:t>
      </w:r>
      <w:r w:rsidR="00CA0DE2" w:rsidRPr="00E33B85">
        <w:rPr>
          <w:rFonts w:cstheme="minorHAnsi"/>
          <w:color w:val="171616"/>
          <w:spacing w:val="6"/>
          <w:shd w:val="clear" w:color="auto" w:fill="FFFFFF"/>
        </w:rPr>
        <w:t>.</w:t>
      </w:r>
      <w:r w:rsidR="00CA0DE2" w:rsidRPr="00E33B85">
        <w:rPr>
          <w:rStyle w:val="FootnoteReference"/>
          <w:rFonts w:cstheme="minorHAnsi"/>
          <w:color w:val="171616"/>
          <w:spacing w:val="6"/>
          <w:shd w:val="clear" w:color="auto" w:fill="FFFFFF"/>
        </w:rPr>
        <w:footnoteReference w:id="221"/>
      </w:r>
      <w:r w:rsidR="00CA0DE2" w:rsidRPr="00E33B85">
        <w:rPr>
          <w:rFonts w:cstheme="minorHAnsi"/>
          <w:color w:val="171616"/>
          <w:spacing w:val="6"/>
          <w:shd w:val="clear" w:color="auto" w:fill="FFFFFF"/>
        </w:rPr>
        <w:t xml:space="preserve"> </w:t>
      </w:r>
      <w:r w:rsidR="00976EA5" w:rsidRPr="00E33B85">
        <w:rPr>
          <w:rFonts w:cstheme="minorHAnsi"/>
          <w:color w:val="171616"/>
          <w:spacing w:val="6"/>
          <w:shd w:val="clear" w:color="auto" w:fill="FFFFFF"/>
        </w:rPr>
        <w:t xml:space="preserve">This organisation </w:t>
      </w:r>
      <w:r w:rsidRPr="00E33B85">
        <w:rPr>
          <w:rFonts w:eastAsia="Calibri" w:cstheme="minorHAnsi"/>
          <w:color w:val="000000" w:themeColor="text1"/>
        </w:rPr>
        <w:t>offer</w:t>
      </w:r>
      <w:r w:rsidR="00976EA5">
        <w:rPr>
          <w:rFonts w:eastAsia="Calibri" w:cstheme="minorHAnsi"/>
          <w:color w:val="000000" w:themeColor="text1"/>
        </w:rPr>
        <w:t>ed</w:t>
      </w:r>
      <w:r w:rsidRPr="00E33B85">
        <w:rPr>
          <w:rFonts w:eastAsia="Calibri" w:cstheme="minorHAnsi"/>
          <w:color w:val="000000" w:themeColor="text1"/>
        </w:rPr>
        <w:t xml:space="preserve"> activists and/or community representatives the opportunity to take part in </w:t>
      </w:r>
      <w:r w:rsidR="0057466D" w:rsidRPr="00E33B85">
        <w:rPr>
          <w:rFonts w:eastAsia="Calibri" w:cstheme="minorHAnsi"/>
          <w:color w:val="000000" w:themeColor="text1"/>
        </w:rPr>
        <w:t xml:space="preserve">a </w:t>
      </w:r>
      <w:r w:rsidRPr="00E33B85">
        <w:rPr>
          <w:rFonts w:eastAsia="Calibri" w:cstheme="minorHAnsi"/>
          <w:color w:val="000000" w:themeColor="text1"/>
        </w:rPr>
        <w:t xml:space="preserve">short </w:t>
      </w:r>
      <w:r w:rsidR="0057466D" w:rsidRPr="00E33B85">
        <w:rPr>
          <w:rFonts w:eastAsia="Calibri" w:cstheme="minorHAnsi"/>
          <w:color w:val="000000" w:themeColor="text1"/>
        </w:rPr>
        <w:t>four-day</w:t>
      </w:r>
      <w:r w:rsidRPr="00E33B85">
        <w:rPr>
          <w:rFonts w:eastAsia="Calibri" w:cstheme="minorHAnsi"/>
          <w:color w:val="000000" w:themeColor="text1"/>
        </w:rPr>
        <w:t xml:space="preserve"> archival training</w:t>
      </w:r>
      <w:r w:rsidRPr="0017357E">
        <w:rPr>
          <w:rFonts w:ascii="Calibri" w:eastAsia="Calibri" w:hAnsi="Calibri" w:cs="Calibri"/>
          <w:color w:val="000000" w:themeColor="text1"/>
        </w:rPr>
        <w:t xml:space="preserve"> programme. </w:t>
      </w:r>
      <w:r w:rsidR="00D07AB0" w:rsidRPr="00891F88">
        <w:rPr>
          <w:rFonts w:ascii="Calibri" w:eastAsia="Times New Roman" w:hAnsi="Calibri" w:cs="Calibri"/>
          <w:lang w:eastAsia="en-GB"/>
        </w:rPr>
        <w:t>The bespoke ‘</w:t>
      </w:r>
      <w:hyperlink r:id="rId148" w:history="1">
        <w:r w:rsidR="00D07AB0" w:rsidRPr="00B8563C">
          <w:rPr>
            <w:rStyle w:val="Hyperlink"/>
            <w:rFonts w:ascii="Calibri" w:eastAsia="Times New Roman" w:hAnsi="Calibri" w:cs="Calibri"/>
            <w:lang w:eastAsia="en-GB"/>
          </w:rPr>
          <w:t>Correcting our Collecting</w:t>
        </w:r>
      </w:hyperlink>
      <w:r w:rsidR="00D07AB0" w:rsidRPr="00891F88">
        <w:rPr>
          <w:rFonts w:ascii="Calibri" w:eastAsia="Times New Roman" w:hAnsi="Calibri" w:cs="Calibri"/>
          <w:lang w:eastAsia="en-GB"/>
        </w:rPr>
        <w:t>’ course focused on African heritage archiving, offering an insightful introduction to the skills needed for creating, curating, preserving and engaging with archives from African heritage</w:t>
      </w:r>
      <w:r w:rsidR="00DF165F">
        <w:rPr>
          <w:rFonts w:ascii="Calibri" w:eastAsia="Times New Roman" w:hAnsi="Calibri" w:cs="Calibri"/>
          <w:lang w:eastAsia="en-GB"/>
        </w:rPr>
        <w:t xml:space="preserve"> and decolonial</w:t>
      </w:r>
      <w:r w:rsidR="00D07AB0" w:rsidRPr="00891F88">
        <w:rPr>
          <w:rFonts w:ascii="Calibri" w:eastAsia="Times New Roman" w:hAnsi="Calibri" w:cs="Calibri"/>
          <w:lang w:eastAsia="en-GB"/>
        </w:rPr>
        <w:t xml:space="preserve"> perspective</w:t>
      </w:r>
      <w:r w:rsidR="00DF165F">
        <w:rPr>
          <w:rFonts w:ascii="Calibri" w:eastAsia="Times New Roman" w:hAnsi="Calibri" w:cs="Calibri"/>
          <w:lang w:eastAsia="en-GB"/>
        </w:rPr>
        <w:t>s</w:t>
      </w:r>
      <w:r w:rsidR="00D07AB0">
        <w:rPr>
          <w:rFonts w:ascii="Calibri" w:eastAsia="Times New Roman" w:hAnsi="Calibri" w:cs="Calibri"/>
          <w:lang w:eastAsia="en-GB"/>
        </w:rPr>
        <w:t>.</w:t>
      </w:r>
      <w:r w:rsidR="00D07AB0" w:rsidRPr="00891F88">
        <w:rPr>
          <w:rStyle w:val="FootnoteReference"/>
          <w:rFonts w:ascii="Calibri" w:hAnsi="Calibri" w:cs="Calibri"/>
        </w:rPr>
        <w:footnoteReference w:id="222"/>
      </w:r>
      <w:r w:rsidR="00D07AB0" w:rsidRPr="00891F88">
        <w:rPr>
          <w:rFonts w:ascii="Calibri" w:eastAsia="Times New Roman" w:hAnsi="Calibri" w:cs="Calibri"/>
          <w:lang w:eastAsia="en-GB"/>
        </w:rPr>
        <w:t xml:space="preserve"> </w:t>
      </w:r>
      <w:r w:rsidR="00E41CF5">
        <w:rPr>
          <w:rFonts w:ascii="Calibri" w:eastAsia="Times New Roman" w:hAnsi="Calibri" w:cs="Calibri"/>
          <w:lang w:eastAsia="en-GB"/>
        </w:rPr>
        <w:t xml:space="preserve">The course was run by </w:t>
      </w:r>
      <w:r w:rsidR="00C72AEB">
        <w:rPr>
          <w:rFonts w:ascii="Calibri" w:eastAsia="Times New Roman" w:hAnsi="Calibri" w:cs="Calibri"/>
          <w:lang w:eastAsia="en-GB"/>
        </w:rPr>
        <w:t>two</w:t>
      </w:r>
      <w:r w:rsidR="00E41CF5">
        <w:rPr>
          <w:rFonts w:ascii="Calibri" w:eastAsia="Times New Roman" w:hAnsi="Calibri" w:cs="Calibri"/>
          <w:lang w:eastAsia="en-GB"/>
        </w:rPr>
        <w:t xml:space="preserve"> </w:t>
      </w:r>
      <w:r w:rsidR="00976EA5">
        <w:rPr>
          <w:rFonts w:ascii="Calibri" w:eastAsia="Times New Roman" w:hAnsi="Calibri" w:cs="Calibri"/>
          <w:lang w:eastAsia="en-GB"/>
        </w:rPr>
        <w:t>Decolonising the Archive</w:t>
      </w:r>
      <w:r w:rsidR="00D07AB0" w:rsidRPr="00891F88">
        <w:rPr>
          <w:rFonts w:ascii="Calibri" w:eastAsia="Times New Roman" w:hAnsi="Calibri" w:cs="Calibri"/>
          <w:lang w:eastAsia="en-GB"/>
        </w:rPr>
        <w:t xml:space="preserve"> facilitators</w:t>
      </w:r>
      <w:r w:rsidR="00C72AEB">
        <w:rPr>
          <w:rFonts w:ascii="Calibri" w:eastAsia="Times New Roman" w:hAnsi="Calibri" w:cs="Calibri"/>
          <w:lang w:eastAsia="en-GB"/>
        </w:rPr>
        <w:t>,</w:t>
      </w:r>
      <w:r w:rsidR="00D07AB0" w:rsidRPr="00891F88">
        <w:rPr>
          <w:rFonts w:ascii="Calibri" w:eastAsia="Times New Roman" w:hAnsi="Calibri" w:cs="Calibri"/>
          <w:lang w:eastAsia="en-GB"/>
        </w:rPr>
        <w:t xml:space="preserve"> Connie Bell and Etienne Joseph. </w:t>
      </w:r>
      <w:r w:rsidR="00DF165F">
        <w:rPr>
          <w:rFonts w:ascii="Calibri" w:eastAsia="Times New Roman" w:hAnsi="Calibri" w:cs="Calibri"/>
          <w:lang w:eastAsia="en-GB"/>
        </w:rPr>
        <w:t>Two</w:t>
      </w:r>
      <w:r w:rsidR="00D07AB0" w:rsidRPr="00891F88">
        <w:rPr>
          <w:rFonts w:ascii="Calibri" w:eastAsia="Times New Roman" w:hAnsi="Calibri" w:cs="Calibri"/>
          <w:lang w:eastAsia="en-GB"/>
        </w:rPr>
        <w:t xml:space="preserve"> days </w:t>
      </w:r>
      <w:r w:rsidR="00DF165F">
        <w:rPr>
          <w:rFonts w:ascii="Calibri" w:eastAsia="Times New Roman" w:hAnsi="Calibri" w:cs="Calibri"/>
          <w:lang w:eastAsia="en-GB"/>
        </w:rPr>
        <w:t xml:space="preserve">were </w:t>
      </w:r>
      <w:r w:rsidR="00D07AB0" w:rsidRPr="00891F88">
        <w:rPr>
          <w:rFonts w:ascii="Calibri" w:eastAsia="Times New Roman" w:hAnsi="Calibri" w:cs="Calibri"/>
          <w:lang w:eastAsia="en-GB"/>
        </w:rPr>
        <w:t>held in Edinburgh (2</w:t>
      </w:r>
      <w:r w:rsidR="00DF165F">
        <w:rPr>
          <w:rFonts w:ascii="Calibri" w:eastAsia="Times New Roman" w:hAnsi="Calibri" w:cs="Calibri"/>
          <w:lang w:eastAsia="en-GB"/>
        </w:rPr>
        <w:t>–3</w:t>
      </w:r>
      <w:r w:rsidR="00D07AB0" w:rsidRPr="00891F88">
        <w:rPr>
          <w:rFonts w:ascii="Calibri" w:eastAsia="Times New Roman" w:hAnsi="Calibri" w:cs="Calibri"/>
          <w:lang w:eastAsia="en-GB"/>
        </w:rPr>
        <w:t xml:space="preserve"> September</w:t>
      </w:r>
      <w:r w:rsidR="00DF165F">
        <w:rPr>
          <w:rFonts w:ascii="Calibri" w:eastAsia="Times New Roman" w:hAnsi="Calibri" w:cs="Calibri"/>
          <w:lang w:eastAsia="en-GB"/>
        </w:rPr>
        <w:t xml:space="preserve"> 2024</w:t>
      </w:r>
      <w:r w:rsidR="00D07AB0" w:rsidRPr="00891F88">
        <w:rPr>
          <w:rFonts w:ascii="Calibri" w:eastAsia="Times New Roman" w:hAnsi="Calibri" w:cs="Calibri"/>
          <w:lang w:eastAsia="en-GB"/>
        </w:rPr>
        <w:t>) and two in London (14</w:t>
      </w:r>
      <w:r w:rsidR="00DF165F">
        <w:rPr>
          <w:rFonts w:ascii="Calibri" w:eastAsia="Times New Roman" w:hAnsi="Calibri" w:cs="Calibri"/>
          <w:lang w:eastAsia="en-GB"/>
        </w:rPr>
        <w:t>–</w:t>
      </w:r>
      <w:r w:rsidR="00D07AB0" w:rsidRPr="00891F88">
        <w:rPr>
          <w:rFonts w:ascii="Calibri" w:eastAsia="Times New Roman" w:hAnsi="Calibri" w:cs="Calibri"/>
          <w:lang w:eastAsia="en-GB"/>
        </w:rPr>
        <w:t>15 September). The Edinburgh sessions included a visit to the Centre for Research Collections, offering initial exposure to archival material and a foundational understanding of key archival practices</w:t>
      </w:r>
      <w:r w:rsidR="00FE1F6B">
        <w:rPr>
          <w:rFonts w:ascii="Calibri" w:eastAsia="Times New Roman" w:hAnsi="Calibri" w:cs="Calibri"/>
          <w:lang w:eastAsia="en-GB"/>
        </w:rPr>
        <w:t xml:space="preserve">. This was followed by a day at </w:t>
      </w:r>
      <w:r w:rsidR="00D07AB0" w:rsidRPr="00891F88">
        <w:rPr>
          <w:rFonts w:ascii="Calibri" w:eastAsia="Times New Roman" w:hAnsi="Calibri" w:cs="Calibri"/>
          <w:lang w:eastAsia="en-GB"/>
        </w:rPr>
        <w:t xml:space="preserve">the </w:t>
      </w:r>
      <w:r w:rsidR="00D07AB0" w:rsidRPr="00891F88">
        <w:rPr>
          <w:rFonts w:ascii="Calibri" w:eastAsia="Times New Roman" w:hAnsi="Calibri" w:cs="Calibri"/>
          <w:lang w:eastAsia="en-GB"/>
        </w:rPr>
        <w:lastRenderedPageBreak/>
        <w:t xml:space="preserve">Institute for Advanced Studies in the Humanities </w:t>
      </w:r>
      <w:r w:rsidR="00FE1F6B">
        <w:rPr>
          <w:rFonts w:ascii="Calibri" w:eastAsia="Times New Roman" w:hAnsi="Calibri" w:cs="Calibri"/>
          <w:lang w:eastAsia="en-GB"/>
        </w:rPr>
        <w:t xml:space="preserve">that </w:t>
      </w:r>
      <w:r w:rsidR="00D07AB0" w:rsidRPr="00891F88">
        <w:rPr>
          <w:rFonts w:ascii="Calibri" w:eastAsia="Times New Roman" w:hAnsi="Calibri" w:cs="Calibri"/>
          <w:lang w:eastAsia="en-GB"/>
        </w:rPr>
        <w:t>focused on decolonial perspectives, where participants reflected on critical questions</w:t>
      </w:r>
      <w:r w:rsidR="00FE1F6B">
        <w:rPr>
          <w:rFonts w:ascii="Calibri" w:eastAsia="Times New Roman" w:hAnsi="Calibri" w:cs="Calibri"/>
          <w:lang w:eastAsia="en-GB"/>
        </w:rPr>
        <w:t>,</w:t>
      </w:r>
      <w:r w:rsidR="00D07AB0" w:rsidRPr="00891F88">
        <w:rPr>
          <w:rFonts w:ascii="Calibri" w:eastAsia="Times New Roman" w:hAnsi="Calibri" w:cs="Calibri"/>
          <w:lang w:eastAsia="en-GB"/>
        </w:rPr>
        <w:t xml:space="preserve"> such as the relationship between memory and culture</w:t>
      </w:r>
      <w:r w:rsidR="000C799E">
        <w:rPr>
          <w:rFonts w:ascii="Calibri" w:eastAsia="Times New Roman" w:hAnsi="Calibri" w:cs="Calibri"/>
          <w:lang w:eastAsia="en-GB"/>
        </w:rPr>
        <w:t>;</w:t>
      </w:r>
      <w:r w:rsidR="00D07AB0" w:rsidRPr="00891F88">
        <w:rPr>
          <w:rFonts w:ascii="Calibri" w:eastAsia="Times New Roman" w:hAnsi="Calibri" w:cs="Calibri"/>
          <w:lang w:eastAsia="en-GB"/>
        </w:rPr>
        <w:t xml:space="preserve"> the factors leading to cultural erasure and community memory loss</w:t>
      </w:r>
      <w:r w:rsidR="000C799E">
        <w:rPr>
          <w:rFonts w:ascii="Calibri" w:eastAsia="Times New Roman" w:hAnsi="Calibri" w:cs="Calibri"/>
          <w:lang w:eastAsia="en-GB"/>
        </w:rPr>
        <w:t>;</w:t>
      </w:r>
      <w:r w:rsidR="00D07AB0" w:rsidRPr="00891F88">
        <w:rPr>
          <w:rFonts w:ascii="Calibri" w:eastAsia="Times New Roman" w:hAnsi="Calibri" w:cs="Calibri"/>
          <w:lang w:eastAsia="en-GB"/>
        </w:rPr>
        <w:t xml:space="preserve"> and how to build archives that preserve community interests. The London sessions expanded on these discussions, with a visit to the </w:t>
      </w:r>
      <w:hyperlink r:id="rId149" w:history="1">
        <w:r w:rsidR="00D07AB0" w:rsidRPr="001A3D17">
          <w:rPr>
            <w:rStyle w:val="Hyperlink"/>
            <w:rFonts w:ascii="Calibri" w:eastAsia="Times New Roman" w:hAnsi="Calibri" w:cs="Calibri"/>
            <w:lang w:eastAsia="en-GB"/>
          </w:rPr>
          <w:t>Black Cultural Archives</w:t>
        </w:r>
      </w:hyperlink>
      <w:r w:rsidR="00D07AB0" w:rsidRPr="00891F88">
        <w:rPr>
          <w:rFonts w:ascii="Calibri" w:eastAsia="Times New Roman" w:hAnsi="Calibri" w:cs="Calibri"/>
          <w:lang w:eastAsia="en-GB"/>
        </w:rPr>
        <w:t xml:space="preserve"> and a session on the various ways that history is recorded, including oral histories. </w:t>
      </w:r>
    </w:p>
    <w:p w14:paraId="197EF661" w14:textId="34A609E2" w:rsidR="00137286" w:rsidRDefault="00D07AB0" w:rsidP="00EB11F2">
      <w:pPr>
        <w:spacing w:line="259" w:lineRule="auto"/>
        <w:ind w:firstLine="720"/>
        <w:rPr>
          <w:rFonts w:ascii="Calibri" w:eastAsia="Times New Roman" w:hAnsi="Calibri" w:cs="Calibri"/>
          <w:lang w:eastAsia="en-GB"/>
        </w:rPr>
      </w:pPr>
      <w:r w:rsidRPr="00891F88">
        <w:rPr>
          <w:rFonts w:ascii="Calibri" w:eastAsia="Times New Roman" w:hAnsi="Calibri" w:cs="Calibri"/>
          <w:lang w:eastAsia="en-GB"/>
        </w:rPr>
        <w:t>A key takeaway from the experience was the importance of shifting from viewing archives as spaces for academic exploration</w:t>
      </w:r>
      <w:r w:rsidR="000C799E">
        <w:rPr>
          <w:rFonts w:ascii="Calibri" w:eastAsia="Times New Roman" w:hAnsi="Calibri" w:cs="Calibri"/>
          <w:lang w:eastAsia="en-GB"/>
        </w:rPr>
        <w:t>,</w:t>
      </w:r>
      <w:r w:rsidRPr="00891F88">
        <w:rPr>
          <w:rFonts w:ascii="Calibri" w:eastAsia="Times New Roman" w:hAnsi="Calibri" w:cs="Calibri"/>
          <w:lang w:eastAsia="en-GB"/>
        </w:rPr>
        <w:t xml:space="preserve"> to recognising them as repositories of valuable cultural heritage, often containing the ancestors and histories of marginalised communities. By objectifying the collections, the traditional approach to archives risks stripping them of their humanity and cultural significance</w:t>
      </w:r>
      <w:r w:rsidR="001A3D17">
        <w:rPr>
          <w:rFonts w:ascii="Calibri" w:eastAsia="Times New Roman" w:hAnsi="Calibri" w:cs="Calibri"/>
          <w:lang w:eastAsia="en-GB"/>
        </w:rPr>
        <w:t>.</w:t>
      </w:r>
      <w:r w:rsidRPr="00891F88">
        <w:rPr>
          <w:rStyle w:val="FootnoteReference"/>
          <w:rFonts w:ascii="Calibri" w:hAnsi="Calibri" w:cs="Calibri"/>
        </w:rPr>
        <w:footnoteReference w:id="223"/>
      </w:r>
      <w:r w:rsidR="00137286">
        <w:rPr>
          <w:rFonts w:ascii="Calibri" w:eastAsia="Times New Roman" w:hAnsi="Calibri" w:cs="Calibri"/>
          <w:lang w:eastAsia="en-GB"/>
        </w:rPr>
        <w:t xml:space="preserve"> </w:t>
      </w:r>
      <w:r w:rsidRPr="00891F88">
        <w:rPr>
          <w:rFonts w:ascii="Calibri" w:hAnsi="Calibri" w:cs="Calibri"/>
        </w:rPr>
        <w:t xml:space="preserve">The course encouraged both individual and group reflection on these themes, facilitating a deep dive into how archives can align with cultural beliefs, principles and community visions. An especially valuable component was the opportunity for participants to share their personal work within their communities and discuss how they would apply their learning to strengthen community capacities following the course. </w:t>
      </w:r>
    </w:p>
    <w:p w14:paraId="53C66889" w14:textId="0135E591" w:rsidR="00FD19BD" w:rsidRDefault="00AD3CD2" w:rsidP="00EB11F2">
      <w:pPr>
        <w:spacing w:line="259" w:lineRule="auto"/>
        <w:ind w:firstLine="720"/>
        <w:rPr>
          <w:rFonts w:ascii="Calibri" w:eastAsia="Times New Roman" w:hAnsi="Calibri" w:cs="Calibri"/>
          <w:lang w:eastAsia="en-GB"/>
        </w:rPr>
      </w:pPr>
      <w:r>
        <w:rPr>
          <w:rFonts w:ascii="Calibri" w:eastAsia="Times New Roman" w:hAnsi="Calibri" w:cs="Calibri"/>
          <w:lang w:eastAsia="en-GB"/>
        </w:rPr>
        <w:t>This course contributed to</w:t>
      </w:r>
      <w:r w:rsidR="00A52584">
        <w:rPr>
          <w:rFonts w:ascii="Calibri" w:eastAsia="Times New Roman" w:hAnsi="Calibri" w:cs="Calibri"/>
          <w:lang w:eastAsia="en-GB"/>
        </w:rPr>
        <w:t xml:space="preserve"> the idea that the </w:t>
      </w:r>
      <w:r w:rsidR="00A27530">
        <w:rPr>
          <w:rFonts w:ascii="Calibri" w:eastAsia="Times New Roman" w:hAnsi="Calibri" w:cs="Calibri"/>
          <w:lang w:eastAsia="en-GB"/>
        </w:rPr>
        <w:t>University of Edinburgh</w:t>
      </w:r>
      <w:r w:rsidR="00A52584">
        <w:rPr>
          <w:rFonts w:ascii="Calibri" w:eastAsia="Times New Roman" w:hAnsi="Calibri" w:cs="Calibri"/>
          <w:lang w:eastAsia="en-GB"/>
        </w:rPr>
        <w:t xml:space="preserve"> </w:t>
      </w:r>
      <w:r>
        <w:rPr>
          <w:rFonts w:ascii="Calibri" w:eastAsia="Times New Roman" w:hAnsi="Calibri" w:cs="Calibri"/>
          <w:lang w:eastAsia="en-GB"/>
        </w:rPr>
        <w:t>could</w:t>
      </w:r>
      <w:r w:rsidR="00D07AB0" w:rsidRPr="00891F88">
        <w:rPr>
          <w:rFonts w:ascii="Calibri" w:eastAsia="Times New Roman" w:hAnsi="Calibri" w:cs="Calibri"/>
          <w:lang w:eastAsia="en-GB"/>
        </w:rPr>
        <w:t xml:space="preserve"> </w:t>
      </w:r>
      <w:r>
        <w:rPr>
          <w:rFonts w:ascii="Calibri" w:eastAsia="Times New Roman" w:hAnsi="Calibri" w:cs="Calibri"/>
          <w:lang w:eastAsia="en-GB"/>
        </w:rPr>
        <w:t>begin</w:t>
      </w:r>
      <w:r w:rsidR="00D07AB0" w:rsidRPr="00891F88">
        <w:rPr>
          <w:rFonts w:ascii="Calibri" w:eastAsia="Times New Roman" w:hAnsi="Calibri" w:cs="Calibri"/>
          <w:lang w:eastAsia="en-GB"/>
        </w:rPr>
        <w:t xml:space="preserve"> proactively building connections with </w:t>
      </w:r>
      <w:r w:rsidR="00A52584">
        <w:rPr>
          <w:rFonts w:ascii="Calibri" w:eastAsia="Times New Roman" w:hAnsi="Calibri" w:cs="Calibri"/>
          <w:lang w:eastAsia="en-GB"/>
        </w:rPr>
        <w:t>I</w:t>
      </w:r>
      <w:r w:rsidR="00D07AB0" w:rsidRPr="00891F88">
        <w:rPr>
          <w:rFonts w:ascii="Calibri" w:eastAsia="Times New Roman" w:hAnsi="Calibri" w:cs="Calibri"/>
          <w:lang w:eastAsia="en-GB"/>
        </w:rPr>
        <w:t>ndigenous</w:t>
      </w:r>
      <w:r w:rsidR="00A52584">
        <w:rPr>
          <w:rFonts w:ascii="Calibri" w:eastAsia="Times New Roman" w:hAnsi="Calibri" w:cs="Calibri"/>
          <w:lang w:eastAsia="en-GB"/>
        </w:rPr>
        <w:t>, African, Asian and other racially minoritised</w:t>
      </w:r>
      <w:r w:rsidR="00D07AB0" w:rsidRPr="00891F88">
        <w:rPr>
          <w:rFonts w:ascii="Calibri" w:eastAsia="Times New Roman" w:hAnsi="Calibri" w:cs="Calibri"/>
          <w:lang w:eastAsia="en-GB"/>
        </w:rPr>
        <w:t xml:space="preserve"> communities </w:t>
      </w:r>
      <w:r>
        <w:rPr>
          <w:rFonts w:ascii="Calibri" w:eastAsia="Times New Roman" w:hAnsi="Calibri" w:cs="Calibri"/>
          <w:lang w:eastAsia="en-GB"/>
        </w:rPr>
        <w:t>and</w:t>
      </w:r>
      <w:r w:rsidR="00D07AB0" w:rsidRPr="00891F88">
        <w:rPr>
          <w:rFonts w:ascii="Calibri" w:eastAsia="Times New Roman" w:hAnsi="Calibri" w:cs="Calibri"/>
          <w:lang w:eastAsia="en-GB"/>
        </w:rPr>
        <w:t xml:space="preserve"> engage with the collections in a way that ensures their humanisation</w:t>
      </w:r>
      <w:r w:rsidR="00DB1090">
        <w:rPr>
          <w:rFonts w:ascii="Calibri" w:eastAsia="Times New Roman" w:hAnsi="Calibri" w:cs="Calibri"/>
          <w:lang w:eastAsia="en-GB"/>
        </w:rPr>
        <w:t xml:space="preserve">. It was suggested that the </w:t>
      </w:r>
      <w:r w:rsidR="00A27530">
        <w:rPr>
          <w:rFonts w:ascii="Calibri" w:eastAsia="Times New Roman" w:hAnsi="Calibri" w:cs="Calibri"/>
          <w:lang w:eastAsia="en-GB"/>
        </w:rPr>
        <w:t>University of Edinburgh</w:t>
      </w:r>
      <w:r w:rsidR="00D07AB0" w:rsidRPr="00891F88">
        <w:rPr>
          <w:rFonts w:ascii="Calibri" w:eastAsia="Times New Roman" w:hAnsi="Calibri" w:cs="Calibri"/>
          <w:lang w:eastAsia="en-GB"/>
        </w:rPr>
        <w:t xml:space="preserve"> commit to working with organisations such as D</w:t>
      </w:r>
      <w:r w:rsidR="00877FA0">
        <w:rPr>
          <w:rFonts w:ascii="Calibri" w:eastAsia="Times New Roman" w:hAnsi="Calibri" w:cs="Calibri"/>
          <w:lang w:eastAsia="en-GB"/>
        </w:rPr>
        <w:t>ecolonising the Archive</w:t>
      </w:r>
      <w:r w:rsidR="00D07AB0" w:rsidRPr="00891F88">
        <w:rPr>
          <w:rFonts w:ascii="Calibri" w:eastAsia="Times New Roman" w:hAnsi="Calibri" w:cs="Calibri"/>
          <w:lang w:eastAsia="en-GB"/>
        </w:rPr>
        <w:t xml:space="preserve"> to support local and international groups in accessing their heritage collections</w:t>
      </w:r>
      <w:r w:rsidR="00D803FE">
        <w:rPr>
          <w:rFonts w:ascii="Calibri" w:eastAsia="Times New Roman" w:hAnsi="Calibri" w:cs="Calibri"/>
          <w:lang w:eastAsia="en-GB"/>
        </w:rPr>
        <w:t xml:space="preserve"> and </w:t>
      </w:r>
      <w:r w:rsidR="00D07AB0" w:rsidRPr="00891F88">
        <w:rPr>
          <w:rFonts w:ascii="Calibri" w:eastAsia="Times New Roman" w:hAnsi="Calibri" w:cs="Calibri"/>
          <w:lang w:eastAsia="en-GB"/>
        </w:rPr>
        <w:t xml:space="preserve">dignifying the collections </w:t>
      </w:r>
      <w:r w:rsidR="00D803FE">
        <w:rPr>
          <w:rFonts w:ascii="Calibri" w:eastAsia="Times New Roman" w:hAnsi="Calibri" w:cs="Calibri"/>
          <w:lang w:eastAsia="en-GB"/>
        </w:rPr>
        <w:t>(including</w:t>
      </w:r>
      <w:r w:rsidR="00D803FE" w:rsidRPr="00891F88">
        <w:rPr>
          <w:rFonts w:ascii="Calibri" w:eastAsia="Times New Roman" w:hAnsi="Calibri" w:cs="Calibri"/>
          <w:lang w:eastAsia="en-GB"/>
        </w:rPr>
        <w:t xml:space="preserve"> </w:t>
      </w:r>
      <w:r w:rsidR="00D07AB0" w:rsidRPr="00891F88">
        <w:rPr>
          <w:rFonts w:ascii="Calibri" w:eastAsia="Times New Roman" w:hAnsi="Calibri" w:cs="Calibri"/>
          <w:lang w:eastAsia="en-GB"/>
        </w:rPr>
        <w:t>ancestral remains</w:t>
      </w:r>
      <w:r w:rsidR="00D803FE">
        <w:rPr>
          <w:rFonts w:ascii="Calibri" w:eastAsia="Times New Roman" w:hAnsi="Calibri" w:cs="Calibri"/>
          <w:lang w:eastAsia="en-GB"/>
        </w:rPr>
        <w:t>)</w:t>
      </w:r>
      <w:r w:rsidR="00D07AB0" w:rsidRPr="00891F88">
        <w:rPr>
          <w:rFonts w:ascii="Calibri" w:eastAsia="Times New Roman" w:hAnsi="Calibri" w:cs="Calibri"/>
          <w:lang w:eastAsia="en-GB"/>
        </w:rPr>
        <w:t xml:space="preserve"> in way</w:t>
      </w:r>
      <w:r w:rsidR="00D803FE">
        <w:rPr>
          <w:rFonts w:ascii="Calibri" w:eastAsia="Times New Roman" w:hAnsi="Calibri" w:cs="Calibri"/>
          <w:lang w:eastAsia="en-GB"/>
        </w:rPr>
        <w:t>s</w:t>
      </w:r>
      <w:r w:rsidR="00D07AB0" w:rsidRPr="00891F88">
        <w:rPr>
          <w:rFonts w:ascii="Calibri" w:eastAsia="Times New Roman" w:hAnsi="Calibri" w:cs="Calibri"/>
          <w:lang w:eastAsia="en-GB"/>
        </w:rPr>
        <w:t xml:space="preserve"> that </w:t>
      </w:r>
      <w:r w:rsidR="00D803FE">
        <w:rPr>
          <w:rFonts w:ascii="Calibri" w:eastAsia="Times New Roman" w:hAnsi="Calibri" w:cs="Calibri"/>
          <w:lang w:eastAsia="en-GB"/>
        </w:rPr>
        <w:t>are</w:t>
      </w:r>
      <w:r w:rsidR="00D07AB0" w:rsidRPr="00891F88">
        <w:rPr>
          <w:rFonts w:ascii="Calibri" w:eastAsia="Times New Roman" w:hAnsi="Calibri" w:cs="Calibri"/>
          <w:lang w:eastAsia="en-GB"/>
        </w:rPr>
        <w:t xml:space="preserve"> supported by heritage communities. An example of this is the work taking place at the University of Birmingham</w:t>
      </w:r>
      <w:r w:rsidR="00DB1090">
        <w:rPr>
          <w:rFonts w:ascii="Calibri" w:eastAsia="Times New Roman" w:hAnsi="Calibri" w:cs="Calibri"/>
          <w:lang w:eastAsia="en-GB"/>
        </w:rPr>
        <w:t xml:space="preserve"> where their </w:t>
      </w:r>
      <w:r w:rsidR="00D07AB0" w:rsidRPr="00891F88">
        <w:rPr>
          <w:rFonts w:ascii="Calibri" w:eastAsia="Times New Roman" w:hAnsi="Calibri" w:cs="Calibri"/>
          <w:lang w:eastAsia="en-GB"/>
        </w:rPr>
        <w:t>African Collection</w:t>
      </w:r>
      <w:r w:rsidR="00DB1090">
        <w:rPr>
          <w:rFonts w:ascii="Calibri" w:eastAsia="Times New Roman" w:hAnsi="Calibri" w:cs="Calibri"/>
          <w:lang w:eastAsia="en-GB"/>
        </w:rPr>
        <w:t xml:space="preserve"> is being explored</w:t>
      </w:r>
      <w:r w:rsidR="00D07AB0" w:rsidRPr="00891F88">
        <w:rPr>
          <w:rFonts w:ascii="Calibri" w:eastAsia="Times New Roman" w:hAnsi="Calibri" w:cs="Calibri"/>
          <w:lang w:eastAsia="en-GB"/>
        </w:rPr>
        <w:t xml:space="preserve"> through the work of artist-in-residence, Sipho Eric Ndlovu. </w:t>
      </w:r>
      <w:r w:rsidR="007361C6" w:rsidRPr="06D755CD">
        <w:rPr>
          <w:rFonts w:ascii="Calibri" w:eastAsia="Times New Roman" w:hAnsi="Calibri" w:cs="Calibri"/>
          <w:lang w:eastAsia="en-GB"/>
        </w:rPr>
        <w:t xml:space="preserve">This </w:t>
      </w:r>
      <w:r w:rsidR="00D07AB0" w:rsidRPr="06D755CD">
        <w:rPr>
          <w:rFonts w:ascii="Calibri" w:eastAsia="Times New Roman" w:hAnsi="Calibri" w:cs="Calibri"/>
          <w:lang w:eastAsia="en-GB"/>
        </w:rPr>
        <w:t>‘</w:t>
      </w:r>
      <w:hyperlink r:id="rId150">
        <w:r w:rsidR="00D07AB0" w:rsidRPr="06D755CD">
          <w:rPr>
            <w:rStyle w:val="Hyperlink"/>
            <w:rFonts w:ascii="Calibri" w:eastAsia="Times New Roman" w:hAnsi="Calibri" w:cs="Calibri"/>
            <w:lang w:eastAsia="en-GB"/>
          </w:rPr>
          <w:t>Africanize</w:t>
        </w:r>
      </w:hyperlink>
      <w:r w:rsidR="00D07AB0" w:rsidRPr="00891F88">
        <w:rPr>
          <w:rFonts w:ascii="Calibri" w:eastAsia="Times New Roman" w:hAnsi="Calibri" w:cs="Calibri"/>
          <w:lang w:eastAsia="en-GB"/>
        </w:rPr>
        <w:t>’</w:t>
      </w:r>
      <w:r w:rsidR="007361C6">
        <w:rPr>
          <w:rFonts w:ascii="Calibri" w:eastAsia="Times New Roman" w:hAnsi="Calibri" w:cs="Calibri"/>
          <w:lang w:eastAsia="en-GB"/>
        </w:rPr>
        <w:t xml:space="preserve"> project</w:t>
      </w:r>
      <w:r w:rsidR="00D07AB0" w:rsidRPr="00891F88">
        <w:rPr>
          <w:rFonts w:ascii="Calibri" w:eastAsia="Times New Roman" w:hAnsi="Calibri" w:cs="Calibri"/>
          <w:lang w:eastAsia="en-GB"/>
        </w:rPr>
        <w:t xml:space="preserve"> challenges the colonial-collector mindset and reinterprets the collections in collaboration with </w:t>
      </w:r>
      <w:r w:rsidR="00C80129">
        <w:rPr>
          <w:rFonts w:ascii="Calibri" w:eastAsia="Times New Roman" w:hAnsi="Calibri" w:cs="Calibri"/>
          <w:lang w:eastAsia="en-GB"/>
        </w:rPr>
        <w:t xml:space="preserve">the </w:t>
      </w:r>
      <w:hyperlink r:id="rId151">
        <w:r w:rsidR="00D07AB0" w:rsidRPr="06D755CD">
          <w:rPr>
            <w:rStyle w:val="Hyperlink"/>
            <w:rFonts w:ascii="Calibri" w:eastAsia="Times New Roman" w:hAnsi="Calibri" w:cs="Calibri"/>
            <w:lang w:eastAsia="en-GB"/>
          </w:rPr>
          <w:t>We Don’t Settle</w:t>
        </w:r>
      </w:hyperlink>
      <w:r w:rsidR="00C80129" w:rsidRPr="06D755CD">
        <w:rPr>
          <w:rFonts w:ascii="Calibri" w:eastAsia="Times New Roman" w:hAnsi="Calibri" w:cs="Calibri"/>
          <w:lang w:eastAsia="en-GB"/>
        </w:rPr>
        <w:t xml:space="preserve"> organisation.</w:t>
      </w:r>
      <w:r w:rsidR="00D07AB0">
        <w:rPr>
          <w:rFonts w:ascii="Calibri" w:eastAsia="Times New Roman" w:hAnsi="Calibri" w:cs="Calibri"/>
          <w:lang w:eastAsia="en-GB"/>
        </w:rPr>
        <w:t xml:space="preserve"> </w:t>
      </w:r>
      <w:r w:rsidR="00C504E9">
        <w:rPr>
          <w:rFonts w:ascii="Calibri" w:eastAsia="Times New Roman" w:hAnsi="Calibri" w:cs="Calibri"/>
          <w:lang w:eastAsia="en-GB"/>
        </w:rPr>
        <w:t>The</w:t>
      </w:r>
      <w:r w:rsidR="00D07AB0" w:rsidRPr="00891F88">
        <w:rPr>
          <w:rFonts w:ascii="Calibri" w:hAnsi="Calibri" w:cs="Calibri"/>
        </w:rPr>
        <w:t xml:space="preserve"> </w:t>
      </w:r>
      <w:r w:rsidR="00A27530">
        <w:rPr>
          <w:rFonts w:ascii="Calibri" w:eastAsia="Times New Roman" w:hAnsi="Calibri" w:cs="Calibri"/>
          <w:lang w:eastAsia="en-GB"/>
        </w:rPr>
        <w:t>University of Edinburgh</w:t>
      </w:r>
      <w:r w:rsidR="00D07AB0" w:rsidRPr="00891F88">
        <w:rPr>
          <w:rFonts w:ascii="Calibri" w:eastAsia="Times New Roman" w:hAnsi="Calibri" w:cs="Calibri"/>
          <w:lang w:eastAsia="en-GB"/>
        </w:rPr>
        <w:t xml:space="preserve"> c</w:t>
      </w:r>
      <w:r w:rsidR="00FD19BD">
        <w:rPr>
          <w:rFonts w:ascii="Calibri" w:eastAsia="Times New Roman" w:hAnsi="Calibri" w:cs="Calibri"/>
          <w:lang w:eastAsia="en-GB"/>
        </w:rPr>
        <w:t>ould also</w:t>
      </w:r>
      <w:r w:rsidR="00D07AB0" w:rsidRPr="00891F88">
        <w:rPr>
          <w:rFonts w:ascii="Calibri" w:eastAsia="Times New Roman" w:hAnsi="Calibri" w:cs="Calibri"/>
          <w:lang w:eastAsia="en-GB"/>
        </w:rPr>
        <w:t xml:space="preserve"> facilitate</w:t>
      </w:r>
      <w:r w:rsidR="00FD19BD">
        <w:rPr>
          <w:rFonts w:ascii="Calibri" w:eastAsia="Times New Roman" w:hAnsi="Calibri" w:cs="Calibri"/>
          <w:lang w:eastAsia="en-GB"/>
        </w:rPr>
        <w:t xml:space="preserve"> such</w:t>
      </w:r>
      <w:r w:rsidR="00D07AB0" w:rsidRPr="00891F88">
        <w:rPr>
          <w:rFonts w:ascii="Calibri" w:eastAsia="Times New Roman" w:hAnsi="Calibri" w:cs="Calibri"/>
          <w:lang w:eastAsia="en-GB"/>
        </w:rPr>
        <w:t xml:space="preserve"> an initiative </w:t>
      </w:r>
      <w:r w:rsidR="00FD19BD">
        <w:rPr>
          <w:rFonts w:ascii="Calibri" w:eastAsia="Times New Roman" w:hAnsi="Calibri" w:cs="Calibri"/>
          <w:lang w:eastAsia="en-GB"/>
        </w:rPr>
        <w:t>and take a step</w:t>
      </w:r>
      <w:r w:rsidR="00D07AB0" w:rsidRPr="00891F88">
        <w:rPr>
          <w:rFonts w:ascii="Calibri" w:eastAsia="Times New Roman" w:hAnsi="Calibri" w:cs="Calibri"/>
          <w:lang w:eastAsia="en-GB"/>
        </w:rPr>
        <w:t xml:space="preserve"> further by collaborating with grassroots organisations to reinterpret the collections and engage in the facilitation of decolonial archival training for engaged communities.</w:t>
      </w:r>
    </w:p>
    <w:p w14:paraId="08107DDD" w14:textId="7E5D4F06" w:rsidR="00D07AB0" w:rsidRPr="001D7161" w:rsidRDefault="00D07AB0" w:rsidP="00EB11F2">
      <w:pPr>
        <w:spacing w:line="259" w:lineRule="auto"/>
        <w:ind w:firstLine="720"/>
        <w:rPr>
          <w:rFonts w:ascii="Calibri" w:hAnsi="Calibri" w:cs="Calibri"/>
        </w:rPr>
      </w:pPr>
      <w:r w:rsidRPr="00891F88">
        <w:rPr>
          <w:rFonts w:ascii="Calibri" w:hAnsi="Calibri" w:cs="Calibri"/>
          <w:shd w:val="clear" w:color="auto" w:fill="FFFFFF"/>
        </w:rPr>
        <w:t xml:space="preserve">Incorporating </w:t>
      </w:r>
      <w:r w:rsidR="00FD19BD">
        <w:rPr>
          <w:rFonts w:ascii="Calibri" w:hAnsi="Calibri" w:cs="Calibri"/>
          <w:shd w:val="clear" w:color="auto" w:fill="FFFFFF"/>
        </w:rPr>
        <w:t>African, I</w:t>
      </w:r>
      <w:r w:rsidRPr="00891F88">
        <w:rPr>
          <w:rFonts w:ascii="Calibri" w:hAnsi="Calibri" w:cs="Calibri"/>
          <w:shd w:val="clear" w:color="auto" w:fill="FFFFFF"/>
        </w:rPr>
        <w:t>ndigenous</w:t>
      </w:r>
      <w:r w:rsidR="00FD19BD">
        <w:rPr>
          <w:rFonts w:ascii="Calibri" w:hAnsi="Calibri" w:cs="Calibri"/>
          <w:shd w:val="clear" w:color="auto" w:fill="FFFFFF"/>
        </w:rPr>
        <w:t xml:space="preserve"> and other</w:t>
      </w:r>
      <w:r w:rsidRPr="00891F88">
        <w:rPr>
          <w:rFonts w:ascii="Calibri" w:hAnsi="Calibri" w:cs="Calibri"/>
          <w:shd w:val="clear" w:color="auto" w:fill="FFFFFF"/>
        </w:rPr>
        <w:t xml:space="preserve"> knowledge systems into archival work challenges Western-centric perspective</w:t>
      </w:r>
      <w:r w:rsidR="00FD19BD">
        <w:rPr>
          <w:rFonts w:ascii="Calibri" w:hAnsi="Calibri" w:cs="Calibri"/>
          <w:shd w:val="clear" w:color="auto" w:fill="FFFFFF"/>
        </w:rPr>
        <w:t>s</w:t>
      </w:r>
      <w:r w:rsidRPr="00891F88">
        <w:rPr>
          <w:rFonts w:ascii="Calibri" w:hAnsi="Calibri" w:cs="Calibri"/>
          <w:shd w:val="clear" w:color="auto" w:fill="FFFFFF"/>
        </w:rPr>
        <w:t xml:space="preserve"> that often dominat</w:t>
      </w:r>
      <w:r w:rsidR="00FD19BD">
        <w:rPr>
          <w:rFonts w:ascii="Calibri" w:hAnsi="Calibri" w:cs="Calibri"/>
          <w:shd w:val="clear" w:color="auto" w:fill="FFFFFF"/>
        </w:rPr>
        <w:t>e</w:t>
      </w:r>
      <w:r w:rsidRPr="00891F88">
        <w:rPr>
          <w:rFonts w:ascii="Calibri" w:hAnsi="Calibri" w:cs="Calibri"/>
          <w:shd w:val="clear" w:color="auto" w:fill="FFFFFF"/>
        </w:rPr>
        <w:t xml:space="preserve"> archival theory and practice</w:t>
      </w:r>
      <w:r w:rsidR="00FD19BD">
        <w:rPr>
          <w:rFonts w:ascii="Calibri" w:hAnsi="Calibri" w:cs="Calibri"/>
          <w:shd w:val="clear" w:color="auto" w:fill="FFFFFF"/>
        </w:rPr>
        <w:t>. I</w:t>
      </w:r>
      <w:r w:rsidRPr="00891F88">
        <w:rPr>
          <w:rFonts w:ascii="Calibri" w:hAnsi="Calibri" w:cs="Calibri"/>
          <w:shd w:val="clear" w:color="auto" w:fill="FFFFFF"/>
        </w:rPr>
        <w:t>nstitutions that embrace these diverse epistemologies can enrich their collections by incorporating alternative forms of knowledge that have been overlooked and undervalued in traditional academic settings.</w:t>
      </w:r>
      <w:r w:rsidRPr="00891F88">
        <w:rPr>
          <w:rStyle w:val="FootnoteReference"/>
          <w:rFonts w:ascii="Calibri" w:hAnsi="Calibri" w:cs="Calibri"/>
          <w:shd w:val="clear" w:color="auto" w:fill="FFFFFF"/>
        </w:rPr>
        <w:footnoteReference w:id="224"/>
      </w:r>
      <w:r w:rsidRPr="00891F88">
        <w:rPr>
          <w:rFonts w:ascii="Calibri" w:hAnsi="Calibri" w:cs="Calibri"/>
          <w:shd w:val="clear" w:color="auto" w:fill="FFFFFF"/>
        </w:rPr>
        <w:t xml:space="preserve"> This would broaden the scope of intellectual and cultural inquiry within the </w:t>
      </w:r>
      <w:r w:rsidR="00B75CE3">
        <w:rPr>
          <w:rFonts w:ascii="Calibri" w:hAnsi="Calibri" w:cs="Calibri"/>
          <w:shd w:val="clear" w:color="auto" w:fill="FFFFFF"/>
        </w:rPr>
        <w:t>U</w:t>
      </w:r>
      <w:r w:rsidRPr="00891F88">
        <w:rPr>
          <w:rFonts w:ascii="Calibri" w:hAnsi="Calibri" w:cs="Calibri"/>
          <w:shd w:val="clear" w:color="auto" w:fill="FFFFFF"/>
        </w:rPr>
        <w:t xml:space="preserve">niversity and encourage </w:t>
      </w:r>
      <w:r w:rsidR="00B75CE3">
        <w:rPr>
          <w:rFonts w:ascii="Calibri" w:hAnsi="Calibri" w:cs="Calibri"/>
        </w:rPr>
        <w:t>it</w:t>
      </w:r>
      <w:r w:rsidRPr="00891F88">
        <w:rPr>
          <w:rFonts w:ascii="Calibri" w:hAnsi="Calibri" w:cs="Calibri"/>
          <w:shd w:val="clear" w:color="auto" w:fill="FFFFFF"/>
        </w:rPr>
        <w:t xml:space="preserve"> to become a site for reciprocal learning</w:t>
      </w:r>
      <w:r w:rsidR="005B7E6E">
        <w:rPr>
          <w:rFonts w:ascii="Calibri" w:hAnsi="Calibri" w:cs="Calibri"/>
          <w:shd w:val="clear" w:color="auto" w:fill="FFFFFF"/>
        </w:rPr>
        <w:t xml:space="preserve"> </w:t>
      </w:r>
      <w:r w:rsidR="001D7161" w:rsidRPr="00891F88">
        <w:rPr>
          <w:rFonts w:ascii="Calibri" w:hAnsi="Calibri" w:cs="Calibri"/>
          <w:shd w:val="clear" w:color="auto" w:fill="FFFFFF"/>
        </w:rPr>
        <w:t>where African</w:t>
      </w:r>
      <w:r w:rsidR="005B7E6E">
        <w:rPr>
          <w:rFonts w:ascii="Calibri" w:hAnsi="Calibri" w:cs="Calibri"/>
          <w:shd w:val="clear" w:color="auto" w:fill="FFFFFF"/>
        </w:rPr>
        <w:t>, I</w:t>
      </w:r>
      <w:r w:rsidR="005B7E6E" w:rsidRPr="00891F88">
        <w:rPr>
          <w:rFonts w:ascii="Calibri" w:hAnsi="Calibri" w:cs="Calibri"/>
          <w:shd w:val="clear" w:color="auto" w:fill="FFFFFF"/>
        </w:rPr>
        <w:t>ndigenous</w:t>
      </w:r>
      <w:r w:rsidR="005B7E6E">
        <w:rPr>
          <w:rFonts w:ascii="Calibri" w:hAnsi="Calibri" w:cs="Calibri"/>
          <w:shd w:val="clear" w:color="auto" w:fill="FFFFFF"/>
        </w:rPr>
        <w:t xml:space="preserve"> and other racialised</w:t>
      </w:r>
      <w:r w:rsidRPr="00891F88">
        <w:rPr>
          <w:rFonts w:ascii="Calibri" w:hAnsi="Calibri" w:cs="Calibri"/>
          <w:shd w:val="clear" w:color="auto" w:fill="FFFFFF"/>
        </w:rPr>
        <w:t xml:space="preserve"> communities</w:t>
      </w:r>
      <w:r w:rsidR="00B75CE3">
        <w:rPr>
          <w:rFonts w:ascii="Calibri" w:hAnsi="Calibri" w:cs="Calibri"/>
          <w:shd w:val="clear" w:color="auto" w:fill="FFFFFF"/>
        </w:rPr>
        <w:t>,</w:t>
      </w:r>
      <w:r w:rsidRPr="00891F88">
        <w:rPr>
          <w:rFonts w:ascii="Calibri" w:hAnsi="Calibri" w:cs="Calibri"/>
          <w:shd w:val="clear" w:color="auto" w:fill="FFFFFF"/>
        </w:rPr>
        <w:t xml:space="preserve"> staff </w:t>
      </w:r>
      <w:r w:rsidR="00B75CE3">
        <w:rPr>
          <w:rFonts w:ascii="Calibri" w:hAnsi="Calibri" w:cs="Calibri"/>
          <w:shd w:val="clear" w:color="auto" w:fill="FFFFFF"/>
        </w:rPr>
        <w:t>and students</w:t>
      </w:r>
      <w:r w:rsidRPr="00891F88">
        <w:rPr>
          <w:rFonts w:ascii="Calibri" w:hAnsi="Calibri" w:cs="Calibri"/>
          <w:shd w:val="clear" w:color="auto" w:fill="FFFFFF"/>
        </w:rPr>
        <w:t xml:space="preserve"> learn from one another. </w:t>
      </w:r>
      <w:r w:rsidRPr="00891F88">
        <w:rPr>
          <w:rFonts w:ascii="Calibri" w:hAnsi="Calibri" w:cs="Calibri"/>
        </w:rPr>
        <w:t xml:space="preserve">This participatory approach can </w:t>
      </w:r>
      <w:r w:rsidR="00DF0666">
        <w:rPr>
          <w:rFonts w:ascii="Calibri" w:hAnsi="Calibri" w:cs="Calibri"/>
        </w:rPr>
        <w:t xml:space="preserve">help to </w:t>
      </w:r>
      <w:r w:rsidRPr="00891F88">
        <w:rPr>
          <w:rFonts w:ascii="Calibri" w:hAnsi="Calibri" w:cs="Calibri"/>
        </w:rPr>
        <w:t>build trust and improve relationships</w:t>
      </w:r>
      <w:r w:rsidR="00907675">
        <w:rPr>
          <w:rFonts w:ascii="Calibri" w:hAnsi="Calibri" w:cs="Calibri"/>
        </w:rPr>
        <w:t xml:space="preserve"> by</w:t>
      </w:r>
      <w:r w:rsidR="0040125A" w:rsidRPr="00891F88">
        <w:rPr>
          <w:rFonts w:ascii="Calibri" w:hAnsi="Calibri" w:cs="Calibri"/>
        </w:rPr>
        <w:t xml:space="preserve"> </w:t>
      </w:r>
      <w:r w:rsidRPr="00891F88">
        <w:rPr>
          <w:rFonts w:ascii="Calibri" w:hAnsi="Calibri" w:cs="Calibri"/>
        </w:rPr>
        <w:t>encouraging ongoing collaboration</w:t>
      </w:r>
      <w:r w:rsidR="00A17B07">
        <w:rPr>
          <w:rFonts w:ascii="Calibri" w:hAnsi="Calibri" w:cs="Calibri"/>
        </w:rPr>
        <w:t xml:space="preserve"> and</w:t>
      </w:r>
      <w:r w:rsidRPr="00891F88">
        <w:rPr>
          <w:rFonts w:ascii="Calibri" w:hAnsi="Calibri" w:cs="Calibri"/>
        </w:rPr>
        <w:t xml:space="preserve"> access to the archives</w:t>
      </w:r>
      <w:r w:rsidR="003F2647">
        <w:rPr>
          <w:rFonts w:ascii="Calibri" w:hAnsi="Calibri" w:cs="Calibri"/>
        </w:rPr>
        <w:t>, for example by</w:t>
      </w:r>
      <w:r w:rsidR="002603E1">
        <w:rPr>
          <w:rFonts w:ascii="Calibri" w:hAnsi="Calibri" w:cs="Calibri"/>
        </w:rPr>
        <w:t xml:space="preserve"> </w:t>
      </w:r>
      <w:r w:rsidRPr="00891F88">
        <w:rPr>
          <w:rFonts w:ascii="Calibri" w:hAnsi="Calibri" w:cs="Calibri"/>
        </w:rPr>
        <w:t xml:space="preserve">facilitating the involvement </w:t>
      </w:r>
      <w:r w:rsidR="005B7E6E">
        <w:rPr>
          <w:rFonts w:ascii="Calibri" w:hAnsi="Calibri" w:cs="Calibri"/>
        </w:rPr>
        <w:t>of racialised</w:t>
      </w:r>
      <w:r w:rsidRPr="00891F88">
        <w:rPr>
          <w:rFonts w:ascii="Calibri" w:hAnsi="Calibri" w:cs="Calibri"/>
        </w:rPr>
        <w:t xml:space="preserve"> communities in the stewardship and interpretation of their own </w:t>
      </w:r>
      <w:r w:rsidRPr="00891F88">
        <w:rPr>
          <w:rFonts w:ascii="Calibri" w:hAnsi="Calibri" w:cs="Calibri"/>
        </w:rPr>
        <w:lastRenderedPageBreak/>
        <w:t>heritage</w:t>
      </w:r>
      <w:r w:rsidR="005B7E6E">
        <w:rPr>
          <w:rFonts w:ascii="Calibri" w:hAnsi="Calibri" w:cs="Calibri"/>
        </w:rPr>
        <w:t>. This w</w:t>
      </w:r>
      <w:r w:rsidR="001D7161">
        <w:rPr>
          <w:rFonts w:ascii="Calibri" w:hAnsi="Calibri" w:cs="Calibri"/>
        </w:rPr>
        <w:t xml:space="preserve">ould </w:t>
      </w:r>
      <w:r w:rsidRPr="00891F88">
        <w:rPr>
          <w:rFonts w:ascii="Calibri" w:hAnsi="Calibri" w:cs="Calibri"/>
        </w:rPr>
        <w:t>ensur</w:t>
      </w:r>
      <w:r w:rsidR="001D7161">
        <w:rPr>
          <w:rFonts w:ascii="Calibri" w:hAnsi="Calibri" w:cs="Calibri"/>
        </w:rPr>
        <w:t xml:space="preserve">e </w:t>
      </w:r>
      <w:r w:rsidRPr="00891F88">
        <w:rPr>
          <w:rFonts w:ascii="Calibri" w:hAnsi="Calibri" w:cs="Calibri"/>
        </w:rPr>
        <w:t>that the collections reflect the values, worldviews and histories of heritage communities, leading to more meaningful and accurate representations of culture</w:t>
      </w:r>
      <w:r w:rsidR="001D7161">
        <w:rPr>
          <w:rFonts w:ascii="Calibri" w:hAnsi="Calibri" w:cs="Calibri"/>
        </w:rPr>
        <w:t>s</w:t>
      </w:r>
      <w:r w:rsidR="00424582">
        <w:rPr>
          <w:rFonts w:ascii="Calibri" w:hAnsi="Calibri" w:cs="Calibri"/>
        </w:rPr>
        <w:t xml:space="preserve">. </w:t>
      </w:r>
      <w:r w:rsidR="00A65053">
        <w:rPr>
          <w:rFonts w:ascii="Calibri" w:hAnsi="Calibri" w:cs="Calibri"/>
        </w:rPr>
        <w:t xml:space="preserve">It </w:t>
      </w:r>
      <w:r w:rsidR="006238E4">
        <w:rPr>
          <w:rFonts w:ascii="Calibri" w:hAnsi="Calibri" w:cs="Calibri"/>
        </w:rPr>
        <w:t xml:space="preserve">would </w:t>
      </w:r>
      <w:r w:rsidRPr="00891F88">
        <w:rPr>
          <w:rFonts w:ascii="Calibri" w:hAnsi="Calibri" w:cs="Calibri"/>
        </w:rPr>
        <w:t xml:space="preserve">also </w:t>
      </w:r>
      <w:r w:rsidR="003560DD">
        <w:rPr>
          <w:rFonts w:ascii="Calibri" w:hAnsi="Calibri" w:cs="Calibri"/>
        </w:rPr>
        <w:t>provide space</w:t>
      </w:r>
      <w:r w:rsidRPr="00891F88">
        <w:rPr>
          <w:rFonts w:ascii="Calibri" w:hAnsi="Calibri" w:cs="Calibri"/>
        </w:rPr>
        <w:t xml:space="preserve"> to</w:t>
      </w:r>
      <w:r w:rsidR="001D7161">
        <w:rPr>
          <w:rFonts w:ascii="Calibri" w:hAnsi="Calibri" w:cs="Calibri"/>
        </w:rPr>
        <w:t xml:space="preserve"> engage critically with, and</w:t>
      </w:r>
      <w:r w:rsidRPr="00891F88">
        <w:rPr>
          <w:rFonts w:ascii="Calibri" w:hAnsi="Calibri" w:cs="Calibri"/>
        </w:rPr>
        <w:t xml:space="preserve"> counter</w:t>
      </w:r>
      <w:r w:rsidR="001D7161">
        <w:rPr>
          <w:rFonts w:ascii="Calibri" w:hAnsi="Calibri" w:cs="Calibri"/>
        </w:rPr>
        <w:t>, racial</w:t>
      </w:r>
      <w:r w:rsidRPr="00891F88">
        <w:rPr>
          <w:rFonts w:ascii="Calibri" w:hAnsi="Calibri" w:cs="Calibri"/>
        </w:rPr>
        <w:t xml:space="preserve"> stereotypes and misrepresentation</w:t>
      </w:r>
      <w:r w:rsidR="001D7161">
        <w:rPr>
          <w:rFonts w:ascii="Calibri" w:hAnsi="Calibri" w:cs="Calibri"/>
        </w:rPr>
        <w:t>s</w:t>
      </w:r>
      <w:r w:rsidRPr="00891F88">
        <w:rPr>
          <w:rFonts w:ascii="Calibri" w:hAnsi="Calibri" w:cs="Calibri"/>
        </w:rPr>
        <w:t xml:space="preserve"> that have often been perpetuated by </w:t>
      </w:r>
      <w:r w:rsidR="001D7161">
        <w:rPr>
          <w:rFonts w:ascii="Calibri" w:hAnsi="Calibri" w:cs="Calibri"/>
        </w:rPr>
        <w:t>higher education institutions.</w:t>
      </w:r>
      <w:r w:rsidRPr="00891F88">
        <w:rPr>
          <w:rStyle w:val="FootnoteReference"/>
          <w:rFonts w:ascii="Calibri" w:hAnsi="Calibri" w:cs="Calibri"/>
        </w:rPr>
        <w:footnoteReference w:id="225"/>
      </w:r>
    </w:p>
    <w:p w14:paraId="7BB93536" w14:textId="5E5E6A7F" w:rsidR="00D07AB0" w:rsidRPr="0017357E" w:rsidRDefault="00D07AB0" w:rsidP="00EB11F2">
      <w:pPr>
        <w:spacing w:line="259" w:lineRule="auto"/>
        <w:ind w:firstLine="720"/>
        <w:rPr>
          <w:rFonts w:ascii="Calibri" w:eastAsia="Calibri" w:hAnsi="Calibri" w:cs="Calibri"/>
          <w:b/>
          <w:bCs/>
          <w:color w:val="000000" w:themeColor="text1"/>
        </w:rPr>
      </w:pPr>
      <w:r w:rsidRPr="00891F88">
        <w:rPr>
          <w:rFonts w:ascii="Calibri" w:eastAsia="Times New Roman" w:hAnsi="Calibri" w:cs="Calibri"/>
          <w:lang w:eastAsia="en-GB"/>
        </w:rPr>
        <w:t xml:space="preserve">Colleagues within the </w:t>
      </w:r>
      <w:r w:rsidR="004058C8">
        <w:rPr>
          <w:rFonts w:ascii="Calibri" w:eastAsia="Times New Roman" w:hAnsi="Calibri" w:cs="Calibri"/>
          <w:lang w:eastAsia="en-GB"/>
        </w:rPr>
        <w:t>Centre for Research Collection</w:t>
      </w:r>
      <w:r w:rsidR="00DE7733">
        <w:rPr>
          <w:rFonts w:ascii="Calibri" w:eastAsia="Times New Roman" w:hAnsi="Calibri" w:cs="Calibri"/>
          <w:lang w:eastAsia="en-GB"/>
        </w:rPr>
        <w:t>s</w:t>
      </w:r>
      <w:r w:rsidR="004058C8" w:rsidRPr="00891F88">
        <w:rPr>
          <w:rFonts w:ascii="Calibri" w:eastAsia="Times New Roman" w:hAnsi="Calibri" w:cs="Calibri"/>
          <w:lang w:eastAsia="en-GB"/>
        </w:rPr>
        <w:t xml:space="preserve"> </w:t>
      </w:r>
      <w:r w:rsidR="00F651A0">
        <w:rPr>
          <w:rFonts w:ascii="Calibri" w:eastAsia="Times New Roman" w:hAnsi="Calibri" w:cs="Calibri"/>
          <w:lang w:eastAsia="en-GB"/>
        </w:rPr>
        <w:t xml:space="preserve">(CRC) </w:t>
      </w:r>
      <w:r w:rsidR="00DE7733">
        <w:rPr>
          <w:rFonts w:ascii="Calibri" w:eastAsia="Times New Roman" w:hAnsi="Calibri" w:cs="Calibri"/>
          <w:lang w:eastAsia="en-GB"/>
        </w:rPr>
        <w:t>welcomed the opportunity</w:t>
      </w:r>
      <w:r w:rsidRPr="00891F88">
        <w:rPr>
          <w:rFonts w:ascii="Calibri" w:eastAsia="Times New Roman" w:hAnsi="Calibri" w:cs="Calibri"/>
          <w:lang w:eastAsia="en-GB"/>
        </w:rPr>
        <w:t xml:space="preserve"> to learn about </w:t>
      </w:r>
      <w:r w:rsidR="00DE7733">
        <w:rPr>
          <w:rFonts w:ascii="Calibri" w:eastAsia="Times New Roman" w:hAnsi="Calibri" w:cs="Calibri"/>
          <w:lang w:eastAsia="en-GB"/>
        </w:rPr>
        <w:t>the REWG’s</w:t>
      </w:r>
      <w:r w:rsidR="00DE7733" w:rsidRPr="00891F88">
        <w:rPr>
          <w:rFonts w:ascii="Calibri" w:eastAsia="Times New Roman" w:hAnsi="Calibri" w:cs="Calibri"/>
          <w:lang w:eastAsia="en-GB"/>
        </w:rPr>
        <w:t xml:space="preserve"> </w:t>
      </w:r>
      <w:r w:rsidRPr="00891F88">
        <w:rPr>
          <w:rFonts w:ascii="Calibri" w:eastAsia="Times New Roman" w:hAnsi="Calibri" w:cs="Calibri"/>
          <w:lang w:eastAsia="en-GB"/>
        </w:rPr>
        <w:t xml:space="preserve">experiences with </w:t>
      </w:r>
      <w:r w:rsidR="00DE7733">
        <w:rPr>
          <w:rFonts w:ascii="Calibri" w:eastAsia="Times New Roman" w:hAnsi="Calibri" w:cs="Calibri"/>
          <w:lang w:eastAsia="en-GB"/>
        </w:rPr>
        <w:t>Decolonising the Archive</w:t>
      </w:r>
      <w:r w:rsidRPr="00891F88">
        <w:rPr>
          <w:rFonts w:ascii="Calibri" w:eastAsia="Times New Roman" w:hAnsi="Calibri" w:cs="Calibri"/>
          <w:lang w:eastAsia="en-GB"/>
        </w:rPr>
        <w:t xml:space="preserve">, especially in relation to how </w:t>
      </w:r>
      <w:r w:rsidR="0072494D">
        <w:rPr>
          <w:rFonts w:ascii="Calibri" w:eastAsia="Times New Roman" w:hAnsi="Calibri" w:cs="Calibri"/>
          <w:lang w:eastAsia="en-GB"/>
        </w:rPr>
        <w:t xml:space="preserve">access </w:t>
      </w:r>
      <w:r w:rsidR="006645D8">
        <w:rPr>
          <w:rFonts w:ascii="Calibri" w:eastAsia="Times New Roman" w:hAnsi="Calibri" w:cs="Calibri"/>
          <w:lang w:eastAsia="en-GB"/>
        </w:rPr>
        <w:t xml:space="preserve">to, </w:t>
      </w:r>
      <w:r w:rsidR="0072494D">
        <w:rPr>
          <w:rFonts w:ascii="Calibri" w:eastAsia="Times New Roman" w:hAnsi="Calibri" w:cs="Calibri"/>
          <w:lang w:eastAsia="en-GB"/>
        </w:rPr>
        <w:t xml:space="preserve">and </w:t>
      </w:r>
      <w:r w:rsidRPr="00891F88">
        <w:rPr>
          <w:rFonts w:ascii="Calibri" w:eastAsia="Times New Roman" w:hAnsi="Calibri" w:cs="Calibri"/>
          <w:lang w:eastAsia="en-GB"/>
        </w:rPr>
        <w:t>engagement with</w:t>
      </w:r>
      <w:r w:rsidR="006645D8">
        <w:rPr>
          <w:rFonts w:ascii="Calibri" w:eastAsia="Times New Roman" w:hAnsi="Calibri" w:cs="Calibri"/>
          <w:lang w:eastAsia="en-GB"/>
        </w:rPr>
        <w:t>,</w:t>
      </w:r>
      <w:r w:rsidRPr="00891F88">
        <w:rPr>
          <w:rFonts w:ascii="Calibri" w:eastAsia="Times New Roman" w:hAnsi="Calibri" w:cs="Calibri"/>
          <w:lang w:eastAsia="en-GB"/>
        </w:rPr>
        <w:t xml:space="preserve"> the archives could be better facilitated. Further resources to the CRC to increase staffing, as well as a budget to support the engagement and facilitation of archival training by and for </w:t>
      </w:r>
      <w:r w:rsidR="008B4C44">
        <w:rPr>
          <w:rFonts w:ascii="Calibri" w:eastAsia="Times New Roman" w:hAnsi="Calibri" w:cs="Calibri"/>
          <w:lang w:eastAsia="en-GB"/>
        </w:rPr>
        <w:t>racially minoritised</w:t>
      </w:r>
      <w:r w:rsidRPr="00891F88">
        <w:rPr>
          <w:rFonts w:ascii="Calibri" w:eastAsia="Times New Roman" w:hAnsi="Calibri" w:cs="Calibri"/>
          <w:lang w:eastAsia="en-GB"/>
        </w:rPr>
        <w:t xml:space="preserve"> communities, would be </w:t>
      </w:r>
      <w:r w:rsidR="0096489E">
        <w:rPr>
          <w:rFonts w:ascii="Calibri" w:eastAsia="Times New Roman" w:hAnsi="Calibri" w:cs="Calibri"/>
          <w:lang w:eastAsia="en-GB"/>
        </w:rPr>
        <w:t>an important</w:t>
      </w:r>
      <w:r w:rsidRPr="00891F88">
        <w:rPr>
          <w:rFonts w:ascii="Calibri" w:eastAsia="Times New Roman" w:hAnsi="Calibri" w:cs="Calibri"/>
          <w:lang w:eastAsia="en-GB"/>
        </w:rPr>
        <w:t xml:space="preserve"> recommendation</w:t>
      </w:r>
      <w:r w:rsidR="0096489E">
        <w:rPr>
          <w:rFonts w:ascii="Calibri" w:eastAsia="Times New Roman" w:hAnsi="Calibri" w:cs="Calibri"/>
          <w:lang w:eastAsia="en-GB"/>
        </w:rPr>
        <w:t>,</w:t>
      </w:r>
      <w:r w:rsidRPr="00891F88">
        <w:rPr>
          <w:rFonts w:ascii="Calibri" w:eastAsia="Times New Roman" w:hAnsi="Calibri" w:cs="Calibri"/>
          <w:lang w:eastAsia="en-GB"/>
        </w:rPr>
        <w:t xml:space="preserve"> </w:t>
      </w:r>
      <w:r w:rsidR="0096489E">
        <w:rPr>
          <w:rFonts w:ascii="Calibri" w:eastAsia="Times New Roman" w:hAnsi="Calibri" w:cs="Calibri"/>
          <w:lang w:eastAsia="en-GB"/>
        </w:rPr>
        <w:t>in addition to</w:t>
      </w:r>
      <w:r w:rsidR="00875709">
        <w:rPr>
          <w:rFonts w:ascii="Calibri" w:eastAsia="Times New Roman" w:hAnsi="Calibri" w:cs="Calibri"/>
          <w:lang w:eastAsia="en-GB"/>
        </w:rPr>
        <w:t xml:space="preserve"> i</w:t>
      </w:r>
      <w:r w:rsidRPr="00891F88">
        <w:rPr>
          <w:rFonts w:ascii="Calibri" w:eastAsia="Times New Roman" w:hAnsi="Calibri" w:cs="Calibri"/>
          <w:lang w:eastAsia="en-GB"/>
        </w:rPr>
        <w:t xml:space="preserve">mproving accessibility by designing </w:t>
      </w:r>
      <w:r w:rsidR="00D53745">
        <w:rPr>
          <w:rFonts w:ascii="Calibri" w:eastAsia="Times New Roman" w:hAnsi="Calibri" w:cs="Calibri"/>
          <w:lang w:eastAsia="en-GB"/>
        </w:rPr>
        <w:t>a more welcoming</w:t>
      </w:r>
      <w:r w:rsidRPr="00891F88">
        <w:rPr>
          <w:rFonts w:ascii="Calibri" w:eastAsia="Times New Roman" w:hAnsi="Calibri" w:cs="Calibri"/>
          <w:lang w:eastAsia="en-GB"/>
        </w:rPr>
        <w:t xml:space="preserve"> physical space.</w:t>
      </w:r>
    </w:p>
    <w:p w14:paraId="62BDF5C2" w14:textId="77777777" w:rsidR="00773F7C" w:rsidRPr="0017357E" w:rsidRDefault="00773F7C" w:rsidP="00EB11F2">
      <w:pPr>
        <w:spacing w:line="259" w:lineRule="auto"/>
        <w:rPr>
          <w:rFonts w:ascii="Calibri" w:eastAsia="Calibri" w:hAnsi="Calibri" w:cs="Calibri"/>
          <w:b/>
          <w:bCs/>
          <w:color w:val="000000" w:themeColor="text1"/>
        </w:rPr>
      </w:pPr>
    </w:p>
    <w:p w14:paraId="4683F00C" w14:textId="2277A33C" w:rsidR="00773F7C" w:rsidRPr="0017357E" w:rsidRDefault="00773F7C" w:rsidP="000C799E">
      <w:pPr>
        <w:pStyle w:val="Heading5"/>
      </w:pPr>
      <w:r w:rsidRPr="0017357E">
        <w:t>Theme 4: Curriculum Transformation and Decolonisation</w:t>
      </w:r>
    </w:p>
    <w:p w14:paraId="69720A55" w14:textId="2B35CCBB" w:rsidR="00AC327B" w:rsidRDefault="00EE1655" w:rsidP="00EB11F2">
      <w:pPr>
        <w:shd w:val="clear" w:color="auto" w:fill="FFFFFF"/>
        <w:spacing w:line="259" w:lineRule="auto"/>
        <w:rPr>
          <w:rFonts w:eastAsia="Times New Roman" w:cstheme="minorHAnsi"/>
          <w:color w:val="000000"/>
          <w:bdr w:val="none" w:sz="0" w:space="0" w:color="auto" w:frame="1"/>
          <w:lang w:eastAsia="en-GB"/>
        </w:rPr>
      </w:pPr>
      <w:r w:rsidRPr="00447EAC">
        <w:rPr>
          <w:rFonts w:ascii="Calibri" w:eastAsia="Times New Roman" w:hAnsi="Calibri" w:cs="Calibri"/>
          <w:color w:val="000000"/>
          <w:bdr w:val="none" w:sz="0" w:space="0" w:color="auto" w:frame="1"/>
          <w:lang w:eastAsia="en-GB"/>
        </w:rPr>
        <w:t>The final theme engaged with the need to decolonise the curriculum as an important aspect of addressing the University’s history and legacies of enslavement, colonialism and the development of racial thought. Th</w:t>
      </w:r>
      <w:r>
        <w:rPr>
          <w:rFonts w:ascii="Calibri" w:eastAsia="Times New Roman" w:hAnsi="Calibri" w:cs="Calibri"/>
          <w:color w:val="000000"/>
          <w:bdr w:val="none" w:sz="0" w:space="0" w:color="auto" w:frame="1"/>
          <w:lang w:eastAsia="en-GB"/>
        </w:rPr>
        <w:t>is aligns with th</w:t>
      </w:r>
      <w:r w:rsidRPr="00447EAC">
        <w:rPr>
          <w:rFonts w:ascii="Calibri" w:eastAsia="Times New Roman" w:hAnsi="Calibri" w:cs="Calibri"/>
          <w:color w:val="000000"/>
          <w:bdr w:val="none" w:sz="0" w:space="0" w:color="auto" w:frame="1"/>
          <w:lang w:eastAsia="en-GB"/>
        </w:rPr>
        <w:t xml:space="preserve">e stated aspirations in </w:t>
      </w:r>
      <w:r w:rsidR="00090A05">
        <w:rPr>
          <w:rFonts w:ascii="Calibri" w:eastAsia="Times New Roman" w:hAnsi="Calibri" w:cs="Calibri"/>
          <w:color w:val="000000"/>
          <w:bdr w:val="none" w:sz="0" w:space="0" w:color="auto" w:frame="1"/>
          <w:lang w:eastAsia="en-GB"/>
        </w:rPr>
        <w:t xml:space="preserve">the </w:t>
      </w:r>
      <w:r w:rsidRPr="00447EAC">
        <w:rPr>
          <w:rFonts w:ascii="Calibri" w:eastAsia="Times New Roman" w:hAnsi="Calibri" w:cs="Calibri"/>
          <w:color w:val="000000"/>
          <w:bdr w:val="none" w:sz="0" w:space="0" w:color="auto" w:frame="1"/>
          <w:lang w:eastAsia="en-GB"/>
        </w:rPr>
        <w:t>University of Edinburgh’s Strategy 2023</w:t>
      </w:r>
      <w:r w:rsidR="00090A05">
        <w:rPr>
          <w:rFonts w:ascii="Calibri" w:eastAsia="Times New Roman" w:hAnsi="Calibri" w:cs="Calibri"/>
          <w:color w:val="000000"/>
          <w:bdr w:val="none" w:sz="0" w:space="0" w:color="auto" w:frame="1"/>
          <w:lang w:eastAsia="en-GB"/>
        </w:rPr>
        <w:t xml:space="preserve"> that</w:t>
      </w:r>
      <w:r w:rsidRPr="00447EAC">
        <w:rPr>
          <w:rFonts w:ascii="Calibri" w:eastAsia="Times New Roman" w:hAnsi="Calibri" w:cs="Calibri"/>
          <w:color w:val="000000"/>
          <w:bdr w:val="none" w:sz="0" w:space="0" w:color="auto" w:frame="1"/>
          <w:lang w:eastAsia="en-GB"/>
        </w:rPr>
        <w:t xml:space="preserve"> point to ‘a values-led approach to teaching, research and innovation’ that will be developed ‘through the strength of our relationships, both locally and globally’.</w:t>
      </w:r>
      <w:r w:rsidR="00BA7481" w:rsidRPr="0017357E">
        <w:rPr>
          <w:rStyle w:val="FootnoteReference"/>
          <w:rFonts w:ascii="Calibri" w:eastAsia="Calibri" w:hAnsi="Calibri" w:cs="Calibri"/>
          <w:color w:val="000000" w:themeColor="text1"/>
        </w:rPr>
        <w:footnoteReference w:id="226"/>
      </w:r>
      <w:r w:rsidR="00FE7371">
        <w:rPr>
          <w:rFonts w:ascii="Calibri" w:eastAsia="Times New Roman" w:hAnsi="Calibri" w:cs="Calibri"/>
          <w:color w:val="000000"/>
          <w:bdr w:val="none" w:sz="0" w:space="0" w:color="auto" w:frame="1"/>
          <w:lang w:eastAsia="en-GB"/>
        </w:rPr>
        <w:t xml:space="preserve"> </w:t>
      </w:r>
      <w:r w:rsidR="00FE7371" w:rsidRPr="00447EAC">
        <w:rPr>
          <w:rFonts w:ascii="Calibri" w:eastAsia="Times New Roman" w:hAnsi="Calibri" w:cs="Calibri"/>
          <w:color w:val="000000"/>
          <w:bdr w:val="none" w:sz="0" w:space="0" w:color="auto" w:frame="1"/>
          <w:lang w:eastAsia="en-GB"/>
        </w:rPr>
        <w:t xml:space="preserve">However, </w:t>
      </w:r>
      <w:r w:rsidR="00FE7371">
        <w:rPr>
          <w:rFonts w:ascii="Calibri" w:eastAsia="Times New Roman" w:hAnsi="Calibri" w:cs="Calibri"/>
          <w:color w:val="000000"/>
          <w:bdr w:val="none" w:sz="0" w:space="0" w:color="auto" w:frame="1"/>
          <w:lang w:eastAsia="en-GB"/>
        </w:rPr>
        <w:t>a</w:t>
      </w:r>
      <w:r w:rsidR="00FE7371" w:rsidRPr="00447EAC">
        <w:rPr>
          <w:rFonts w:ascii="Calibri" w:eastAsia="Times New Roman" w:hAnsi="Calibri" w:cs="Calibri"/>
          <w:color w:val="000000"/>
          <w:bdr w:val="none" w:sz="0" w:space="0" w:color="auto" w:frame="1"/>
          <w:lang w:eastAsia="en-GB"/>
        </w:rPr>
        <w:t xml:space="preserve"> recent Principal’s Teaching Award Scheme project</w:t>
      </w:r>
      <w:r w:rsidR="00F651A0">
        <w:rPr>
          <w:rFonts w:ascii="Calibri" w:eastAsia="Times New Roman" w:hAnsi="Calibri" w:cs="Calibri"/>
          <w:color w:val="000000"/>
          <w:bdr w:val="none" w:sz="0" w:space="0" w:color="auto" w:frame="1"/>
          <w:lang w:eastAsia="en-GB"/>
        </w:rPr>
        <w:t>,</w:t>
      </w:r>
      <w:r w:rsidR="00FE7371" w:rsidRPr="00447EAC">
        <w:rPr>
          <w:rFonts w:ascii="Calibri" w:eastAsia="Times New Roman" w:hAnsi="Calibri" w:cs="Calibri"/>
          <w:color w:val="000000"/>
          <w:bdr w:val="none" w:sz="0" w:space="0" w:color="auto" w:frame="1"/>
          <w:lang w:eastAsia="en-GB"/>
        </w:rPr>
        <w:t xml:space="preserve"> </w:t>
      </w:r>
      <w:r w:rsidR="00FE7371">
        <w:rPr>
          <w:rFonts w:ascii="Calibri" w:eastAsia="Times New Roman" w:hAnsi="Calibri" w:cs="Calibri"/>
          <w:color w:val="000000"/>
          <w:bdr w:val="none" w:sz="0" w:space="0" w:color="auto" w:frame="1"/>
          <w:lang w:eastAsia="en-GB"/>
        </w:rPr>
        <w:t>led</w:t>
      </w:r>
      <w:r w:rsidR="00FE7371" w:rsidRPr="00447EAC">
        <w:rPr>
          <w:rFonts w:ascii="Calibri" w:eastAsia="Times New Roman" w:hAnsi="Calibri" w:cs="Calibri"/>
          <w:color w:val="000000"/>
          <w:bdr w:val="none" w:sz="0" w:space="0" w:color="auto" w:frame="1"/>
          <w:lang w:eastAsia="en-GB"/>
        </w:rPr>
        <w:t xml:space="preserve"> by </w:t>
      </w:r>
      <w:hyperlink r:id="rId152" w:history="1">
        <w:r w:rsidR="00FE7371" w:rsidRPr="00FD4782">
          <w:rPr>
            <w:rStyle w:val="Hyperlink"/>
            <w:rFonts w:ascii="Calibri" w:eastAsia="Times New Roman" w:hAnsi="Calibri" w:cs="Calibri"/>
            <w:bdr w:val="none" w:sz="0" w:space="0" w:color="auto" w:frame="1"/>
            <w:lang w:eastAsia="en-GB"/>
          </w:rPr>
          <w:t>Dr Omolabake Fakunle</w:t>
        </w:r>
      </w:hyperlink>
      <w:r w:rsidR="00FE7371">
        <w:rPr>
          <w:rFonts w:ascii="Calibri" w:eastAsia="Times New Roman" w:hAnsi="Calibri" w:cs="Calibri"/>
          <w:color w:val="000000"/>
          <w:bdr w:val="none" w:sz="0" w:space="0" w:color="auto" w:frame="1"/>
          <w:lang w:eastAsia="en-GB"/>
        </w:rPr>
        <w:t xml:space="preserve"> (</w:t>
      </w:r>
      <w:r w:rsidR="003F5D48" w:rsidRPr="00447EAC">
        <w:rPr>
          <w:rFonts w:eastAsia="Times New Roman" w:cstheme="minorHAnsi"/>
          <w:color w:val="242424"/>
          <w:lang w:eastAsia="en-GB"/>
        </w:rPr>
        <w:t>Senior Lecturer and Chancellor’s Fellow at Moray House School of Education and Sport</w:t>
      </w:r>
      <w:r w:rsidR="003F5D48">
        <w:rPr>
          <w:rFonts w:eastAsia="Times New Roman" w:cstheme="minorHAnsi"/>
          <w:color w:val="242424"/>
          <w:lang w:eastAsia="en-GB"/>
        </w:rPr>
        <w:t>)</w:t>
      </w:r>
      <w:r w:rsidR="00F651A0">
        <w:rPr>
          <w:rFonts w:eastAsia="Times New Roman" w:cstheme="minorHAnsi"/>
          <w:color w:val="242424"/>
          <w:lang w:eastAsia="en-GB"/>
        </w:rPr>
        <w:t>,</w:t>
      </w:r>
      <w:r w:rsidR="00FE7371" w:rsidRPr="00447EAC">
        <w:rPr>
          <w:rFonts w:ascii="Calibri" w:eastAsia="Times New Roman" w:hAnsi="Calibri" w:cs="Calibri"/>
          <w:color w:val="000000"/>
          <w:bdr w:val="none" w:sz="0" w:space="0" w:color="auto" w:frame="1"/>
          <w:lang w:eastAsia="en-GB"/>
        </w:rPr>
        <w:t xml:space="preserve"> revealed a lack of connection of inclusion and internationalisation narratives in the mission and vision statements of Schools across the University, pointing to a structural gap.</w:t>
      </w:r>
      <w:r w:rsidR="00350080" w:rsidRPr="0017357E">
        <w:rPr>
          <w:rStyle w:val="FootnoteReference"/>
          <w:rFonts w:ascii="Calibri" w:eastAsia="Calibri" w:hAnsi="Calibri" w:cs="Calibri"/>
          <w:color w:val="000000" w:themeColor="text1"/>
        </w:rPr>
        <w:footnoteReference w:id="227"/>
      </w:r>
      <w:r w:rsidR="00AC327B">
        <w:rPr>
          <w:rFonts w:ascii="Calibri" w:eastAsia="Times New Roman" w:hAnsi="Calibri" w:cs="Calibri"/>
          <w:color w:val="000000"/>
          <w:bdr w:val="none" w:sz="0" w:space="0" w:color="auto" w:frame="1"/>
          <w:lang w:eastAsia="en-GB"/>
        </w:rPr>
        <w:t xml:space="preserve"> </w:t>
      </w:r>
      <w:r w:rsidR="00AC327B" w:rsidRPr="00447EAC">
        <w:rPr>
          <w:rFonts w:ascii="Calibri" w:eastAsia="Times New Roman" w:hAnsi="Calibri" w:cs="Calibri"/>
          <w:color w:val="000000"/>
          <w:bdr w:val="none" w:sz="0" w:space="0" w:color="auto" w:frame="1"/>
          <w:lang w:eastAsia="en-GB"/>
        </w:rPr>
        <w:t xml:space="preserve">To address this </w:t>
      </w:r>
      <w:r w:rsidR="00AC327B" w:rsidRPr="00447EAC">
        <w:rPr>
          <w:rFonts w:eastAsia="Times New Roman" w:cstheme="minorHAnsi"/>
          <w:color w:val="000000"/>
          <w:bdr w:val="none" w:sz="0" w:space="0" w:color="auto" w:frame="1"/>
          <w:lang w:eastAsia="en-GB"/>
        </w:rPr>
        <w:t>concern, the REAR Action Plan (section 4) called for the nomination of a lead person to steer the decolonisation aspects of the</w:t>
      </w:r>
      <w:r w:rsidR="00F651A0">
        <w:rPr>
          <w:rFonts w:eastAsia="Times New Roman" w:cstheme="minorHAnsi"/>
          <w:color w:val="000000"/>
          <w:bdr w:val="none" w:sz="0" w:space="0" w:color="auto" w:frame="1"/>
          <w:lang w:eastAsia="en-GB"/>
        </w:rPr>
        <w:t xml:space="preserve"> University’s</w:t>
      </w:r>
      <w:r w:rsidR="00291FB8">
        <w:rPr>
          <w:rFonts w:eastAsia="Times New Roman" w:cstheme="minorHAnsi"/>
          <w:color w:val="000000"/>
          <w:bdr w:val="none" w:sz="0" w:space="0" w:color="auto" w:frame="1"/>
          <w:lang w:eastAsia="en-GB"/>
        </w:rPr>
        <w:t xml:space="preserve"> </w:t>
      </w:r>
      <w:hyperlink r:id="rId153" w:tgtFrame="_blank" w:tooltip="https://www.ed.ac.uk/staff/teaching-matters/curriculum-transformation-programme" w:history="1">
        <w:r w:rsidR="00AC327B" w:rsidRPr="00447EAC">
          <w:rPr>
            <w:rFonts w:eastAsia="Times New Roman" w:cstheme="minorHAnsi"/>
            <w:color w:val="000000"/>
            <w:u w:val="single"/>
            <w:bdr w:val="none" w:sz="0" w:space="0" w:color="auto" w:frame="1"/>
            <w:lang w:eastAsia="en-GB"/>
          </w:rPr>
          <w:t>Curriculum Transformation Programme</w:t>
        </w:r>
      </w:hyperlink>
      <w:r w:rsidR="00AC327B" w:rsidRPr="00447EAC">
        <w:rPr>
          <w:rFonts w:eastAsia="Times New Roman" w:cstheme="minorHAnsi"/>
          <w:color w:val="000000"/>
          <w:bdr w:val="none" w:sz="0" w:space="0" w:color="auto" w:frame="1"/>
          <w:lang w:eastAsia="en-GB"/>
        </w:rPr>
        <w:t>. In</w:t>
      </w:r>
      <w:r w:rsidR="00291FB8">
        <w:rPr>
          <w:rFonts w:eastAsia="Times New Roman" w:cstheme="minorHAnsi"/>
          <w:color w:val="000000"/>
          <w:bdr w:val="none" w:sz="0" w:space="0" w:color="auto" w:frame="1"/>
          <w:lang w:eastAsia="en-GB"/>
        </w:rPr>
        <w:t xml:space="preserve"> </w:t>
      </w:r>
      <w:r w:rsidR="00AC327B" w:rsidRPr="000B1390">
        <w:rPr>
          <w:rFonts w:eastAsia="Times New Roman" w:cstheme="minorHAnsi"/>
          <w:color w:val="000000"/>
          <w:bdr w:val="none" w:sz="0" w:space="0" w:color="auto" w:frame="1"/>
          <w:lang w:eastAsia="en-GB"/>
        </w:rPr>
        <w:t>November 2023</w:t>
      </w:r>
      <w:r w:rsidR="00FD4782">
        <w:rPr>
          <w:rFonts w:eastAsia="Times New Roman" w:cstheme="minorHAnsi"/>
          <w:color w:val="000000"/>
          <w:bdr w:val="none" w:sz="0" w:space="0" w:color="auto" w:frame="1"/>
          <w:lang w:eastAsia="en-GB"/>
        </w:rPr>
        <w:t>,</w:t>
      </w:r>
      <w:r w:rsidR="00291FB8">
        <w:rPr>
          <w:rFonts w:eastAsia="Times New Roman" w:cstheme="minorHAnsi"/>
          <w:color w:val="000000"/>
          <w:bdr w:val="none" w:sz="0" w:space="0" w:color="auto" w:frame="1"/>
          <w:lang w:eastAsia="en-GB"/>
        </w:rPr>
        <w:t xml:space="preserve"> </w:t>
      </w:r>
      <w:r w:rsidR="00AC327B" w:rsidRPr="00FD4782">
        <w:rPr>
          <w:rFonts w:eastAsia="Times New Roman" w:cstheme="minorHAnsi"/>
          <w:color w:val="000000"/>
          <w:bdr w:val="none" w:sz="0" w:space="0" w:color="auto" w:frame="1"/>
          <w:lang w:eastAsia="en-GB"/>
        </w:rPr>
        <w:t>Dr Fakunle</w:t>
      </w:r>
      <w:r w:rsidR="00FD4782">
        <w:rPr>
          <w:rFonts w:eastAsia="Times New Roman" w:cstheme="minorHAnsi"/>
          <w:color w:val="242424"/>
          <w:lang w:eastAsia="en-GB"/>
        </w:rPr>
        <w:t xml:space="preserve"> </w:t>
      </w:r>
      <w:r w:rsidR="00AC327B" w:rsidRPr="00447EAC">
        <w:rPr>
          <w:rFonts w:eastAsia="Times New Roman" w:cstheme="minorHAnsi"/>
          <w:color w:val="242424"/>
          <w:lang w:eastAsia="en-GB"/>
        </w:rPr>
        <w:t xml:space="preserve">was appointed to this position and has </w:t>
      </w:r>
      <w:r w:rsidR="00AC327B" w:rsidRPr="000B1390">
        <w:rPr>
          <w:rFonts w:eastAsia="Times New Roman" w:cstheme="minorHAnsi"/>
          <w:color w:val="242424"/>
          <w:lang w:eastAsia="en-GB"/>
        </w:rPr>
        <w:t>undertaken a scoping review of current decolonisation initiatives at Edinburgh across the three Colleges</w:t>
      </w:r>
      <w:r w:rsidR="001024C0">
        <w:rPr>
          <w:rFonts w:eastAsia="Times New Roman" w:cstheme="minorHAnsi"/>
          <w:color w:val="242424"/>
          <w:lang w:eastAsia="en-GB"/>
        </w:rPr>
        <w:t>. This</w:t>
      </w:r>
      <w:r w:rsidR="00AC327B" w:rsidRPr="000B1390">
        <w:rPr>
          <w:rFonts w:eastAsia="Times New Roman" w:cstheme="minorHAnsi"/>
          <w:color w:val="242424"/>
          <w:lang w:eastAsia="en-GB"/>
        </w:rPr>
        <w:t xml:space="preserve"> includ</w:t>
      </w:r>
      <w:r w:rsidR="001024C0">
        <w:rPr>
          <w:rFonts w:eastAsia="Times New Roman" w:cstheme="minorHAnsi"/>
          <w:color w:val="242424"/>
          <w:lang w:eastAsia="en-GB"/>
        </w:rPr>
        <w:t xml:space="preserve">es both the </w:t>
      </w:r>
      <w:r w:rsidR="00AC327B" w:rsidRPr="000B1390">
        <w:rPr>
          <w:rFonts w:eastAsia="Times New Roman" w:cstheme="minorHAnsi"/>
          <w:color w:val="242424"/>
          <w:lang w:eastAsia="en-GB"/>
        </w:rPr>
        <w:t xml:space="preserve">Decolonising Working Groups set out across different </w:t>
      </w:r>
      <w:r w:rsidR="001024C0">
        <w:rPr>
          <w:rFonts w:eastAsia="Times New Roman" w:cstheme="minorHAnsi"/>
          <w:color w:val="242424"/>
          <w:lang w:eastAsia="en-GB"/>
        </w:rPr>
        <w:t>S</w:t>
      </w:r>
      <w:r w:rsidR="00AC327B" w:rsidRPr="000B1390">
        <w:rPr>
          <w:rFonts w:eastAsia="Times New Roman" w:cstheme="minorHAnsi"/>
          <w:color w:val="242424"/>
          <w:lang w:eastAsia="en-GB"/>
        </w:rPr>
        <w:t xml:space="preserve">chools in the </w:t>
      </w:r>
      <w:r w:rsidR="001024C0">
        <w:rPr>
          <w:rFonts w:eastAsia="Times New Roman" w:cstheme="minorHAnsi"/>
          <w:color w:val="242424"/>
          <w:lang w:eastAsia="en-GB"/>
        </w:rPr>
        <w:t>U</w:t>
      </w:r>
      <w:r w:rsidR="00AC327B" w:rsidRPr="000B1390">
        <w:rPr>
          <w:rFonts w:eastAsia="Times New Roman" w:cstheme="minorHAnsi"/>
          <w:color w:val="242424"/>
          <w:lang w:eastAsia="en-GB"/>
        </w:rPr>
        <w:t>niversity, and decolonisation</w:t>
      </w:r>
      <w:r w:rsidR="001024C0">
        <w:rPr>
          <w:rFonts w:eastAsia="Times New Roman" w:cstheme="minorHAnsi"/>
          <w:color w:val="242424"/>
          <w:lang w:eastAsia="en-GB"/>
        </w:rPr>
        <w:t>-</w:t>
      </w:r>
      <w:r w:rsidR="00AC327B" w:rsidRPr="000B1390">
        <w:rPr>
          <w:rFonts w:eastAsia="Times New Roman" w:cstheme="minorHAnsi"/>
          <w:color w:val="242424"/>
          <w:lang w:eastAsia="en-GB"/>
        </w:rPr>
        <w:t xml:space="preserve">related courses </w:t>
      </w:r>
      <w:r w:rsidR="001024C0">
        <w:rPr>
          <w:rFonts w:eastAsia="Times New Roman" w:cstheme="minorHAnsi"/>
          <w:color w:val="242424"/>
          <w:lang w:eastAsia="en-GB"/>
        </w:rPr>
        <w:t>such as</w:t>
      </w:r>
      <w:r w:rsidR="00AC327B" w:rsidRPr="000B1390">
        <w:rPr>
          <w:rFonts w:eastAsia="Times New Roman" w:cstheme="minorHAnsi"/>
          <w:color w:val="242424"/>
          <w:lang w:eastAsia="en-GB"/>
        </w:rPr>
        <w:t xml:space="preserve"> those captured on the RaceEd website</w:t>
      </w:r>
      <w:r w:rsidR="00B76E72">
        <w:rPr>
          <w:rFonts w:eastAsia="Times New Roman" w:cstheme="minorHAnsi"/>
          <w:color w:val="242424"/>
          <w:lang w:eastAsia="en-GB"/>
        </w:rPr>
        <w:t>. Examples include</w:t>
      </w:r>
      <w:r w:rsidR="00AC327B" w:rsidRPr="000B1390">
        <w:rPr>
          <w:rFonts w:eastAsia="Times New Roman" w:cstheme="minorHAnsi"/>
          <w:color w:val="242424"/>
          <w:lang w:eastAsia="en-GB"/>
        </w:rPr>
        <w:t xml:space="preserve"> </w:t>
      </w:r>
      <w:r w:rsidR="00AC327B" w:rsidRPr="00447EAC">
        <w:rPr>
          <w:rFonts w:eastAsia="Times New Roman" w:cstheme="minorHAnsi"/>
          <w:color w:val="000000"/>
          <w:bdr w:val="none" w:sz="0" w:space="0" w:color="auto" w:frame="1"/>
          <w:lang w:eastAsia="en-GB"/>
        </w:rPr>
        <w:t>‘</w:t>
      </w:r>
      <w:hyperlink r:id="rId154" w:tgtFrame="_blank" w:tooltip="Original URL: https://www.race.ed.ac.uk/teaching/. Click or tap if you trust this link." w:history="1">
        <w:r w:rsidR="00AC327B" w:rsidRPr="00447EAC">
          <w:rPr>
            <w:rFonts w:eastAsia="Times New Roman" w:cstheme="minorHAnsi"/>
            <w:color w:val="000000"/>
            <w:u w:val="single"/>
            <w:bdr w:val="none" w:sz="0" w:space="0" w:color="auto" w:frame="1"/>
            <w:lang w:eastAsia="en-GB"/>
          </w:rPr>
          <w:t>Understanding Race and Colonialism</w:t>
        </w:r>
      </w:hyperlink>
      <w:r w:rsidR="00AC327B" w:rsidRPr="000B1390">
        <w:rPr>
          <w:rFonts w:eastAsia="Times New Roman" w:cstheme="minorHAnsi"/>
          <w:color w:val="242424"/>
          <w:lang w:eastAsia="en-GB"/>
        </w:rPr>
        <w:t>’</w:t>
      </w:r>
      <w:r w:rsidR="00F651A0">
        <w:rPr>
          <w:rFonts w:eastAsia="Times New Roman" w:cstheme="minorHAnsi"/>
          <w:color w:val="242424"/>
          <w:lang w:eastAsia="en-GB"/>
        </w:rPr>
        <w:t>; the</w:t>
      </w:r>
      <w:r w:rsidR="00EB11F2">
        <w:rPr>
          <w:rFonts w:eastAsia="Times New Roman" w:cstheme="minorHAnsi"/>
          <w:color w:val="242424"/>
          <w:lang w:eastAsia="en-GB"/>
        </w:rPr>
        <w:t xml:space="preserve"> </w:t>
      </w:r>
      <w:r w:rsidR="00AC327B" w:rsidRPr="00447EAC">
        <w:rPr>
          <w:rFonts w:eastAsia="Times New Roman" w:cstheme="minorHAnsi"/>
          <w:color w:val="000000"/>
          <w:bdr w:val="none" w:sz="0" w:space="0" w:color="auto" w:frame="1"/>
          <w:lang w:eastAsia="en-GB"/>
        </w:rPr>
        <w:t>decolonisation-related</w:t>
      </w:r>
      <w:r w:rsidR="00291FB8">
        <w:rPr>
          <w:rFonts w:eastAsia="Times New Roman" w:cstheme="minorHAnsi"/>
          <w:color w:val="000000"/>
          <w:bdr w:val="none" w:sz="0" w:space="0" w:color="auto" w:frame="1"/>
          <w:lang w:eastAsia="en-GB"/>
        </w:rPr>
        <w:t xml:space="preserve"> </w:t>
      </w:r>
      <w:hyperlink r:id="rId155" w:tgtFrame="_blank" w:tooltip="https://blogs.ed.ac.uk/rigen/2022/11/28/is-there-a-tipping-point-before-we-pivot-collectively-and-decisively-for-racial-justice/" w:history="1">
        <w:r w:rsidR="00AC327B" w:rsidRPr="00447EAC">
          <w:rPr>
            <w:rFonts w:eastAsia="Times New Roman" w:cstheme="minorHAnsi"/>
            <w:color w:val="000000"/>
            <w:u w:val="single"/>
            <w:bdr w:val="none" w:sz="0" w:space="0" w:color="auto" w:frame="1"/>
            <w:lang w:eastAsia="en-GB"/>
          </w:rPr>
          <w:t>blog series</w:t>
        </w:r>
      </w:hyperlink>
      <w:r w:rsidR="00291FB8">
        <w:rPr>
          <w:rFonts w:eastAsia="Times New Roman" w:cstheme="minorHAnsi"/>
          <w:color w:val="000000"/>
          <w:bdr w:val="none" w:sz="0" w:space="0" w:color="auto" w:frame="1"/>
          <w:lang w:eastAsia="en-GB"/>
        </w:rPr>
        <w:t xml:space="preserve"> (</w:t>
      </w:r>
      <w:r w:rsidR="00AC327B" w:rsidRPr="00447EAC">
        <w:rPr>
          <w:rFonts w:eastAsia="Times New Roman" w:cstheme="minorHAnsi"/>
          <w:color w:val="000000"/>
          <w:bdr w:val="none" w:sz="0" w:space="0" w:color="auto" w:frame="1"/>
          <w:lang w:eastAsia="en-GB"/>
        </w:rPr>
        <w:t xml:space="preserve">curated by Prof Rowena Arshad) </w:t>
      </w:r>
      <w:r w:rsidR="00AC327B" w:rsidRPr="000B1390">
        <w:rPr>
          <w:rFonts w:eastAsia="Times New Roman" w:cstheme="minorHAnsi"/>
          <w:color w:val="242424"/>
          <w:lang w:eastAsia="en-GB"/>
        </w:rPr>
        <w:t xml:space="preserve">by </w:t>
      </w:r>
      <w:r w:rsidR="00AC327B" w:rsidRPr="00447EAC">
        <w:rPr>
          <w:rFonts w:eastAsia="Times New Roman" w:cstheme="minorHAnsi"/>
          <w:color w:val="000000"/>
          <w:bdr w:val="none" w:sz="0" w:space="0" w:color="auto" w:frame="1"/>
          <w:lang w:eastAsia="en-GB"/>
        </w:rPr>
        <w:t>the</w:t>
      </w:r>
      <w:r w:rsidR="00291FB8">
        <w:rPr>
          <w:rFonts w:eastAsia="Times New Roman" w:cstheme="minorHAnsi"/>
          <w:color w:val="000000"/>
          <w:bdr w:val="none" w:sz="0" w:space="0" w:color="auto" w:frame="1"/>
          <w:lang w:eastAsia="en-GB"/>
        </w:rPr>
        <w:t xml:space="preserve"> </w:t>
      </w:r>
      <w:hyperlink r:id="rId156" w:tgtFrame="_blank" w:tooltip="https://www.ed.ac.uk/education/rke/our-research/social-justice-inclusion/rigen" w:history="1">
        <w:r w:rsidR="00AC327B" w:rsidRPr="00447EAC">
          <w:rPr>
            <w:rFonts w:eastAsia="Times New Roman" w:cstheme="minorHAnsi"/>
            <w:color w:val="000000"/>
            <w:u w:val="single"/>
            <w:bdr w:val="none" w:sz="0" w:space="0" w:color="auto" w:frame="1"/>
            <w:lang w:eastAsia="en-GB"/>
          </w:rPr>
          <w:t>Race and Inclusivity in Global Education Network</w:t>
        </w:r>
      </w:hyperlink>
      <w:r w:rsidR="00F651A0">
        <w:rPr>
          <w:rFonts w:eastAsia="Times New Roman" w:cstheme="minorHAnsi"/>
          <w:color w:val="000000"/>
          <w:bdr w:val="none" w:sz="0" w:space="0" w:color="auto" w:frame="1"/>
          <w:lang w:eastAsia="en-GB"/>
        </w:rPr>
        <w:t>;</w:t>
      </w:r>
      <w:r w:rsidR="00AC327B" w:rsidRPr="00447EAC">
        <w:rPr>
          <w:rFonts w:eastAsia="Times New Roman" w:cstheme="minorHAnsi"/>
          <w:color w:val="000000"/>
          <w:bdr w:val="none" w:sz="0" w:space="0" w:color="auto" w:frame="1"/>
          <w:lang w:eastAsia="en-GB"/>
        </w:rPr>
        <w:t>and the student-led archival project</w:t>
      </w:r>
      <w:r w:rsidR="00291FB8">
        <w:rPr>
          <w:rFonts w:eastAsia="Times New Roman" w:cstheme="minorHAnsi"/>
          <w:color w:val="000000"/>
          <w:bdr w:val="none" w:sz="0" w:space="0" w:color="auto" w:frame="1"/>
          <w:lang w:eastAsia="en-GB"/>
        </w:rPr>
        <w:t xml:space="preserve"> </w:t>
      </w:r>
      <w:hyperlink r:id="rId157" w:tgtFrame="_blank" w:tooltip="Original URL: https://global.ed.ac.uk/uncovered. Click or tap if you trust this link." w:history="1">
        <w:r w:rsidR="00AC327B" w:rsidRPr="00447EAC">
          <w:rPr>
            <w:rFonts w:eastAsia="Times New Roman" w:cstheme="minorHAnsi"/>
            <w:color w:val="000000"/>
            <w:u w:val="single"/>
            <w:bdr w:val="none" w:sz="0" w:space="0" w:color="auto" w:frame="1"/>
            <w:lang w:eastAsia="en-GB"/>
          </w:rPr>
          <w:t>UncoverED</w:t>
        </w:r>
      </w:hyperlink>
      <w:r w:rsidR="00291FB8">
        <w:rPr>
          <w:rFonts w:eastAsia="Times New Roman" w:cstheme="minorHAnsi"/>
          <w:color w:val="000000"/>
          <w:bdr w:val="none" w:sz="0" w:space="0" w:color="auto" w:frame="1"/>
          <w:lang w:eastAsia="en-GB"/>
        </w:rPr>
        <w:t xml:space="preserve"> </w:t>
      </w:r>
      <w:r w:rsidR="00AC327B" w:rsidRPr="00447EAC">
        <w:rPr>
          <w:rFonts w:eastAsia="Times New Roman" w:cstheme="minorHAnsi"/>
          <w:color w:val="000000"/>
          <w:bdr w:val="none" w:sz="0" w:space="0" w:color="auto" w:frame="1"/>
          <w:lang w:eastAsia="en-GB"/>
        </w:rPr>
        <w:t>that created a database of students who attended the University of Edinburgh from Africa, the Caribbean, Asia and the Americas from as early as 1700.</w:t>
      </w:r>
    </w:p>
    <w:p w14:paraId="1473094C" w14:textId="48AF30D7" w:rsidR="00382FF0" w:rsidRPr="00447EAC" w:rsidRDefault="00382FF0" w:rsidP="00EB11F2">
      <w:pPr>
        <w:shd w:val="clear" w:color="auto" w:fill="FFFFFF"/>
        <w:spacing w:line="259" w:lineRule="auto"/>
        <w:rPr>
          <w:rFonts w:ascii="Arial" w:eastAsia="Times New Roman" w:hAnsi="Arial" w:cs="Arial"/>
          <w:color w:val="242424"/>
          <w:lang w:eastAsia="en-GB"/>
        </w:rPr>
      </w:pPr>
      <w:r>
        <w:rPr>
          <w:rFonts w:eastAsia="Times New Roman" w:cstheme="minorHAnsi"/>
          <w:color w:val="000000"/>
          <w:bdr w:val="none" w:sz="0" w:space="0" w:color="auto" w:frame="1"/>
          <w:lang w:eastAsia="en-GB"/>
        </w:rPr>
        <w:tab/>
      </w:r>
      <w:r w:rsidRPr="000B1390">
        <w:rPr>
          <w:rFonts w:eastAsia="Times New Roman" w:cstheme="minorHAnsi"/>
          <w:color w:val="242424"/>
          <w:lang w:eastAsia="en-GB"/>
        </w:rPr>
        <w:t>A key aspect of the work involves</w:t>
      </w:r>
      <w:r w:rsidRPr="00447EAC">
        <w:rPr>
          <w:rFonts w:eastAsia="Times New Roman" w:cstheme="minorHAnsi"/>
          <w:color w:val="242424"/>
          <w:lang w:eastAsia="en-GB"/>
        </w:rPr>
        <w:t xml:space="preserve"> engaging and consulting with </w:t>
      </w:r>
      <w:r w:rsidRPr="000B1390">
        <w:rPr>
          <w:rFonts w:eastAsia="Times New Roman" w:cstheme="minorHAnsi"/>
          <w:color w:val="242424"/>
          <w:lang w:eastAsia="en-GB"/>
        </w:rPr>
        <w:t xml:space="preserve">staff and </w:t>
      </w:r>
      <w:r w:rsidRPr="00447EAC">
        <w:rPr>
          <w:rFonts w:eastAsia="Times New Roman" w:cstheme="minorHAnsi"/>
          <w:color w:val="242424"/>
          <w:lang w:eastAsia="en-GB"/>
        </w:rPr>
        <w:t xml:space="preserve">students to </w:t>
      </w:r>
      <w:r w:rsidRPr="000B1390">
        <w:rPr>
          <w:rFonts w:eastAsia="Times New Roman" w:cstheme="minorHAnsi"/>
          <w:color w:val="242424"/>
          <w:lang w:eastAsia="en-GB"/>
        </w:rPr>
        <w:t xml:space="preserve">understand commonalities and differences in meanings attributed to decolonisation in </w:t>
      </w:r>
      <w:r w:rsidRPr="000B1390">
        <w:rPr>
          <w:rFonts w:eastAsia="Times New Roman" w:cstheme="minorHAnsi"/>
          <w:color w:val="242424"/>
          <w:lang w:eastAsia="en-GB"/>
        </w:rPr>
        <w:lastRenderedPageBreak/>
        <w:t>practice</w:t>
      </w:r>
      <w:r w:rsidRPr="00447EAC">
        <w:rPr>
          <w:rFonts w:eastAsia="Times New Roman" w:cstheme="minorHAnsi"/>
          <w:color w:val="242424"/>
          <w:lang w:eastAsia="en-GB"/>
        </w:rPr>
        <w:t xml:space="preserve"> across the different </w:t>
      </w:r>
      <w:r w:rsidR="00F651A0">
        <w:rPr>
          <w:rFonts w:eastAsia="Times New Roman" w:cstheme="minorHAnsi"/>
          <w:color w:val="242424"/>
          <w:lang w:eastAsia="en-GB"/>
        </w:rPr>
        <w:t>C</w:t>
      </w:r>
      <w:r w:rsidRPr="00447EAC">
        <w:rPr>
          <w:rFonts w:eastAsia="Times New Roman" w:cstheme="minorHAnsi"/>
          <w:color w:val="242424"/>
          <w:lang w:eastAsia="en-GB"/>
        </w:rPr>
        <w:t>olleges</w:t>
      </w:r>
      <w:r w:rsidRPr="00447EAC">
        <w:rPr>
          <w:rFonts w:eastAsia="Times New Roman" w:cstheme="minorHAnsi"/>
          <w:color w:val="000000"/>
          <w:bdr w:val="none" w:sz="0" w:space="0" w:color="auto" w:frame="1"/>
          <w:lang w:eastAsia="en-GB"/>
        </w:rPr>
        <w:t xml:space="preserve">. As a representative of the REWG, the Community Engagement Officer attended the </w:t>
      </w:r>
      <w:r w:rsidRPr="000B1390">
        <w:rPr>
          <w:rFonts w:eastAsia="Times New Roman" w:cstheme="minorHAnsi"/>
          <w:color w:val="000000"/>
          <w:bdr w:val="none" w:sz="0" w:space="0" w:color="auto" w:frame="1"/>
          <w:lang w:eastAsia="en-GB"/>
        </w:rPr>
        <w:t xml:space="preserve">in-person </w:t>
      </w:r>
      <w:r w:rsidRPr="00447EAC">
        <w:rPr>
          <w:rFonts w:eastAsia="Times New Roman" w:cstheme="minorHAnsi"/>
          <w:color w:val="000000"/>
          <w:bdr w:val="none" w:sz="0" w:space="0" w:color="auto" w:frame="1"/>
          <w:lang w:eastAsia="en-GB"/>
        </w:rPr>
        <w:t>student roundtables organised</w:t>
      </w:r>
      <w:r>
        <w:rPr>
          <w:rFonts w:eastAsia="Times New Roman" w:cstheme="minorHAnsi"/>
          <w:color w:val="000000"/>
          <w:bdr w:val="none" w:sz="0" w:space="0" w:color="auto" w:frame="1"/>
          <w:lang w:eastAsia="en-GB"/>
        </w:rPr>
        <w:t xml:space="preserve"> </w:t>
      </w:r>
      <w:r w:rsidRPr="00447EAC">
        <w:rPr>
          <w:rFonts w:eastAsia="Times New Roman" w:cstheme="minorHAnsi"/>
          <w:color w:val="000000"/>
          <w:bdr w:val="none" w:sz="0" w:space="0" w:color="auto" w:frame="1"/>
          <w:lang w:eastAsia="en-GB"/>
        </w:rPr>
        <w:t>by</w:t>
      </w:r>
      <w:r w:rsidR="00CE1BE3">
        <w:rPr>
          <w:rFonts w:eastAsia="Times New Roman" w:cstheme="minorHAnsi"/>
          <w:color w:val="000000"/>
          <w:bdr w:val="none" w:sz="0" w:space="0" w:color="auto" w:frame="1"/>
          <w:lang w:eastAsia="en-GB"/>
        </w:rPr>
        <w:t xml:space="preserve"> </w:t>
      </w:r>
      <w:r w:rsidRPr="00CE1BE3">
        <w:rPr>
          <w:rFonts w:eastAsia="Times New Roman" w:cstheme="minorHAnsi"/>
          <w:color w:val="000000"/>
          <w:bdr w:val="none" w:sz="0" w:space="0" w:color="auto" w:frame="1"/>
          <w:lang w:eastAsia="en-GB"/>
        </w:rPr>
        <w:t>Dr Fakunle</w:t>
      </w:r>
      <w:r w:rsidR="00CE1BE3">
        <w:rPr>
          <w:rFonts w:eastAsia="Times New Roman" w:cstheme="minorHAnsi"/>
          <w:color w:val="242424"/>
          <w:lang w:eastAsia="en-GB"/>
        </w:rPr>
        <w:t xml:space="preserve"> </w:t>
      </w:r>
      <w:r w:rsidRPr="00447EAC">
        <w:rPr>
          <w:rFonts w:eastAsia="Times New Roman" w:cstheme="minorHAnsi"/>
          <w:color w:val="000000"/>
          <w:bdr w:val="none" w:sz="0" w:space="0" w:color="auto" w:frame="1"/>
          <w:lang w:eastAsia="en-GB"/>
        </w:rPr>
        <w:t>at</w:t>
      </w:r>
      <w:r w:rsidR="00CE1BE3">
        <w:rPr>
          <w:rFonts w:eastAsia="Times New Roman" w:cstheme="minorHAnsi"/>
          <w:color w:val="000000"/>
          <w:bdr w:val="none" w:sz="0" w:space="0" w:color="auto" w:frame="1"/>
          <w:lang w:eastAsia="en-GB"/>
        </w:rPr>
        <w:t xml:space="preserve"> </w:t>
      </w:r>
      <w:r w:rsidRPr="00447EAC">
        <w:rPr>
          <w:rFonts w:eastAsia="Times New Roman" w:cstheme="minorHAnsi"/>
          <w:color w:val="000000"/>
          <w:bdr w:val="none" w:sz="0" w:space="0" w:color="auto" w:frame="1"/>
          <w:shd w:val="clear" w:color="auto" w:fill="FFFFFF"/>
          <w:lang w:eastAsia="en-GB"/>
        </w:rPr>
        <w:t>the Scottish Storytelling Centre on 14 May 2024</w:t>
      </w:r>
      <w:r w:rsidRPr="000B1390">
        <w:rPr>
          <w:rFonts w:eastAsia="Times New Roman" w:cstheme="minorHAnsi"/>
          <w:color w:val="000000"/>
          <w:bdr w:val="none" w:sz="0" w:space="0" w:color="auto" w:frame="1"/>
          <w:shd w:val="clear" w:color="auto" w:fill="FFFFFF"/>
          <w:lang w:eastAsia="en-GB"/>
        </w:rPr>
        <w:t xml:space="preserve"> (partnership with Mastercard ensured the inclusion of online distance learning students as described in this </w:t>
      </w:r>
      <w:hyperlink r:id="rId158" w:history="1">
        <w:r w:rsidRPr="000B1390">
          <w:rPr>
            <w:rStyle w:val="Hyperlink"/>
            <w:rFonts w:eastAsia="Times New Roman" w:cstheme="minorHAnsi"/>
            <w:bdr w:val="none" w:sz="0" w:space="0" w:color="auto" w:frame="1"/>
            <w:shd w:val="clear" w:color="auto" w:fill="FFFFFF"/>
            <w:lang w:eastAsia="en-GB"/>
          </w:rPr>
          <w:t>Teaching Matters blog</w:t>
        </w:r>
      </w:hyperlink>
      <w:r w:rsidRPr="000B1390">
        <w:rPr>
          <w:rFonts w:eastAsia="Times New Roman" w:cstheme="minorHAnsi"/>
          <w:color w:val="000000"/>
          <w:bdr w:val="none" w:sz="0" w:space="0" w:color="auto" w:frame="1"/>
          <w:shd w:val="clear" w:color="auto" w:fill="FFFFFF"/>
          <w:lang w:eastAsia="en-GB"/>
        </w:rPr>
        <w:t>)</w:t>
      </w:r>
      <w:r w:rsidRPr="00447EAC">
        <w:rPr>
          <w:rFonts w:eastAsia="Times New Roman" w:cstheme="minorHAnsi"/>
          <w:color w:val="000000"/>
          <w:bdr w:val="none" w:sz="0" w:space="0" w:color="auto" w:frame="1"/>
          <w:lang w:eastAsia="en-GB"/>
        </w:rPr>
        <w:t>.</w:t>
      </w:r>
      <w:r w:rsidR="00C6002D">
        <w:rPr>
          <w:rStyle w:val="FootnoteReference"/>
          <w:rFonts w:eastAsia="Times New Roman" w:cstheme="minorHAnsi"/>
          <w:color w:val="000000"/>
          <w:bdr w:val="none" w:sz="0" w:space="0" w:color="auto" w:frame="1"/>
          <w:lang w:eastAsia="en-GB"/>
        </w:rPr>
        <w:footnoteReference w:id="228"/>
      </w:r>
      <w:r w:rsidRPr="00447EAC">
        <w:rPr>
          <w:rFonts w:eastAsia="Times New Roman" w:cstheme="minorHAnsi"/>
          <w:color w:val="000000"/>
          <w:bdr w:val="none" w:sz="0" w:space="0" w:color="auto" w:frame="1"/>
          <w:lang w:eastAsia="en-GB"/>
        </w:rPr>
        <w:t xml:space="preserve"> The aim of this session was to </w:t>
      </w:r>
      <w:r w:rsidRPr="000B1390">
        <w:rPr>
          <w:rFonts w:eastAsia="Times New Roman" w:cstheme="minorHAnsi"/>
          <w:color w:val="000000"/>
          <w:bdr w:val="none" w:sz="0" w:space="0" w:color="auto" w:frame="1"/>
          <w:lang w:eastAsia="en-GB"/>
        </w:rPr>
        <w:t xml:space="preserve">understand students’ </w:t>
      </w:r>
      <w:r>
        <w:rPr>
          <w:rFonts w:eastAsia="Times New Roman" w:cstheme="minorHAnsi"/>
          <w:color w:val="000000"/>
          <w:bdr w:val="none" w:sz="0" w:space="0" w:color="auto" w:frame="1"/>
          <w:lang w:eastAsia="en-GB"/>
        </w:rPr>
        <w:t>p</w:t>
      </w:r>
      <w:r w:rsidRPr="000B1390">
        <w:rPr>
          <w:rFonts w:eastAsia="Times New Roman" w:cstheme="minorHAnsi"/>
          <w:color w:val="000000"/>
          <w:bdr w:val="none" w:sz="0" w:space="0" w:color="auto" w:frame="1"/>
          <w:lang w:eastAsia="en-GB"/>
        </w:rPr>
        <w:t>erceptions</w:t>
      </w:r>
      <w:r w:rsidRPr="00447EAC">
        <w:rPr>
          <w:rFonts w:eastAsia="Times New Roman" w:cstheme="minorHAnsi"/>
          <w:color w:val="000000"/>
          <w:bdr w:val="none" w:sz="0" w:space="0" w:color="auto" w:frame="1"/>
          <w:lang w:eastAsia="en-GB"/>
        </w:rPr>
        <w:t xml:space="preserve"> of decolonising the curriculum</w:t>
      </w:r>
      <w:r w:rsidRPr="000B1390">
        <w:rPr>
          <w:rFonts w:eastAsia="Times New Roman" w:cstheme="minorHAnsi"/>
          <w:color w:val="000000"/>
          <w:bdr w:val="none" w:sz="0" w:space="0" w:color="auto" w:frame="1"/>
          <w:lang w:eastAsia="en-GB"/>
        </w:rPr>
        <w:t xml:space="preserve"> based on their experiences of studying at Edinburgh at undergraduate, </w:t>
      </w:r>
      <w:r w:rsidR="00F651A0">
        <w:rPr>
          <w:rFonts w:eastAsia="Times New Roman" w:cstheme="minorHAnsi"/>
          <w:color w:val="000000"/>
          <w:bdr w:val="none" w:sz="0" w:space="0" w:color="auto" w:frame="1"/>
          <w:lang w:eastAsia="en-GB"/>
        </w:rPr>
        <w:t>m</w:t>
      </w:r>
      <w:r w:rsidRPr="000B1390">
        <w:rPr>
          <w:rFonts w:eastAsia="Times New Roman" w:cstheme="minorHAnsi"/>
          <w:color w:val="000000"/>
          <w:bdr w:val="none" w:sz="0" w:space="0" w:color="auto" w:frame="1"/>
          <w:lang w:eastAsia="en-GB"/>
        </w:rPr>
        <w:t xml:space="preserve">asters and doctoral levels. The extensive consultation and review as part of the Curriculum Transformation work on decolonisation informs the development of a transdisciplinary challenge course titled, </w:t>
      </w:r>
      <w:r w:rsidR="009565C2">
        <w:rPr>
          <w:rFonts w:eastAsia="Times New Roman" w:cstheme="minorHAnsi"/>
          <w:color w:val="000000"/>
          <w:bdr w:val="none" w:sz="0" w:space="0" w:color="auto" w:frame="1"/>
          <w:lang w:eastAsia="en-GB"/>
        </w:rPr>
        <w:t>‘</w:t>
      </w:r>
      <w:r w:rsidRPr="000B1390">
        <w:rPr>
          <w:rFonts w:eastAsia="Times New Roman" w:cstheme="minorHAnsi"/>
          <w:color w:val="000000"/>
          <w:bdr w:val="none" w:sz="0" w:space="0" w:color="auto" w:frame="1"/>
          <w:lang w:eastAsia="en-GB"/>
        </w:rPr>
        <w:t xml:space="preserve">Understanding </w:t>
      </w:r>
      <w:r w:rsidR="009565C2">
        <w:rPr>
          <w:rFonts w:eastAsia="Times New Roman" w:cstheme="minorHAnsi"/>
          <w:color w:val="000000"/>
          <w:bdr w:val="none" w:sz="0" w:space="0" w:color="auto" w:frame="1"/>
          <w:lang w:eastAsia="en-GB"/>
        </w:rPr>
        <w:t>D</w:t>
      </w:r>
      <w:r w:rsidRPr="000B1390">
        <w:rPr>
          <w:rFonts w:eastAsia="Times New Roman" w:cstheme="minorHAnsi"/>
          <w:color w:val="000000"/>
          <w:bdr w:val="none" w:sz="0" w:space="0" w:color="auto" w:frame="1"/>
          <w:lang w:eastAsia="en-GB"/>
        </w:rPr>
        <w:t>ecolonisation in a</w:t>
      </w:r>
      <w:r>
        <w:rPr>
          <w:rFonts w:ascii="Calibri" w:eastAsia="Times New Roman" w:hAnsi="Calibri" w:cs="Calibri"/>
          <w:color w:val="000000"/>
          <w:bdr w:val="none" w:sz="0" w:space="0" w:color="auto" w:frame="1"/>
          <w:lang w:eastAsia="en-GB"/>
        </w:rPr>
        <w:t xml:space="preserve"> </w:t>
      </w:r>
      <w:r w:rsidR="009565C2">
        <w:rPr>
          <w:rFonts w:ascii="Calibri" w:eastAsia="Times New Roman" w:hAnsi="Calibri" w:cs="Calibri"/>
          <w:color w:val="000000"/>
          <w:bdr w:val="none" w:sz="0" w:space="0" w:color="auto" w:frame="1"/>
          <w:lang w:eastAsia="en-GB"/>
        </w:rPr>
        <w:t>G</w:t>
      </w:r>
      <w:r>
        <w:rPr>
          <w:rFonts w:ascii="Calibri" w:eastAsia="Times New Roman" w:hAnsi="Calibri" w:cs="Calibri"/>
          <w:color w:val="000000"/>
          <w:bdr w:val="none" w:sz="0" w:space="0" w:color="auto" w:frame="1"/>
          <w:lang w:eastAsia="en-GB"/>
        </w:rPr>
        <w:t xml:space="preserve">lobalised </w:t>
      </w:r>
      <w:r w:rsidR="009565C2">
        <w:rPr>
          <w:rFonts w:ascii="Calibri" w:eastAsia="Times New Roman" w:hAnsi="Calibri" w:cs="Calibri"/>
          <w:color w:val="000000"/>
          <w:bdr w:val="none" w:sz="0" w:space="0" w:color="auto" w:frame="1"/>
          <w:lang w:eastAsia="en-GB"/>
        </w:rPr>
        <w:t>W</w:t>
      </w:r>
      <w:r>
        <w:rPr>
          <w:rFonts w:ascii="Calibri" w:eastAsia="Times New Roman" w:hAnsi="Calibri" w:cs="Calibri"/>
          <w:color w:val="000000"/>
          <w:bdr w:val="none" w:sz="0" w:space="0" w:color="auto" w:frame="1"/>
          <w:lang w:eastAsia="en-GB"/>
        </w:rPr>
        <w:t>orld</w:t>
      </w:r>
      <w:r w:rsidR="009565C2">
        <w:rPr>
          <w:rFonts w:ascii="Calibri" w:eastAsia="Times New Roman" w:hAnsi="Calibri" w:cs="Calibri"/>
          <w:color w:val="000000"/>
          <w:bdr w:val="none" w:sz="0" w:space="0" w:color="auto" w:frame="1"/>
          <w:lang w:eastAsia="en-GB"/>
        </w:rPr>
        <w:t>’. This</w:t>
      </w:r>
      <w:r>
        <w:rPr>
          <w:rFonts w:ascii="Calibri" w:eastAsia="Times New Roman" w:hAnsi="Calibri" w:cs="Calibri"/>
          <w:color w:val="000000"/>
          <w:bdr w:val="none" w:sz="0" w:space="0" w:color="auto" w:frame="1"/>
          <w:lang w:eastAsia="en-GB"/>
        </w:rPr>
        <w:t xml:space="preserve"> is a </w:t>
      </w:r>
      <w:r w:rsidR="009565C2">
        <w:rPr>
          <w:rFonts w:ascii="Calibri" w:eastAsia="Times New Roman" w:hAnsi="Calibri" w:cs="Calibri"/>
          <w:color w:val="000000"/>
          <w:bdr w:val="none" w:sz="0" w:space="0" w:color="auto" w:frame="1"/>
          <w:lang w:eastAsia="en-GB"/>
        </w:rPr>
        <w:t>p</w:t>
      </w:r>
      <w:r>
        <w:rPr>
          <w:rFonts w:ascii="Calibri" w:eastAsia="Times New Roman" w:hAnsi="Calibri" w:cs="Calibri"/>
          <w:color w:val="000000"/>
          <w:bdr w:val="none" w:sz="0" w:space="0" w:color="auto" w:frame="1"/>
          <w:lang w:eastAsia="en-GB"/>
        </w:rPr>
        <w:t xml:space="preserve">re-honours course expected to </w:t>
      </w:r>
      <w:r w:rsidR="009565C2">
        <w:rPr>
          <w:rFonts w:ascii="Calibri" w:eastAsia="Times New Roman" w:hAnsi="Calibri" w:cs="Calibri"/>
          <w:color w:val="000000"/>
          <w:bdr w:val="none" w:sz="0" w:space="0" w:color="auto" w:frame="1"/>
          <w:lang w:eastAsia="en-GB"/>
        </w:rPr>
        <w:t>start running in</w:t>
      </w:r>
      <w:r w:rsidR="009A755C">
        <w:rPr>
          <w:rFonts w:ascii="Calibri" w:eastAsia="Times New Roman" w:hAnsi="Calibri" w:cs="Calibri"/>
          <w:color w:val="000000"/>
          <w:bdr w:val="none" w:sz="0" w:space="0" w:color="auto" w:frame="1"/>
          <w:lang w:eastAsia="en-GB"/>
        </w:rPr>
        <w:t xml:space="preserve"> the</w:t>
      </w:r>
      <w:r>
        <w:rPr>
          <w:rFonts w:ascii="Calibri" w:eastAsia="Times New Roman" w:hAnsi="Calibri" w:cs="Calibri"/>
          <w:color w:val="000000"/>
          <w:bdr w:val="none" w:sz="0" w:space="0" w:color="auto" w:frame="1"/>
          <w:lang w:eastAsia="en-GB"/>
        </w:rPr>
        <w:t xml:space="preserve"> 2025/26 academic year. </w:t>
      </w:r>
      <w:r w:rsidRPr="00447EAC">
        <w:rPr>
          <w:rFonts w:ascii="Calibri" w:eastAsia="Times New Roman" w:hAnsi="Calibri" w:cs="Calibri"/>
          <w:color w:val="000000"/>
          <w:bdr w:val="none" w:sz="0" w:space="0" w:color="auto" w:frame="1"/>
          <w:lang w:eastAsia="en-GB"/>
        </w:rPr>
        <w:t>The curriculum</w:t>
      </w:r>
      <w:r>
        <w:rPr>
          <w:rFonts w:ascii="Calibri" w:eastAsia="Times New Roman" w:hAnsi="Calibri" w:cs="Calibri"/>
          <w:color w:val="000000"/>
          <w:bdr w:val="none" w:sz="0" w:space="0" w:color="auto" w:frame="1"/>
          <w:lang w:eastAsia="en-GB"/>
        </w:rPr>
        <w:t xml:space="preserve"> offers an opportunity to</w:t>
      </w:r>
      <w:r w:rsidRPr="00447EAC">
        <w:rPr>
          <w:rFonts w:ascii="Calibri" w:eastAsia="Times New Roman" w:hAnsi="Calibri" w:cs="Calibri"/>
          <w:color w:val="000000"/>
          <w:bdr w:val="none" w:sz="0" w:space="0" w:color="auto" w:frame="1"/>
          <w:lang w:eastAsia="en-GB"/>
        </w:rPr>
        <w:t xml:space="preserve"> transform the </w:t>
      </w:r>
      <w:r>
        <w:rPr>
          <w:rFonts w:ascii="Calibri" w:eastAsia="Times New Roman" w:hAnsi="Calibri" w:cs="Calibri"/>
          <w:color w:val="000000"/>
          <w:bdr w:val="none" w:sz="0" w:space="0" w:color="auto" w:frame="1"/>
          <w:lang w:eastAsia="en-GB"/>
        </w:rPr>
        <w:t xml:space="preserve">pedagogical </w:t>
      </w:r>
      <w:r w:rsidRPr="00447EAC">
        <w:rPr>
          <w:rFonts w:ascii="Calibri" w:eastAsia="Times New Roman" w:hAnsi="Calibri" w:cs="Calibri"/>
          <w:color w:val="000000"/>
          <w:bdr w:val="none" w:sz="0" w:space="0" w:color="auto" w:frame="1"/>
          <w:lang w:eastAsia="en-GB"/>
        </w:rPr>
        <w:t>climate and culture of a university</w:t>
      </w:r>
      <w:r>
        <w:rPr>
          <w:rFonts w:ascii="Calibri" w:eastAsia="Times New Roman" w:hAnsi="Calibri" w:cs="Calibri"/>
          <w:color w:val="000000"/>
          <w:bdr w:val="none" w:sz="0" w:space="0" w:color="auto" w:frame="1"/>
          <w:lang w:eastAsia="en-GB"/>
        </w:rPr>
        <w:t xml:space="preserve">. For instance, a decolonised curriculum allows learners </w:t>
      </w:r>
      <w:r w:rsidRPr="00447EAC">
        <w:rPr>
          <w:rFonts w:ascii="Calibri" w:eastAsia="Times New Roman" w:hAnsi="Calibri" w:cs="Calibri"/>
          <w:color w:val="000000"/>
          <w:bdr w:val="none" w:sz="0" w:space="0" w:color="auto" w:frame="1"/>
          <w:lang w:eastAsia="en-GB"/>
        </w:rPr>
        <w:t>to call into question the origins of the structures of traditional scholarship</w:t>
      </w:r>
      <w:r>
        <w:rPr>
          <w:rFonts w:ascii="Calibri" w:eastAsia="Times New Roman" w:hAnsi="Calibri" w:cs="Calibri"/>
          <w:color w:val="000000"/>
          <w:bdr w:val="none" w:sz="0" w:space="0" w:color="auto" w:frame="1"/>
          <w:lang w:eastAsia="en-GB"/>
        </w:rPr>
        <w:t xml:space="preserve"> and how</w:t>
      </w:r>
      <w:r w:rsidRPr="00447EAC">
        <w:rPr>
          <w:rFonts w:ascii="Calibri" w:eastAsia="Times New Roman" w:hAnsi="Calibri" w:cs="Calibri"/>
          <w:color w:val="000000"/>
          <w:bdr w:val="none" w:sz="0" w:space="0" w:color="auto" w:frame="1"/>
          <w:lang w:eastAsia="en-GB"/>
        </w:rPr>
        <w:t xml:space="preserve"> hegemonic constructions of knowledge in universities and centres of learning in the Global North </w:t>
      </w:r>
      <w:r>
        <w:rPr>
          <w:rFonts w:ascii="Calibri" w:eastAsia="Times New Roman" w:hAnsi="Calibri" w:cs="Calibri"/>
          <w:color w:val="000000"/>
          <w:bdr w:val="none" w:sz="0" w:space="0" w:color="auto" w:frame="1"/>
          <w:lang w:eastAsia="en-GB"/>
        </w:rPr>
        <w:t xml:space="preserve">are </w:t>
      </w:r>
      <w:r w:rsidRPr="00447EAC">
        <w:rPr>
          <w:rFonts w:ascii="Calibri" w:eastAsia="Times New Roman" w:hAnsi="Calibri" w:cs="Calibri"/>
          <w:color w:val="000000"/>
          <w:bdr w:val="none" w:sz="0" w:space="0" w:color="auto" w:frame="1"/>
          <w:lang w:eastAsia="en-GB"/>
        </w:rPr>
        <w:t>imposed on Global South institutions and communities.</w:t>
      </w:r>
      <w:r>
        <w:rPr>
          <w:rFonts w:ascii="Calibri" w:eastAsia="Times New Roman" w:hAnsi="Calibri" w:cs="Calibri"/>
          <w:color w:val="000000"/>
          <w:bdr w:val="none" w:sz="0" w:space="0" w:color="auto" w:frame="1"/>
          <w:lang w:eastAsia="en-GB"/>
        </w:rPr>
        <w:t xml:space="preserve"> The conceptual and experiential dimensions of th</w:t>
      </w:r>
      <w:r w:rsidR="009A755C">
        <w:rPr>
          <w:rFonts w:ascii="Calibri" w:eastAsia="Times New Roman" w:hAnsi="Calibri" w:cs="Calibri"/>
          <w:color w:val="000000"/>
          <w:bdr w:val="none" w:sz="0" w:space="0" w:color="auto" w:frame="1"/>
          <w:lang w:eastAsia="en-GB"/>
        </w:rPr>
        <w:t xml:space="preserve">is </w:t>
      </w:r>
      <w:r>
        <w:rPr>
          <w:rFonts w:ascii="Calibri" w:eastAsia="Times New Roman" w:hAnsi="Calibri" w:cs="Calibri"/>
          <w:color w:val="000000"/>
          <w:bdr w:val="none" w:sz="0" w:space="0" w:color="auto" w:frame="1"/>
          <w:lang w:eastAsia="en-GB"/>
        </w:rPr>
        <w:t xml:space="preserve">challenge course provide an innovative pathway for engagement with the topic. </w:t>
      </w:r>
    </w:p>
    <w:p w14:paraId="17A03D3C" w14:textId="1B052F32" w:rsidR="00382FF0" w:rsidRDefault="002C2AC4" w:rsidP="00EB11F2">
      <w:pPr>
        <w:shd w:val="clear" w:color="auto" w:fill="FFFFFF"/>
        <w:spacing w:line="259" w:lineRule="auto"/>
        <w:rPr>
          <w:rFonts w:ascii="Calibri" w:eastAsia="Times New Roman" w:hAnsi="Calibri" w:cs="Calibri"/>
          <w:color w:val="000000"/>
          <w:bdr w:val="none" w:sz="0" w:space="0" w:color="auto" w:frame="1"/>
          <w:lang w:eastAsia="en-GB"/>
        </w:rPr>
      </w:pPr>
      <w:r>
        <w:rPr>
          <w:rFonts w:ascii="Calibri" w:eastAsia="Times New Roman" w:hAnsi="Calibri" w:cs="Calibri"/>
          <w:color w:val="000000"/>
          <w:bdr w:val="none" w:sz="0" w:space="0" w:color="auto" w:frame="1"/>
          <w:lang w:eastAsia="en-GB"/>
        </w:rPr>
        <w:tab/>
      </w:r>
      <w:r>
        <w:rPr>
          <w:rFonts w:ascii="Calibri" w:eastAsia="Times New Roman" w:hAnsi="Calibri" w:cs="Calibri"/>
          <w:color w:val="000000"/>
          <w:bdr w:val="none" w:sz="0" w:space="0" w:color="auto" w:frame="1"/>
          <w:shd w:val="clear" w:color="auto" w:fill="FFFFFF"/>
          <w:lang w:eastAsia="en-GB"/>
        </w:rPr>
        <w:t>Further, decolonisation related work embarked upon by t</w:t>
      </w:r>
      <w:r w:rsidRPr="00447EAC">
        <w:rPr>
          <w:rFonts w:ascii="Calibri" w:eastAsia="Times New Roman" w:hAnsi="Calibri" w:cs="Calibri"/>
          <w:color w:val="000000"/>
          <w:bdr w:val="none" w:sz="0" w:space="0" w:color="auto" w:frame="1"/>
          <w:shd w:val="clear" w:color="auto" w:fill="FFFFFF"/>
          <w:lang w:eastAsia="en-GB"/>
        </w:rPr>
        <w:t xml:space="preserve">he REWG </w:t>
      </w:r>
      <w:r>
        <w:rPr>
          <w:rFonts w:ascii="Calibri" w:eastAsia="Times New Roman" w:hAnsi="Calibri" w:cs="Calibri"/>
          <w:color w:val="000000"/>
          <w:bdr w:val="none" w:sz="0" w:space="0" w:color="auto" w:frame="1"/>
          <w:shd w:val="clear" w:color="auto" w:fill="FFFFFF"/>
          <w:lang w:eastAsia="en-GB"/>
        </w:rPr>
        <w:t>include</w:t>
      </w:r>
      <w:r w:rsidR="00F651A0">
        <w:rPr>
          <w:rFonts w:ascii="Calibri" w:eastAsia="Times New Roman" w:hAnsi="Calibri" w:cs="Calibri"/>
          <w:color w:val="000000"/>
          <w:bdr w:val="none" w:sz="0" w:space="0" w:color="auto" w:frame="1"/>
          <w:shd w:val="clear" w:color="auto" w:fill="FFFFFF"/>
          <w:lang w:eastAsia="en-GB"/>
        </w:rPr>
        <w:t>d</w:t>
      </w:r>
      <w:r>
        <w:rPr>
          <w:rFonts w:ascii="Calibri" w:eastAsia="Times New Roman" w:hAnsi="Calibri" w:cs="Calibri"/>
          <w:color w:val="000000"/>
          <w:bdr w:val="none" w:sz="0" w:space="0" w:color="auto" w:frame="1"/>
          <w:shd w:val="clear" w:color="auto" w:fill="FFFFFF"/>
          <w:lang w:eastAsia="en-GB"/>
        </w:rPr>
        <w:t xml:space="preserve"> a </w:t>
      </w:r>
      <w:r w:rsidRPr="00447EAC">
        <w:rPr>
          <w:rFonts w:ascii="Calibri" w:eastAsia="Times New Roman" w:hAnsi="Calibri" w:cs="Calibri"/>
          <w:color w:val="000000"/>
          <w:bdr w:val="none" w:sz="0" w:space="0" w:color="auto" w:frame="1"/>
          <w:shd w:val="clear" w:color="auto" w:fill="FFFFFF"/>
          <w:lang w:eastAsia="en-GB"/>
        </w:rPr>
        <w:t>Student Dialogue event on 13 November</w:t>
      </w:r>
      <w:r>
        <w:rPr>
          <w:rFonts w:ascii="Calibri" w:eastAsia="Times New Roman" w:hAnsi="Calibri" w:cs="Calibri"/>
          <w:color w:val="000000"/>
          <w:bdr w:val="none" w:sz="0" w:space="0" w:color="auto" w:frame="1"/>
          <w:shd w:val="clear" w:color="auto" w:fill="FFFFFF"/>
          <w:lang w:eastAsia="en-GB"/>
        </w:rPr>
        <w:t xml:space="preserve"> </w:t>
      </w:r>
      <w:r w:rsidRPr="00447EAC">
        <w:rPr>
          <w:rFonts w:ascii="Calibri" w:eastAsia="Times New Roman" w:hAnsi="Calibri" w:cs="Calibri"/>
          <w:color w:val="242424"/>
          <w:bdr w:val="none" w:sz="0" w:space="0" w:color="auto" w:frame="1"/>
          <w:lang w:eastAsia="en-GB"/>
        </w:rPr>
        <w:t>2024</w:t>
      </w:r>
      <w:r>
        <w:rPr>
          <w:rFonts w:ascii="Calibri" w:eastAsia="Times New Roman" w:hAnsi="Calibri" w:cs="Calibri"/>
          <w:color w:val="242424"/>
          <w:bdr w:val="none" w:sz="0" w:space="0" w:color="auto" w:frame="1"/>
          <w:lang w:eastAsia="en-GB"/>
        </w:rPr>
        <w:t xml:space="preserve"> </w:t>
      </w:r>
      <w:r w:rsidRPr="00447EAC">
        <w:rPr>
          <w:rFonts w:ascii="Calibri" w:eastAsia="Times New Roman" w:hAnsi="Calibri" w:cs="Calibri"/>
          <w:color w:val="000000"/>
          <w:bdr w:val="none" w:sz="0" w:space="0" w:color="auto" w:frame="1"/>
          <w:shd w:val="clear" w:color="auto" w:fill="FFFFFF"/>
          <w:lang w:eastAsia="en-GB"/>
        </w:rPr>
        <w:t xml:space="preserve">in collaboration with the African Caribbean Medical Society, Black Women in Edinburgh, </w:t>
      </w:r>
      <w:r w:rsidR="00F651A0">
        <w:rPr>
          <w:rFonts w:ascii="Calibri" w:eastAsia="Times New Roman" w:hAnsi="Calibri" w:cs="Calibri"/>
          <w:color w:val="000000"/>
          <w:bdr w:val="none" w:sz="0" w:space="0" w:color="auto" w:frame="1"/>
          <w:shd w:val="clear" w:color="auto" w:fill="FFFFFF"/>
          <w:lang w:eastAsia="en-GB"/>
        </w:rPr>
        <w:t xml:space="preserve">the </w:t>
      </w:r>
      <w:r w:rsidRPr="00447EAC">
        <w:rPr>
          <w:rFonts w:ascii="Calibri" w:eastAsia="Times New Roman" w:hAnsi="Calibri" w:cs="Calibri"/>
          <w:color w:val="000000"/>
          <w:bdr w:val="none" w:sz="0" w:space="0" w:color="auto" w:frame="1"/>
          <w:shd w:val="clear" w:color="auto" w:fill="FFFFFF"/>
          <w:lang w:eastAsia="en-GB"/>
        </w:rPr>
        <w:t xml:space="preserve">African Caribbean Society, and </w:t>
      </w:r>
      <w:r w:rsidR="00F651A0">
        <w:rPr>
          <w:rFonts w:ascii="Calibri" w:eastAsia="Times New Roman" w:hAnsi="Calibri" w:cs="Calibri"/>
          <w:color w:val="000000"/>
          <w:bdr w:val="none" w:sz="0" w:space="0" w:color="auto" w:frame="1"/>
          <w:shd w:val="clear" w:color="auto" w:fill="FFFFFF"/>
          <w:lang w:eastAsia="en-GB"/>
        </w:rPr>
        <w:t xml:space="preserve">the </w:t>
      </w:r>
      <w:proofErr w:type="gramStart"/>
      <w:r w:rsidR="00F651A0">
        <w:rPr>
          <w:rFonts w:ascii="Calibri" w:eastAsia="Times New Roman" w:hAnsi="Calibri" w:cs="Calibri"/>
          <w:color w:val="000000"/>
          <w:bdr w:val="none" w:sz="0" w:space="0" w:color="auto" w:frame="1"/>
          <w:shd w:val="clear" w:color="auto" w:fill="FFFFFF"/>
          <w:lang w:eastAsia="en-GB"/>
        </w:rPr>
        <w:t>University’s</w:t>
      </w:r>
      <w:r w:rsidR="00251B98">
        <w:rPr>
          <w:rStyle w:val="CommentReference"/>
          <w:rFonts w:eastAsiaTheme="minorEastAsia"/>
          <w:lang w:eastAsia="zh-CN"/>
        </w:rPr>
        <w:t xml:space="preserve"> </w:t>
      </w:r>
      <w:r w:rsidR="00917FB2">
        <w:rPr>
          <w:rStyle w:val="CommentReference"/>
          <w:rFonts w:eastAsiaTheme="minorEastAsia"/>
          <w:lang w:eastAsia="zh-CN"/>
        </w:rPr>
        <w:t xml:space="preserve"> </w:t>
      </w:r>
      <w:r w:rsidRPr="00447EAC">
        <w:rPr>
          <w:rFonts w:ascii="Calibri" w:eastAsia="Times New Roman" w:hAnsi="Calibri" w:cs="Calibri"/>
          <w:color w:val="000000"/>
          <w:bdr w:val="none" w:sz="0" w:space="0" w:color="auto" w:frame="1"/>
          <w:shd w:val="clear" w:color="auto" w:fill="FFFFFF"/>
          <w:lang w:eastAsia="en-GB"/>
        </w:rPr>
        <w:t>BAME</w:t>
      </w:r>
      <w:proofErr w:type="gramEnd"/>
      <w:r w:rsidRPr="00447EAC">
        <w:rPr>
          <w:rFonts w:ascii="Calibri" w:eastAsia="Times New Roman" w:hAnsi="Calibri" w:cs="Calibri"/>
          <w:color w:val="000000"/>
          <w:bdr w:val="none" w:sz="0" w:space="0" w:color="auto" w:frame="1"/>
          <w:shd w:val="clear" w:color="auto" w:fill="FFFFFF"/>
          <w:lang w:eastAsia="en-GB"/>
        </w:rPr>
        <w:t xml:space="preserve"> Liberation Officer. Th</w:t>
      </w:r>
      <w:r w:rsidRPr="00447EAC">
        <w:rPr>
          <w:rFonts w:ascii="Calibri" w:eastAsia="Times New Roman" w:hAnsi="Calibri" w:cs="Calibri"/>
          <w:color w:val="242424"/>
          <w:bdr w:val="none" w:sz="0" w:space="0" w:color="auto" w:frame="1"/>
          <w:lang w:eastAsia="en-GB"/>
        </w:rPr>
        <w:t>is</w:t>
      </w:r>
      <w:r>
        <w:rPr>
          <w:rFonts w:ascii="Calibri" w:eastAsia="Times New Roman" w:hAnsi="Calibri" w:cs="Calibri"/>
          <w:color w:val="000000"/>
          <w:bdr w:val="none" w:sz="0" w:space="0" w:color="auto" w:frame="1"/>
          <w:shd w:val="clear" w:color="auto" w:fill="FFFFFF"/>
          <w:lang w:eastAsia="en-GB"/>
        </w:rPr>
        <w:t xml:space="preserve"> </w:t>
      </w:r>
      <w:r w:rsidRPr="00447EAC">
        <w:rPr>
          <w:rFonts w:ascii="Calibri" w:eastAsia="Times New Roman" w:hAnsi="Calibri" w:cs="Calibri"/>
          <w:color w:val="000000"/>
          <w:bdr w:val="none" w:sz="0" w:space="0" w:color="auto" w:frame="1"/>
          <w:shd w:val="clear" w:color="auto" w:fill="FFFFFF"/>
          <w:lang w:eastAsia="en-GB"/>
        </w:rPr>
        <w:t>event explore</w:t>
      </w:r>
      <w:r w:rsidRPr="00447EAC">
        <w:rPr>
          <w:rFonts w:ascii="Calibri" w:eastAsia="Times New Roman" w:hAnsi="Calibri" w:cs="Calibri"/>
          <w:color w:val="242424"/>
          <w:bdr w:val="none" w:sz="0" w:space="0" w:color="auto" w:frame="1"/>
          <w:lang w:eastAsia="en-GB"/>
        </w:rPr>
        <w:t>d</w:t>
      </w:r>
      <w:r>
        <w:rPr>
          <w:rFonts w:ascii="Calibri" w:eastAsia="Times New Roman" w:hAnsi="Calibri" w:cs="Calibri"/>
          <w:color w:val="000000"/>
          <w:bdr w:val="none" w:sz="0" w:space="0" w:color="auto" w:frame="1"/>
          <w:shd w:val="clear" w:color="auto" w:fill="FFFFFF"/>
          <w:lang w:eastAsia="en-GB"/>
        </w:rPr>
        <w:t xml:space="preserve"> </w:t>
      </w:r>
      <w:r w:rsidRPr="00447EAC">
        <w:rPr>
          <w:rFonts w:ascii="Calibri" w:eastAsia="Times New Roman" w:hAnsi="Calibri" w:cs="Calibri"/>
          <w:color w:val="000000"/>
          <w:bdr w:val="none" w:sz="0" w:space="0" w:color="auto" w:frame="1"/>
          <w:shd w:val="clear" w:color="auto" w:fill="FFFFFF"/>
          <w:lang w:eastAsia="en-GB"/>
        </w:rPr>
        <w:t>the REWG’s final recommendations to</w:t>
      </w:r>
      <w:r>
        <w:rPr>
          <w:rFonts w:ascii="Calibri" w:eastAsia="Times New Roman" w:hAnsi="Calibri" w:cs="Calibri"/>
          <w:color w:val="000000"/>
          <w:bdr w:val="none" w:sz="0" w:space="0" w:color="auto" w:frame="1"/>
          <w:shd w:val="clear" w:color="auto" w:fill="FFFFFF"/>
          <w:lang w:eastAsia="en-GB"/>
        </w:rPr>
        <w:t xml:space="preserve"> </w:t>
      </w:r>
      <w:r w:rsidRPr="00447EAC">
        <w:rPr>
          <w:rFonts w:ascii="Calibri" w:eastAsia="Times New Roman" w:hAnsi="Calibri" w:cs="Calibri"/>
          <w:color w:val="242424"/>
          <w:bdr w:val="none" w:sz="0" w:space="0" w:color="auto" w:frame="1"/>
          <w:lang w:eastAsia="en-GB"/>
        </w:rPr>
        <w:t>gather students’ responses</w:t>
      </w:r>
      <w:r>
        <w:rPr>
          <w:rFonts w:ascii="Calibri" w:eastAsia="Times New Roman" w:hAnsi="Calibri" w:cs="Calibri"/>
          <w:color w:val="000000"/>
          <w:bdr w:val="none" w:sz="0" w:space="0" w:color="auto" w:frame="1"/>
          <w:shd w:val="clear" w:color="auto" w:fill="FFFFFF"/>
          <w:lang w:eastAsia="en-GB"/>
        </w:rPr>
        <w:t xml:space="preserve"> </w:t>
      </w:r>
      <w:r w:rsidRPr="00447EAC">
        <w:rPr>
          <w:rFonts w:ascii="Calibri" w:eastAsia="Times New Roman" w:hAnsi="Calibri" w:cs="Calibri"/>
          <w:color w:val="000000"/>
          <w:bdr w:val="none" w:sz="0" w:space="0" w:color="auto" w:frame="1"/>
          <w:shd w:val="clear" w:color="auto" w:fill="FFFFFF"/>
          <w:lang w:eastAsia="en-GB"/>
        </w:rPr>
        <w:t>based on their academic experiences. The event open</w:t>
      </w:r>
      <w:r>
        <w:rPr>
          <w:rFonts w:ascii="Calibri" w:eastAsia="Times New Roman" w:hAnsi="Calibri" w:cs="Calibri"/>
          <w:color w:val="000000"/>
          <w:bdr w:val="none" w:sz="0" w:space="0" w:color="auto" w:frame="1"/>
          <w:shd w:val="clear" w:color="auto" w:fill="FFFFFF"/>
          <w:lang w:eastAsia="en-GB"/>
        </w:rPr>
        <w:t>ed</w:t>
      </w:r>
      <w:r w:rsidRPr="00447EAC">
        <w:rPr>
          <w:rFonts w:ascii="Calibri" w:eastAsia="Times New Roman" w:hAnsi="Calibri" w:cs="Calibri"/>
          <w:color w:val="000000"/>
          <w:bdr w:val="none" w:sz="0" w:space="0" w:color="auto" w:frame="1"/>
          <w:shd w:val="clear" w:color="auto" w:fill="FFFFFF"/>
          <w:lang w:eastAsia="en-GB"/>
        </w:rPr>
        <w:t xml:space="preserve"> a space for authentic dialogue across a range of African heritage societies</w:t>
      </w:r>
      <w:r w:rsidR="00C163F8">
        <w:rPr>
          <w:rFonts w:ascii="Calibri" w:eastAsia="Times New Roman" w:hAnsi="Calibri" w:cs="Calibri"/>
          <w:color w:val="000000"/>
          <w:bdr w:val="none" w:sz="0" w:space="0" w:color="auto" w:frame="1"/>
          <w:shd w:val="clear" w:color="auto" w:fill="FFFFFF"/>
          <w:lang w:eastAsia="en-GB"/>
        </w:rPr>
        <w:t>,</w:t>
      </w:r>
      <w:r w:rsidRPr="00447EAC">
        <w:rPr>
          <w:rFonts w:ascii="Calibri" w:eastAsia="Times New Roman" w:hAnsi="Calibri" w:cs="Calibri"/>
          <w:color w:val="000000"/>
          <w:bdr w:val="none" w:sz="0" w:space="0" w:color="auto" w:frame="1"/>
          <w:shd w:val="clear" w:color="auto" w:fill="FFFFFF"/>
          <w:lang w:eastAsia="en-GB"/>
        </w:rPr>
        <w:t xml:space="preserve"> with long-term engagement in pursuing a healthier racial climate on campus</w:t>
      </w:r>
      <w:r w:rsidR="00C163F8">
        <w:rPr>
          <w:rFonts w:ascii="Calibri" w:eastAsia="Times New Roman" w:hAnsi="Calibri" w:cs="Calibri"/>
          <w:color w:val="000000"/>
          <w:bdr w:val="none" w:sz="0" w:space="0" w:color="auto" w:frame="1"/>
          <w:shd w:val="clear" w:color="auto" w:fill="FFFFFF"/>
          <w:lang w:eastAsia="en-GB"/>
        </w:rPr>
        <w:t>,</w:t>
      </w:r>
      <w:r w:rsidRPr="00447EAC">
        <w:rPr>
          <w:rFonts w:ascii="Calibri" w:eastAsia="Times New Roman" w:hAnsi="Calibri" w:cs="Calibri"/>
          <w:color w:val="000000"/>
          <w:bdr w:val="none" w:sz="0" w:space="0" w:color="auto" w:frame="1"/>
          <w:shd w:val="clear" w:color="auto" w:fill="FFFFFF"/>
          <w:lang w:eastAsia="en-GB"/>
        </w:rPr>
        <w:t xml:space="preserve"> to benefit the experience of all marginalised students. Key takeaways from the event included the need for</w:t>
      </w:r>
      <w:r>
        <w:rPr>
          <w:rFonts w:ascii="Calibri" w:eastAsia="Times New Roman" w:hAnsi="Calibri" w:cs="Calibri"/>
          <w:color w:val="000000"/>
          <w:bdr w:val="none" w:sz="0" w:space="0" w:color="auto" w:frame="1"/>
          <w:shd w:val="clear" w:color="auto" w:fill="FFFFFF"/>
          <w:lang w:eastAsia="en-GB"/>
        </w:rPr>
        <w:t xml:space="preserve"> </w:t>
      </w:r>
      <w:r w:rsidRPr="00447EAC">
        <w:rPr>
          <w:rFonts w:ascii="Calibri" w:eastAsia="Times New Roman" w:hAnsi="Calibri" w:cs="Calibri"/>
          <w:color w:val="242424"/>
          <w:bdr w:val="none" w:sz="0" w:space="0" w:color="auto" w:frame="1"/>
          <w:lang w:eastAsia="en-GB"/>
        </w:rPr>
        <w:t>S</w:t>
      </w:r>
      <w:r w:rsidRPr="00447EAC">
        <w:rPr>
          <w:rFonts w:ascii="Calibri" w:eastAsia="Times New Roman" w:hAnsi="Calibri" w:cs="Calibri"/>
          <w:color w:val="000000"/>
          <w:bdr w:val="none" w:sz="0" w:space="0" w:color="auto" w:frame="1"/>
          <w:shd w:val="clear" w:color="auto" w:fill="FFFFFF"/>
          <w:lang w:eastAsia="en-GB"/>
        </w:rPr>
        <w:t>chools</w:t>
      </w:r>
      <w:r>
        <w:rPr>
          <w:rFonts w:ascii="Calibri" w:eastAsia="Times New Roman" w:hAnsi="Calibri" w:cs="Calibri"/>
          <w:color w:val="242424"/>
          <w:bdr w:val="none" w:sz="0" w:space="0" w:color="auto" w:frame="1"/>
          <w:lang w:eastAsia="en-GB"/>
        </w:rPr>
        <w:t xml:space="preserve"> </w:t>
      </w:r>
      <w:r w:rsidRPr="00447EAC">
        <w:rPr>
          <w:rFonts w:ascii="Calibri" w:eastAsia="Times New Roman" w:hAnsi="Calibri" w:cs="Calibri"/>
          <w:color w:val="242424"/>
          <w:bdr w:val="none" w:sz="0" w:space="0" w:color="auto" w:frame="1"/>
          <w:lang w:eastAsia="en-GB"/>
        </w:rPr>
        <w:t xml:space="preserve">and </w:t>
      </w:r>
      <w:r w:rsidR="00C163F8">
        <w:rPr>
          <w:rFonts w:ascii="Calibri" w:eastAsia="Times New Roman" w:hAnsi="Calibri" w:cs="Calibri"/>
          <w:color w:val="242424"/>
          <w:bdr w:val="none" w:sz="0" w:space="0" w:color="auto" w:frame="1"/>
          <w:lang w:eastAsia="en-GB"/>
        </w:rPr>
        <w:t>d</w:t>
      </w:r>
      <w:r w:rsidR="00C163F8" w:rsidRPr="00447EAC">
        <w:rPr>
          <w:rFonts w:ascii="Calibri" w:eastAsia="Times New Roman" w:hAnsi="Calibri" w:cs="Calibri"/>
          <w:color w:val="242424"/>
          <w:bdr w:val="none" w:sz="0" w:space="0" w:color="auto" w:frame="1"/>
          <w:lang w:eastAsia="en-GB"/>
        </w:rPr>
        <w:t>epartments</w:t>
      </w:r>
      <w:r w:rsidR="00C163F8">
        <w:rPr>
          <w:rFonts w:ascii="Calibri" w:eastAsia="Times New Roman" w:hAnsi="Calibri" w:cs="Calibri"/>
          <w:color w:val="000000"/>
          <w:bdr w:val="none" w:sz="0" w:space="0" w:color="auto" w:frame="1"/>
          <w:shd w:val="clear" w:color="auto" w:fill="FFFFFF"/>
          <w:lang w:eastAsia="en-GB"/>
        </w:rPr>
        <w:t xml:space="preserve"> </w:t>
      </w:r>
      <w:r w:rsidRPr="00447EAC">
        <w:rPr>
          <w:rFonts w:ascii="Calibri" w:eastAsia="Times New Roman" w:hAnsi="Calibri" w:cs="Calibri"/>
          <w:color w:val="000000"/>
          <w:bdr w:val="none" w:sz="0" w:space="0" w:color="auto" w:frame="1"/>
          <w:shd w:val="clear" w:color="auto" w:fill="FFFFFF"/>
          <w:lang w:eastAsia="en-GB"/>
        </w:rPr>
        <w:t>to address the impact of racism and develop a cohesive zero-tolerance approach to tackling racial incidents</w:t>
      </w:r>
      <w:r w:rsidRPr="00447EAC">
        <w:rPr>
          <w:rFonts w:ascii="Calibri" w:eastAsia="Times New Roman" w:hAnsi="Calibri" w:cs="Calibri"/>
          <w:color w:val="242424"/>
          <w:bdr w:val="none" w:sz="0" w:space="0" w:color="auto" w:frame="1"/>
          <w:lang w:eastAsia="en-GB"/>
        </w:rPr>
        <w:t>,</w:t>
      </w:r>
      <w:r>
        <w:rPr>
          <w:rFonts w:ascii="Calibri" w:eastAsia="Times New Roman" w:hAnsi="Calibri" w:cs="Calibri"/>
          <w:color w:val="000000"/>
          <w:bdr w:val="none" w:sz="0" w:space="0" w:color="auto" w:frame="1"/>
          <w:shd w:val="clear" w:color="auto" w:fill="FFFFFF"/>
          <w:lang w:eastAsia="en-GB"/>
        </w:rPr>
        <w:t xml:space="preserve"> </w:t>
      </w:r>
      <w:r w:rsidRPr="00447EAC">
        <w:rPr>
          <w:rFonts w:ascii="Calibri" w:eastAsia="Times New Roman" w:hAnsi="Calibri" w:cs="Calibri"/>
          <w:color w:val="000000"/>
          <w:bdr w:val="none" w:sz="0" w:space="0" w:color="auto" w:frame="1"/>
          <w:shd w:val="clear" w:color="auto" w:fill="FFFFFF"/>
          <w:lang w:eastAsia="en-GB"/>
        </w:rPr>
        <w:t>such as hate crimes and micro/macro-aggressions. This, once again, pointed to the salience of addressing the lack of racial literacy among staff and students, as well as the findings of the REWG’s Questionnaire 2 in relation to experiences of racism among staff and students</w:t>
      </w:r>
      <w:r w:rsidR="00C163F8">
        <w:rPr>
          <w:rFonts w:ascii="Calibri" w:eastAsia="Times New Roman" w:hAnsi="Calibri" w:cs="Calibri"/>
          <w:color w:val="000000"/>
          <w:bdr w:val="none" w:sz="0" w:space="0" w:color="auto" w:frame="1"/>
          <w:shd w:val="clear" w:color="auto" w:fill="FFFFFF"/>
          <w:lang w:eastAsia="en-GB"/>
        </w:rPr>
        <w:t>,</w:t>
      </w:r>
      <w:r w:rsidRPr="00447EAC">
        <w:rPr>
          <w:rFonts w:ascii="Calibri" w:eastAsia="Times New Roman" w:hAnsi="Calibri" w:cs="Calibri"/>
          <w:color w:val="000000"/>
          <w:bdr w:val="none" w:sz="0" w:space="0" w:color="auto" w:frame="1"/>
          <w:shd w:val="clear" w:color="auto" w:fill="FFFFFF"/>
          <w:lang w:eastAsia="en-GB"/>
        </w:rPr>
        <w:t xml:space="preserve"> and the reluctance to report racial incidents to colleagues.</w:t>
      </w:r>
      <w:r w:rsidR="00961D2B">
        <w:rPr>
          <w:rStyle w:val="FootnoteReference"/>
          <w:rFonts w:ascii="Calibri" w:hAnsi="Calibri" w:cs="Calibri"/>
          <w:shd w:val="clear" w:color="auto" w:fill="FFFFFF"/>
        </w:rPr>
        <w:footnoteReference w:id="229"/>
      </w:r>
      <w:r w:rsidRPr="00447EAC">
        <w:rPr>
          <w:rFonts w:ascii="Calibri" w:eastAsia="Times New Roman" w:hAnsi="Calibri" w:cs="Calibri"/>
          <w:color w:val="000000"/>
          <w:bdr w:val="none" w:sz="0" w:space="0" w:color="auto" w:frame="1"/>
          <w:shd w:val="clear" w:color="auto" w:fill="FFFFFF"/>
          <w:lang w:eastAsia="en-GB"/>
        </w:rPr>
        <w:t xml:space="preserve"> The Student Dialogue also noted systemic barriers, such as the lack of access to Black academic journals and intellectual resources, as well as the insufficient recognition of knowledge produced outside of the Western context, enforcing the narrative that ‘the Western way is the best way to do academia’</w:t>
      </w:r>
      <w:r w:rsidR="00FB1C1F">
        <w:rPr>
          <w:rFonts w:ascii="Calibri" w:eastAsia="Times New Roman" w:hAnsi="Calibri" w:cs="Calibri"/>
          <w:color w:val="000000"/>
          <w:bdr w:val="none" w:sz="0" w:space="0" w:color="auto" w:frame="1"/>
          <w:shd w:val="clear" w:color="auto" w:fill="FFFFFF"/>
          <w:lang w:eastAsia="en-GB"/>
        </w:rPr>
        <w:t xml:space="preserve">. </w:t>
      </w:r>
      <w:r w:rsidR="00FB1C1F" w:rsidRPr="001021BE">
        <w:rPr>
          <w:rStyle w:val="FootnoteReference"/>
          <w:rFonts w:ascii="Calibri" w:hAnsi="Calibri" w:cs="Calibri"/>
        </w:rPr>
        <w:footnoteReference w:id="230"/>
      </w:r>
      <w:r w:rsidR="00B2191B">
        <w:rPr>
          <w:rFonts w:ascii="Calibri" w:eastAsia="Times New Roman" w:hAnsi="Calibri" w:cs="Calibri"/>
          <w:color w:val="000000"/>
          <w:bdr w:val="none" w:sz="0" w:space="0" w:color="auto" w:frame="1"/>
          <w:shd w:val="clear" w:color="auto" w:fill="FFFFFF"/>
          <w:lang w:eastAsia="en-GB"/>
        </w:rPr>
        <w:t xml:space="preserve"> </w:t>
      </w:r>
      <w:r w:rsidR="00B2191B" w:rsidRPr="00447EAC">
        <w:rPr>
          <w:rFonts w:ascii="Calibri" w:eastAsia="Times New Roman" w:hAnsi="Calibri" w:cs="Calibri"/>
          <w:color w:val="000000"/>
          <w:bdr w:val="none" w:sz="0" w:space="0" w:color="auto" w:frame="1"/>
          <w:lang w:eastAsia="en-GB"/>
        </w:rPr>
        <w:t>One suggestion for reversing this trend would be to explore how alternative pedagogies from the Global South can be incorporated to meet different needs within the University community. For example, the REWG’s discussions with Indigenous community educationists</w:t>
      </w:r>
      <w:r w:rsidR="00B2191B">
        <w:rPr>
          <w:rFonts w:ascii="Calibri" w:eastAsia="Times New Roman" w:hAnsi="Calibri" w:cs="Calibri"/>
          <w:color w:val="000000"/>
          <w:bdr w:val="none" w:sz="0" w:space="0" w:color="auto" w:frame="1"/>
          <w:lang w:eastAsia="en-GB"/>
        </w:rPr>
        <w:t xml:space="preserve"> </w:t>
      </w:r>
      <w:r w:rsidR="00B2191B" w:rsidRPr="00447EAC">
        <w:rPr>
          <w:rFonts w:ascii="Calibri" w:eastAsia="Times New Roman" w:hAnsi="Calibri" w:cs="Calibri"/>
          <w:color w:val="242424"/>
          <w:bdr w:val="none" w:sz="0" w:space="0" w:color="auto" w:frame="1"/>
          <w:lang w:eastAsia="en-GB"/>
        </w:rPr>
        <w:t>from Ghana,</w:t>
      </w:r>
      <w:r w:rsidR="00B2191B">
        <w:rPr>
          <w:rFonts w:ascii="Calibri" w:eastAsia="Times New Roman" w:hAnsi="Calibri" w:cs="Calibri"/>
          <w:color w:val="242424"/>
          <w:bdr w:val="none" w:sz="0" w:space="0" w:color="auto" w:frame="1"/>
          <w:lang w:eastAsia="en-GB"/>
        </w:rPr>
        <w:t xml:space="preserve"> </w:t>
      </w:r>
      <w:r w:rsidR="00B2191B" w:rsidRPr="00447EAC">
        <w:rPr>
          <w:rFonts w:ascii="Calibri" w:eastAsia="Times New Roman" w:hAnsi="Calibri" w:cs="Calibri"/>
          <w:color w:val="242424"/>
          <w:bdr w:val="none" w:sz="0" w:space="0" w:color="auto" w:frame="1"/>
          <w:lang w:eastAsia="en-GB"/>
        </w:rPr>
        <w:t>Akorfa Gakpa and Dzigbordi Agbo,</w:t>
      </w:r>
      <w:r w:rsidR="00B2191B">
        <w:rPr>
          <w:rFonts w:ascii="Calibri" w:eastAsia="Times New Roman" w:hAnsi="Calibri" w:cs="Calibri"/>
          <w:color w:val="000000"/>
          <w:bdr w:val="none" w:sz="0" w:space="0" w:color="auto" w:frame="1"/>
          <w:lang w:eastAsia="en-GB"/>
        </w:rPr>
        <w:t xml:space="preserve"> </w:t>
      </w:r>
      <w:r w:rsidR="00B2191B" w:rsidRPr="00447EAC">
        <w:rPr>
          <w:rFonts w:ascii="Calibri" w:eastAsia="Times New Roman" w:hAnsi="Calibri" w:cs="Calibri"/>
          <w:color w:val="000000"/>
          <w:bdr w:val="none" w:sz="0" w:space="0" w:color="auto" w:frame="1"/>
          <w:lang w:eastAsia="en-GB"/>
        </w:rPr>
        <w:t xml:space="preserve">highlighted their interest in establishing an exchange programme with the University of Edinburgh under the auspices of a Global Open Summer School for Planet Repairs Action Learning (see also theme 2). Setting up such an exchange programme would </w:t>
      </w:r>
      <w:r w:rsidR="00B2191B" w:rsidRPr="00447EAC">
        <w:rPr>
          <w:rFonts w:ascii="Calibri" w:eastAsia="Times New Roman" w:hAnsi="Calibri" w:cs="Calibri"/>
          <w:color w:val="000000"/>
          <w:bdr w:val="none" w:sz="0" w:space="0" w:color="auto" w:frame="1"/>
          <w:lang w:eastAsia="en-GB"/>
        </w:rPr>
        <w:lastRenderedPageBreak/>
        <w:t>offer an important opportunity to discuss existing principles around international partnerships and think through possible recommendations to ensure reciprocity and equality.</w:t>
      </w:r>
    </w:p>
    <w:p w14:paraId="6131B95E" w14:textId="5D02D7DB" w:rsidR="00D87A7D" w:rsidRPr="00E00340" w:rsidRDefault="00773F7C" w:rsidP="00EB11F2">
      <w:pPr>
        <w:shd w:val="clear" w:color="auto" w:fill="FFFFFF"/>
        <w:spacing w:line="259" w:lineRule="auto"/>
        <w:ind w:firstLine="720"/>
      </w:pPr>
      <w:r w:rsidRPr="00447EAC">
        <w:rPr>
          <w:rFonts w:ascii="Calibri" w:eastAsia="Times New Roman" w:hAnsi="Calibri" w:cs="Calibri"/>
          <w:color w:val="000000"/>
          <w:bdr w:val="none" w:sz="0" w:space="0" w:color="auto" w:frame="1"/>
          <w:lang w:eastAsia="en-GB"/>
        </w:rPr>
        <w:t xml:space="preserve">The current gap between policy and practice means </w:t>
      </w:r>
      <w:r w:rsidR="00740B50">
        <w:rPr>
          <w:rFonts w:ascii="Calibri" w:eastAsia="Times New Roman" w:hAnsi="Calibri" w:cs="Calibri"/>
          <w:color w:val="000000"/>
          <w:bdr w:val="none" w:sz="0" w:space="0" w:color="auto" w:frame="1"/>
          <w:lang w:eastAsia="en-GB"/>
        </w:rPr>
        <w:t xml:space="preserve">that </w:t>
      </w:r>
      <w:r w:rsidRPr="00447EAC">
        <w:rPr>
          <w:rFonts w:ascii="Calibri" w:eastAsia="Times New Roman" w:hAnsi="Calibri" w:cs="Calibri"/>
          <w:color w:val="000000"/>
          <w:bdr w:val="none" w:sz="0" w:space="0" w:color="auto" w:frame="1"/>
          <w:lang w:eastAsia="en-GB"/>
        </w:rPr>
        <w:t xml:space="preserve">there are lost opportunities for the curriculum to meaningfully and explicitly introduce courses grounded in new ways of teaching, thinking and learning that would enliven the existing provision. </w:t>
      </w:r>
      <w:r w:rsidR="00740B50">
        <w:rPr>
          <w:rFonts w:ascii="Calibri" w:eastAsia="Times New Roman" w:hAnsi="Calibri" w:cs="Calibri"/>
          <w:color w:val="000000"/>
          <w:bdr w:val="none" w:sz="0" w:space="0" w:color="auto" w:frame="1"/>
          <w:lang w:eastAsia="en-GB"/>
        </w:rPr>
        <w:t xml:space="preserve">The </w:t>
      </w:r>
      <w:r w:rsidR="00C163F8">
        <w:rPr>
          <w:rFonts w:ascii="Calibri" w:eastAsia="Times New Roman" w:hAnsi="Calibri" w:cs="Calibri"/>
          <w:color w:val="000000"/>
          <w:bdr w:val="none" w:sz="0" w:space="0" w:color="auto" w:frame="1"/>
          <w:lang w:eastAsia="en-GB"/>
        </w:rPr>
        <w:t xml:space="preserve">Curriculum Transformation Programme’s </w:t>
      </w:r>
      <w:r w:rsidR="00740B50">
        <w:rPr>
          <w:rFonts w:ascii="Calibri" w:eastAsia="Times New Roman" w:hAnsi="Calibri" w:cs="Calibri"/>
          <w:color w:val="000000"/>
          <w:bdr w:val="none" w:sz="0" w:space="0" w:color="auto" w:frame="1"/>
          <w:lang w:eastAsia="en-GB"/>
        </w:rPr>
        <w:t>decolonisation work is seeking to contribute to address this gap, as are other staff and students with demonstrable commitment, experience and expertise to practically take forward the intent of the decolonised transformation work</w:t>
      </w:r>
      <w:r w:rsidR="00C163F8">
        <w:rPr>
          <w:rFonts w:ascii="Calibri" w:eastAsia="Times New Roman" w:hAnsi="Calibri" w:cs="Calibri"/>
          <w:color w:val="000000"/>
          <w:bdr w:val="none" w:sz="0" w:space="0" w:color="auto" w:frame="1"/>
          <w:lang w:eastAsia="en-GB"/>
        </w:rPr>
        <w:t>,</w:t>
      </w:r>
      <w:r w:rsidR="00740B50">
        <w:rPr>
          <w:rFonts w:ascii="Calibri" w:eastAsia="Times New Roman" w:hAnsi="Calibri" w:cs="Calibri"/>
          <w:color w:val="000000"/>
          <w:bdr w:val="none" w:sz="0" w:space="0" w:color="auto" w:frame="1"/>
          <w:lang w:eastAsia="en-GB"/>
        </w:rPr>
        <w:t xml:space="preserve"> </w:t>
      </w:r>
      <w:r w:rsidR="00E00340">
        <w:rPr>
          <w:rFonts w:ascii="Calibri" w:eastAsia="Times New Roman" w:hAnsi="Calibri" w:cs="Calibri"/>
          <w:color w:val="000000"/>
          <w:bdr w:val="none" w:sz="0" w:space="0" w:color="auto" w:frame="1"/>
          <w:lang w:eastAsia="en-GB"/>
        </w:rPr>
        <w:t>and</w:t>
      </w:r>
      <w:r w:rsidR="00740B50">
        <w:rPr>
          <w:rFonts w:ascii="Calibri" w:eastAsia="Times New Roman" w:hAnsi="Calibri" w:cs="Calibri"/>
          <w:color w:val="000000"/>
          <w:bdr w:val="none" w:sz="0" w:space="0" w:color="auto" w:frame="1"/>
          <w:lang w:eastAsia="en-GB"/>
        </w:rPr>
        <w:t xml:space="preserve"> ensure that the work of decolonisation is recognised and embedded into the structure of the </w:t>
      </w:r>
      <w:r w:rsidR="00E00340">
        <w:rPr>
          <w:rFonts w:ascii="Calibri" w:eastAsia="Times New Roman" w:hAnsi="Calibri" w:cs="Calibri"/>
          <w:color w:val="000000"/>
          <w:bdr w:val="none" w:sz="0" w:space="0" w:color="auto" w:frame="1"/>
          <w:lang w:eastAsia="en-GB"/>
        </w:rPr>
        <w:t>U</w:t>
      </w:r>
      <w:r w:rsidR="00740B50">
        <w:rPr>
          <w:rFonts w:ascii="Calibri" w:eastAsia="Times New Roman" w:hAnsi="Calibri" w:cs="Calibri"/>
          <w:color w:val="000000"/>
          <w:bdr w:val="none" w:sz="0" w:space="0" w:color="auto" w:frame="1"/>
          <w:lang w:eastAsia="en-GB"/>
        </w:rPr>
        <w:t>niversity in different areas and at all levels</w:t>
      </w:r>
      <w:r w:rsidRPr="0017357E">
        <w:rPr>
          <w:rFonts w:ascii="Calibri" w:eastAsia="Calibri" w:hAnsi="Calibri" w:cs="Calibri"/>
          <w:color w:val="000000" w:themeColor="text1"/>
        </w:rPr>
        <w:t>.</w:t>
      </w:r>
      <w:r w:rsidR="00D87A7D">
        <w:rPr>
          <w:rFonts w:ascii="Calibri" w:eastAsia="Calibri" w:hAnsi="Calibri" w:cs="Calibri"/>
          <w:color w:val="000000" w:themeColor="text1"/>
        </w:rPr>
        <w:t xml:space="preserve"> </w:t>
      </w:r>
    </w:p>
    <w:p w14:paraId="5FC1CF3F" w14:textId="77777777" w:rsidR="00367BC1" w:rsidRDefault="00367BC1" w:rsidP="00016E93">
      <w:pPr>
        <w:spacing w:line="259" w:lineRule="auto"/>
        <w:rPr>
          <w:rFonts w:ascii="Calibri" w:hAnsi="Calibri" w:cs="Calibri"/>
          <w:color w:val="000000" w:themeColor="text1"/>
        </w:rPr>
        <w:sectPr w:rsidR="00367BC1" w:rsidSect="004C3DE4">
          <w:headerReference w:type="default" r:id="rId159"/>
          <w:footerReference w:type="even" r:id="rId160"/>
          <w:footerReference w:type="default" r:id="rId161"/>
          <w:endnotePr>
            <w:numFmt w:val="decimal"/>
          </w:endnotePr>
          <w:pgSz w:w="11900" w:h="16840"/>
          <w:pgMar w:top="1440" w:right="1440" w:bottom="1440" w:left="1440" w:header="720" w:footer="720" w:gutter="0"/>
          <w:cols w:space="720"/>
          <w:titlePg/>
          <w:docGrid w:linePitch="360"/>
        </w:sectPr>
      </w:pPr>
    </w:p>
    <w:p w14:paraId="5C1B96F1" w14:textId="3B8314D9" w:rsidR="00773F7C" w:rsidRPr="0017357E" w:rsidRDefault="00773F7C" w:rsidP="00016E93">
      <w:pPr>
        <w:spacing w:line="259" w:lineRule="auto"/>
        <w:rPr>
          <w:rFonts w:ascii="Calibri" w:hAnsi="Calibri" w:cs="Calibri"/>
          <w:color w:val="000000" w:themeColor="text1"/>
        </w:rPr>
      </w:pPr>
    </w:p>
    <w:p w14:paraId="1792F752" w14:textId="259FAE86" w:rsidR="00773F7C" w:rsidRPr="0016561C" w:rsidRDefault="0016561C" w:rsidP="00D473AF">
      <w:pPr>
        <w:pStyle w:val="Heading1"/>
      </w:pPr>
      <w:bookmarkStart w:id="114" w:name="_Toc190939439"/>
      <w:bookmarkStart w:id="115" w:name="_Toc202627122"/>
      <w:r w:rsidRPr="0016561C">
        <w:t xml:space="preserve">Part </w:t>
      </w:r>
      <w:r>
        <w:t>6</w:t>
      </w:r>
      <w:r w:rsidRPr="0016561C">
        <w:t xml:space="preserve">: </w:t>
      </w:r>
      <w:r w:rsidR="005403BB" w:rsidRPr="0016561C">
        <w:t xml:space="preserve">Reparatory Justice </w:t>
      </w:r>
      <w:r w:rsidRPr="0016561C">
        <w:t>Recommendations</w:t>
      </w:r>
      <w:bookmarkEnd w:id="114"/>
      <w:bookmarkEnd w:id="115"/>
    </w:p>
    <w:p w14:paraId="4C8B6937" w14:textId="393CE639" w:rsidR="007E3F70" w:rsidRDefault="007E3F70" w:rsidP="007E3F70">
      <w:pPr>
        <w:rPr>
          <w:rFonts w:ascii="Calibri" w:hAnsi="Calibri" w:cs="Calibri"/>
          <w:b/>
          <w:bCs/>
          <w:u w:val="single"/>
        </w:rPr>
      </w:pPr>
    </w:p>
    <w:p w14:paraId="6E31CD5E" w14:textId="27954FB1" w:rsidR="007E3F70" w:rsidRDefault="007E3F70" w:rsidP="00EB11F2">
      <w:pPr>
        <w:rPr>
          <w:rFonts w:ascii="Calibri" w:hAnsi="Calibri" w:cs="Calibri"/>
        </w:rPr>
      </w:pPr>
      <w:r>
        <w:rPr>
          <w:rFonts w:ascii="Calibri" w:hAnsi="Calibri" w:cs="Calibri"/>
        </w:rPr>
        <w:t xml:space="preserve">The following outline of reparatory </w:t>
      </w:r>
      <w:r w:rsidR="00FA378E">
        <w:rPr>
          <w:rFonts w:ascii="Calibri" w:hAnsi="Calibri" w:cs="Calibri"/>
        </w:rPr>
        <w:t>recommendations and suggested</w:t>
      </w:r>
      <w:r>
        <w:rPr>
          <w:rFonts w:ascii="Calibri" w:hAnsi="Calibri" w:cs="Calibri"/>
        </w:rPr>
        <w:t xml:space="preserve"> actions is the result of two years of intense work to investigate the University’s history and legacies of enslavement, colonialism and the development of racial thought, and engage</w:t>
      </w:r>
      <w:r w:rsidR="00B16C48">
        <w:rPr>
          <w:rFonts w:ascii="Calibri" w:hAnsi="Calibri" w:cs="Calibri"/>
        </w:rPr>
        <w:t>ment</w:t>
      </w:r>
      <w:r>
        <w:rPr>
          <w:rFonts w:ascii="Calibri" w:hAnsi="Calibri" w:cs="Calibri"/>
        </w:rPr>
        <w:t xml:space="preserve"> with communities of reparatory justice interest and others invested in tackling racial injustice and violence, including </w:t>
      </w:r>
      <w:r w:rsidR="00A27530" w:rsidRPr="3C6D1E23">
        <w:rPr>
          <w:rFonts w:ascii="Calibri" w:hAnsi="Calibri" w:cs="Calibri"/>
        </w:rPr>
        <w:t>University of Edinburgh</w:t>
      </w:r>
      <w:r>
        <w:rPr>
          <w:rFonts w:ascii="Calibri" w:hAnsi="Calibri" w:cs="Calibri"/>
        </w:rPr>
        <w:t xml:space="preserve"> staff and students, local groups and wider UK-based communities. The </w:t>
      </w:r>
      <w:r w:rsidR="00DF0FE3">
        <w:rPr>
          <w:rFonts w:ascii="Calibri" w:hAnsi="Calibri" w:cs="Calibri"/>
        </w:rPr>
        <w:t xml:space="preserve">reparatory </w:t>
      </w:r>
      <w:r>
        <w:rPr>
          <w:rFonts w:ascii="Calibri" w:hAnsi="Calibri" w:cs="Calibri"/>
        </w:rPr>
        <w:t xml:space="preserve">vision and </w:t>
      </w:r>
      <w:r w:rsidR="00DF0FE3">
        <w:rPr>
          <w:rFonts w:ascii="Calibri" w:hAnsi="Calibri" w:cs="Calibri"/>
        </w:rPr>
        <w:t>recommendations</w:t>
      </w:r>
      <w:r>
        <w:rPr>
          <w:rFonts w:ascii="Calibri" w:hAnsi="Calibri" w:cs="Calibri"/>
        </w:rPr>
        <w:t xml:space="preserve"> below are designed to guide</w:t>
      </w:r>
      <w:r w:rsidR="000757E0">
        <w:rPr>
          <w:rFonts w:ascii="Calibri" w:hAnsi="Calibri" w:cs="Calibri"/>
        </w:rPr>
        <w:t xml:space="preserve"> the</w:t>
      </w:r>
      <w:r>
        <w:rPr>
          <w:rFonts w:ascii="Calibri" w:hAnsi="Calibri" w:cs="Calibri"/>
        </w:rPr>
        <w:t xml:space="preserve"> </w:t>
      </w:r>
      <w:r w:rsidR="00A27530" w:rsidRPr="3C6D1E23">
        <w:rPr>
          <w:rFonts w:ascii="Calibri" w:hAnsi="Calibri" w:cs="Calibri"/>
        </w:rPr>
        <w:t>University of Edinburgh</w:t>
      </w:r>
      <w:r>
        <w:rPr>
          <w:rFonts w:ascii="Calibri" w:hAnsi="Calibri" w:cs="Calibri"/>
        </w:rPr>
        <w:t xml:space="preserve"> towards phase two of the REWG’s work</w:t>
      </w:r>
      <w:r w:rsidR="000757E0">
        <w:rPr>
          <w:rFonts w:ascii="Calibri" w:hAnsi="Calibri" w:cs="Calibri"/>
        </w:rPr>
        <w:t>,</w:t>
      </w:r>
      <w:r>
        <w:rPr>
          <w:rFonts w:ascii="Calibri" w:hAnsi="Calibri" w:cs="Calibri"/>
        </w:rPr>
        <w:t xml:space="preserve"> during which </w:t>
      </w:r>
      <w:r w:rsidR="005B4270">
        <w:rPr>
          <w:rFonts w:ascii="Calibri" w:hAnsi="Calibri" w:cs="Calibri"/>
        </w:rPr>
        <w:t>the</w:t>
      </w:r>
      <w:r>
        <w:rPr>
          <w:rFonts w:ascii="Calibri" w:hAnsi="Calibri" w:cs="Calibri"/>
        </w:rPr>
        <w:t xml:space="preserve"> recommendations </w:t>
      </w:r>
      <w:r w:rsidR="005B4270">
        <w:rPr>
          <w:rFonts w:ascii="Calibri" w:hAnsi="Calibri" w:cs="Calibri"/>
        </w:rPr>
        <w:t xml:space="preserve">and actions need to </w:t>
      </w:r>
      <w:r>
        <w:rPr>
          <w:rFonts w:ascii="Calibri" w:hAnsi="Calibri" w:cs="Calibri"/>
        </w:rPr>
        <w:t xml:space="preserve">be </w:t>
      </w:r>
      <w:r w:rsidR="005B4270">
        <w:rPr>
          <w:rFonts w:ascii="Calibri" w:hAnsi="Calibri" w:cs="Calibri"/>
        </w:rPr>
        <w:t xml:space="preserve">approved, </w:t>
      </w:r>
      <w:r>
        <w:rPr>
          <w:rFonts w:ascii="Calibri" w:hAnsi="Calibri" w:cs="Calibri"/>
        </w:rPr>
        <w:t>costed and implemented across the institution. The overarching aim is to deepen the institution’s commitment to tackling racism by recognising the long-lasting effects of its historical links to enslavement and colonialism</w:t>
      </w:r>
      <w:r w:rsidR="00B16C48">
        <w:rPr>
          <w:rFonts w:ascii="Calibri" w:hAnsi="Calibri" w:cs="Calibri"/>
        </w:rPr>
        <w:t>,</w:t>
      </w:r>
      <w:r>
        <w:rPr>
          <w:rFonts w:ascii="Calibri" w:hAnsi="Calibri" w:cs="Calibri"/>
        </w:rPr>
        <w:t xml:space="preserve"> and embedding a sustainable approach to reparatory justice work into Edinburgh’s institutional structures. These recommendations</w:t>
      </w:r>
      <w:r w:rsidDel="00295B6D">
        <w:rPr>
          <w:rFonts w:ascii="Calibri" w:hAnsi="Calibri" w:cs="Calibri"/>
        </w:rPr>
        <w:t xml:space="preserve"> </w:t>
      </w:r>
      <w:r w:rsidR="00295B6D">
        <w:rPr>
          <w:rFonts w:ascii="Calibri" w:hAnsi="Calibri" w:cs="Calibri"/>
        </w:rPr>
        <w:t>aim to</w:t>
      </w:r>
      <w:r>
        <w:rPr>
          <w:rFonts w:ascii="Calibri" w:hAnsi="Calibri" w:cs="Calibri"/>
        </w:rPr>
        <w:t xml:space="preserve"> bring to life aspects of the University’s </w:t>
      </w:r>
      <w:hyperlink r:id="rId162">
        <w:r w:rsidRPr="06D755CD">
          <w:rPr>
            <w:rStyle w:val="Hyperlink"/>
            <w:rFonts w:ascii="Calibri" w:hAnsi="Calibri" w:cs="Calibri"/>
          </w:rPr>
          <w:t>Strategy 2030</w:t>
        </w:r>
      </w:hyperlink>
      <w:r>
        <w:rPr>
          <w:rFonts w:ascii="Calibri" w:hAnsi="Calibri" w:cs="Calibri"/>
        </w:rPr>
        <w:t>, including widening participation and inclusivity, improving digital outreach and accessibility, creating opportunities for community engagement and ensuring the principled relevance of our work to students, researchers and wider publics.</w:t>
      </w:r>
    </w:p>
    <w:p w14:paraId="07A0798D" w14:textId="77777777" w:rsidR="007E3F70" w:rsidRDefault="007E3F70" w:rsidP="00EB11F2">
      <w:pPr>
        <w:rPr>
          <w:rFonts w:ascii="Calibri" w:hAnsi="Calibri" w:cs="Calibri"/>
        </w:rPr>
      </w:pPr>
    </w:p>
    <w:p w14:paraId="3263C701" w14:textId="77777777" w:rsidR="007E3F70" w:rsidRDefault="007E3F70" w:rsidP="000757E0">
      <w:pPr>
        <w:pStyle w:val="Heading2"/>
      </w:pPr>
      <w:bookmarkStart w:id="116" w:name="_Toc190939440"/>
      <w:bookmarkStart w:id="117" w:name="_Toc202627123"/>
      <w:r>
        <w:t>Vision for a Research and Community Centre for the Study of Racisms, Colonialism and Anti-Black Violence</w:t>
      </w:r>
      <w:bookmarkEnd w:id="116"/>
      <w:bookmarkEnd w:id="117"/>
    </w:p>
    <w:p w14:paraId="6F74B0E7" w14:textId="7817A678" w:rsidR="006B1381" w:rsidRPr="00AF3137" w:rsidRDefault="007E3F70" w:rsidP="00EB11F2">
      <w:r>
        <w:rPr>
          <w:rFonts w:ascii="Calibri" w:hAnsi="Calibri" w:cs="Calibri"/>
        </w:rPr>
        <w:t xml:space="preserve">To demonstrate the University’s commitment to repairing its racial legacies, the REWG is calling for the establishment of a Research and Community Centre for the Study of Racisms, Colonialism and Anti-Black Violence that will provide a dedicated infrastructure in which to house and implement the REWG’s recommendations, while furthering research and community engagement into the history and legacies of racial violence. This </w:t>
      </w:r>
      <w:r w:rsidRPr="0CB5FF8F">
        <w:rPr>
          <w:rFonts w:ascii="Calibri" w:hAnsi="Calibri" w:cs="Calibri"/>
        </w:rPr>
        <w:t>sector-leading</w:t>
      </w:r>
      <w:r>
        <w:rPr>
          <w:rFonts w:ascii="Calibri" w:hAnsi="Calibri" w:cs="Calibri"/>
        </w:rPr>
        <w:t xml:space="preserve"> Centre will be the foundation for new ways of thinking about and addressing the problems of racism, racial injustice, inequality and violence. It</w:t>
      </w:r>
      <w:r w:rsidDel="00E53540">
        <w:rPr>
          <w:rFonts w:ascii="Calibri" w:hAnsi="Calibri" w:cs="Calibri"/>
        </w:rPr>
        <w:t xml:space="preserve"> </w:t>
      </w:r>
      <w:r w:rsidR="00E53540">
        <w:rPr>
          <w:rFonts w:ascii="Calibri" w:hAnsi="Calibri" w:cs="Calibri"/>
        </w:rPr>
        <w:t>has the potential to</w:t>
      </w:r>
      <w:r>
        <w:rPr>
          <w:rFonts w:ascii="Calibri" w:hAnsi="Calibri" w:cs="Calibri"/>
        </w:rPr>
        <w:t xml:space="preserve"> work in partnership with existing centres, such as the </w:t>
      </w:r>
      <w:r w:rsidRPr="0CB5FF8F">
        <w:rPr>
          <w:rFonts w:ascii="Calibri" w:hAnsi="Calibri" w:cs="Calibri"/>
          <w:color w:val="000000" w:themeColor="text1"/>
        </w:rPr>
        <w:t>Centre for South Asian Studies and the Centre for African Studies</w:t>
      </w:r>
      <w:r>
        <w:rPr>
          <w:rFonts w:ascii="Calibri" w:hAnsi="Calibri" w:cs="Calibri"/>
        </w:rPr>
        <w:t>.</w:t>
      </w:r>
      <w:r>
        <w:t xml:space="preserve"> As a cross-</w:t>
      </w:r>
      <w:r w:rsidR="000757E0">
        <w:t>C</w:t>
      </w:r>
      <w:r>
        <w:t xml:space="preserve">ollege initiative, funds for this work should be prioritised under the </w:t>
      </w:r>
      <w:hyperlink r:id="rId163">
        <w:r w:rsidRPr="0CB5FF8F">
          <w:rPr>
            <w:rStyle w:val="Hyperlink"/>
            <w:rFonts w:ascii="Calibri" w:hAnsi="Calibri" w:cs="Calibri"/>
          </w:rPr>
          <w:t>University Initiatives Portfolio</w:t>
        </w:r>
      </w:hyperlink>
      <w:r w:rsidR="000757E0">
        <w:rPr>
          <w:rFonts w:ascii="Calibri" w:hAnsi="Calibri" w:cs="Calibri"/>
        </w:rPr>
        <w:t xml:space="preserve">, </w:t>
      </w:r>
      <w:r>
        <w:rPr>
          <w:rFonts w:ascii="Calibri" w:hAnsi="Calibri" w:cs="Calibri"/>
        </w:rPr>
        <w:t>with its remit to lead on ‘governance of change’ projects and its dual ethos of putting people ‘at the heart of everything we do’ and ‘engaging with and listening to what our community has to contribute’.</w:t>
      </w:r>
      <w:r w:rsidR="00090A4F">
        <w:rPr>
          <w:rStyle w:val="FootnoteReference"/>
          <w:rFonts w:ascii="Calibri" w:hAnsi="Calibri" w:cs="Calibri"/>
        </w:rPr>
        <w:footnoteReference w:id="231"/>
      </w:r>
      <w:r>
        <w:rPr>
          <w:rFonts w:ascii="Calibri" w:hAnsi="Calibri" w:cs="Calibri"/>
        </w:rPr>
        <w:t xml:space="preserve"> Unlike equivalent centres at peer institutions, this Centre will not only bring together a transdisciplinary collection of scholars from all three Colleges of the University, but will </w:t>
      </w:r>
      <w:r w:rsidR="0025618D">
        <w:rPr>
          <w:rFonts w:ascii="Calibri" w:hAnsi="Calibri" w:cs="Calibri"/>
        </w:rPr>
        <w:t>also</w:t>
      </w:r>
      <w:r>
        <w:rPr>
          <w:rFonts w:ascii="Calibri" w:hAnsi="Calibri" w:cs="Calibri"/>
        </w:rPr>
        <w:t xml:space="preserve"> include the work of activists, practitioners, artists and other community groups as part of its structure. It will serve as a hub </w:t>
      </w:r>
      <w:r w:rsidRPr="0CB5FF8F">
        <w:rPr>
          <w:rFonts w:ascii="Calibri" w:hAnsi="Calibri" w:cs="Calibri"/>
          <w:color w:val="000000" w:themeColor="text1"/>
        </w:rPr>
        <w:t xml:space="preserve">for Black and other racially and ethnically </w:t>
      </w:r>
      <w:r w:rsidRPr="0CB5FF8F">
        <w:rPr>
          <w:rFonts w:ascii="Calibri" w:hAnsi="Calibri" w:cs="Calibri"/>
          <w:color w:val="000000" w:themeColor="text1"/>
        </w:rPr>
        <w:lastRenderedPageBreak/>
        <w:t xml:space="preserve">minoritised students and staff </w:t>
      </w:r>
      <w:r>
        <w:rPr>
          <w:rFonts w:ascii="Calibri" w:hAnsi="Calibri" w:cs="Calibri"/>
        </w:rPr>
        <w:t>to learn about and research issues of racism, including anti-Blackness and Black philosophy and theory, and will function as a training ground for clinicians, social workers, policy-makers</w:t>
      </w:r>
      <w:r w:rsidR="00306565">
        <w:rPr>
          <w:rFonts w:ascii="Calibri" w:hAnsi="Calibri" w:cs="Calibri"/>
        </w:rPr>
        <w:t>, public sector workers</w:t>
      </w:r>
      <w:r>
        <w:rPr>
          <w:rFonts w:ascii="Calibri" w:hAnsi="Calibri" w:cs="Calibri"/>
        </w:rPr>
        <w:t xml:space="preserve"> and other professionals intent on addressing the effects of racism throughout the UK. </w:t>
      </w:r>
      <w:r w:rsidRPr="0CB5FF8F">
        <w:rPr>
          <w:rFonts w:ascii="Calibri" w:hAnsi="Calibri" w:cs="Calibri"/>
          <w:color w:val="000000" w:themeColor="text1"/>
        </w:rPr>
        <w:t>It will provide a resource for the City of Edinburgh, in line with its own efforts to implement its</w:t>
      </w:r>
      <w:r w:rsidRPr="0CB5FF8F">
        <w:rPr>
          <w:rStyle w:val="apple-converted-space"/>
          <w:rFonts w:ascii="Calibri" w:hAnsi="Calibri" w:cs="Calibri"/>
          <w:color w:val="000000" w:themeColor="text1"/>
        </w:rPr>
        <w:t> </w:t>
      </w:r>
      <w:hyperlink r:id="rId164">
        <w:r w:rsidRPr="0CB5FF8F">
          <w:rPr>
            <w:rStyle w:val="Hyperlink"/>
            <w:color w:val="467886"/>
          </w:rPr>
          <w:t>slavery and colonialism legacy review.</w:t>
        </w:r>
      </w:hyperlink>
      <w:r w:rsidR="0047647F">
        <w:rPr>
          <w:rStyle w:val="FootnoteReference"/>
        </w:rPr>
        <w:footnoteReference w:id="232"/>
      </w:r>
      <w:r>
        <w:t> As an international platform and pathway for the hiring and hosting of Black, Asian and other racially/ethnically minoritised academic staff, it will act as a mechanism for addressing racial and ethnic under-representation and improving the overall climate for racially/ethnically minoritised peoples</w:t>
      </w:r>
      <w:r w:rsidRPr="0CB5FF8F">
        <w:rPr>
          <w:rFonts w:ascii="Calibri" w:hAnsi="Calibri" w:cs="Calibri"/>
          <w:color w:val="000000" w:themeColor="text1"/>
          <w:sz w:val="22"/>
          <w:szCs w:val="22"/>
        </w:rPr>
        <w:t>.</w:t>
      </w:r>
      <w:r w:rsidR="006B1381" w:rsidRPr="0CB5FF8F">
        <w:rPr>
          <w:rFonts w:ascii="Calibri" w:hAnsi="Calibri" w:cs="Calibri"/>
          <w:color w:val="000000" w:themeColor="text1"/>
          <w:sz w:val="22"/>
          <w:szCs w:val="22"/>
        </w:rPr>
        <w:t xml:space="preserve"> </w:t>
      </w:r>
      <w:r w:rsidR="006B1381" w:rsidRPr="0CB5FF8F">
        <w:t xml:space="preserve">In line with similar pledges made by peer-institutions (e.g. Oxford, Cambridge, Glasgow, etc.), this Centre is proposed as a permanent institution within the University of Edinburgh. This requires a guaranteed minimal amount of support by the institution within each budget cycle, which will be supplemented by grant capture, philanthropic donations and collaborative projects with the City of Edinburgh </w:t>
      </w:r>
      <w:r w:rsidR="006B1381" w:rsidRPr="0CB5FF8F">
        <w:rPr>
          <w:color w:val="000000" w:themeColor="text1"/>
        </w:rPr>
        <w:t>and other organisations in Edinburgh, across Scotland, the UK and abroad</w:t>
      </w:r>
      <w:r w:rsidR="006B1381" w:rsidRPr="0CB5FF8F">
        <w:t xml:space="preserve">. More details on suggested resource and set-up requirements can be found in </w:t>
      </w:r>
      <w:r w:rsidR="006B1381" w:rsidRPr="00D72A0F">
        <w:t xml:space="preserve">Appendix </w:t>
      </w:r>
      <w:r w:rsidR="00F84047" w:rsidRPr="00D72A0F">
        <w:t>8</w:t>
      </w:r>
      <w:r w:rsidR="006B1381" w:rsidRPr="00D72A0F">
        <w:t>.</w:t>
      </w:r>
    </w:p>
    <w:p w14:paraId="31F977D5" w14:textId="77777777" w:rsidR="007E3F70" w:rsidRDefault="007E3F70" w:rsidP="00EB11F2">
      <w:pPr>
        <w:rPr>
          <w:rFonts w:ascii="Calibri" w:hAnsi="Calibri" w:cs="Calibri"/>
          <w:b/>
          <w:bCs/>
          <w:u w:val="single"/>
        </w:rPr>
      </w:pPr>
    </w:p>
    <w:p w14:paraId="4A77047D" w14:textId="6A79A3E6" w:rsidR="007E3F70" w:rsidRPr="00FB2499" w:rsidRDefault="00037A64" w:rsidP="000757E0">
      <w:pPr>
        <w:pStyle w:val="Heading2"/>
      </w:pPr>
      <w:bookmarkStart w:id="118" w:name="_Toc190939441"/>
      <w:bookmarkStart w:id="119" w:name="_Toc202627124"/>
      <w:r>
        <w:t>Reparatory Justice Recommendations: Next Steps</w:t>
      </w:r>
      <w:bookmarkEnd w:id="118"/>
      <w:bookmarkEnd w:id="119"/>
    </w:p>
    <w:p w14:paraId="77E2A49B" w14:textId="5356029F" w:rsidR="007E3F70" w:rsidRDefault="007E3F70" w:rsidP="000757E0">
      <w:pPr>
        <w:spacing w:line="256" w:lineRule="auto"/>
        <w:rPr>
          <w:rFonts w:ascii="Calibri" w:hAnsi="Calibri" w:cs="Calibri"/>
        </w:rPr>
      </w:pPr>
      <w:r>
        <w:rPr>
          <w:rFonts w:ascii="Calibri" w:hAnsi="Calibri" w:cs="Calibri"/>
        </w:rPr>
        <w:t xml:space="preserve">The following </w:t>
      </w:r>
      <w:r w:rsidR="00037A64">
        <w:rPr>
          <w:rFonts w:ascii="Calibri" w:hAnsi="Calibri" w:cs="Calibri"/>
        </w:rPr>
        <w:t>list of reparatory recommendations</w:t>
      </w:r>
      <w:r>
        <w:rPr>
          <w:rFonts w:ascii="Calibri" w:hAnsi="Calibri" w:cs="Calibri"/>
        </w:rPr>
        <w:t xml:space="preserve"> outlines the principal aims and actions of the Centre for Study of Racisms, Colonialism and Anti-Black Violence </w:t>
      </w:r>
      <w:r w:rsidR="007A16EC">
        <w:rPr>
          <w:rFonts w:ascii="Calibri" w:hAnsi="Calibri" w:cs="Calibri"/>
        </w:rPr>
        <w:t>and provides a roadmap for next steps</w:t>
      </w:r>
      <w:r w:rsidR="00037A64">
        <w:rPr>
          <w:rFonts w:ascii="Calibri" w:hAnsi="Calibri" w:cs="Calibri"/>
        </w:rPr>
        <w:t>. It also lists any</w:t>
      </w:r>
      <w:r w:rsidDel="00037A64">
        <w:rPr>
          <w:rFonts w:ascii="Calibri" w:hAnsi="Calibri" w:cs="Calibri"/>
        </w:rPr>
        <w:t xml:space="preserve"> </w:t>
      </w:r>
      <w:r>
        <w:rPr>
          <w:rFonts w:ascii="Calibri" w:hAnsi="Calibri" w:cs="Calibri"/>
        </w:rPr>
        <w:t xml:space="preserve">related recommendations focusing on specific areas of concern that the Centre will support. It includes suggested </w:t>
      </w:r>
      <w:r w:rsidR="00037A64">
        <w:rPr>
          <w:rFonts w:ascii="Calibri" w:hAnsi="Calibri" w:cs="Calibri"/>
        </w:rPr>
        <w:t>stakeholders</w:t>
      </w:r>
      <w:r>
        <w:rPr>
          <w:rFonts w:ascii="Calibri" w:hAnsi="Calibri" w:cs="Calibri"/>
        </w:rPr>
        <w:t xml:space="preserve"> </w:t>
      </w:r>
      <w:r w:rsidR="007A16EC">
        <w:rPr>
          <w:rFonts w:ascii="Calibri" w:hAnsi="Calibri" w:cs="Calibri"/>
        </w:rPr>
        <w:t>within the institution</w:t>
      </w:r>
      <w:r>
        <w:rPr>
          <w:rFonts w:ascii="Calibri" w:hAnsi="Calibri" w:cs="Calibri"/>
        </w:rPr>
        <w:t xml:space="preserve"> with whom actions</w:t>
      </w:r>
      <w:r w:rsidR="00415CF5">
        <w:rPr>
          <w:rFonts w:ascii="Calibri" w:hAnsi="Calibri" w:cs="Calibri"/>
        </w:rPr>
        <w:t>, if approved,</w:t>
      </w:r>
      <w:r>
        <w:rPr>
          <w:rFonts w:ascii="Calibri" w:hAnsi="Calibri" w:cs="Calibri"/>
        </w:rPr>
        <w:t xml:space="preserve"> are </w:t>
      </w:r>
      <w:r w:rsidR="00415CF5">
        <w:rPr>
          <w:rFonts w:ascii="Calibri" w:hAnsi="Calibri" w:cs="Calibri"/>
        </w:rPr>
        <w:t>likely</w:t>
      </w:r>
      <w:r>
        <w:rPr>
          <w:rFonts w:ascii="Calibri" w:hAnsi="Calibri" w:cs="Calibri"/>
        </w:rPr>
        <w:t xml:space="preserve"> to be coordinated</w:t>
      </w:r>
      <w:r w:rsidR="00415CF5">
        <w:rPr>
          <w:rFonts w:ascii="Calibri" w:hAnsi="Calibri" w:cs="Calibri"/>
        </w:rPr>
        <w:t>. It</w:t>
      </w:r>
      <w:r>
        <w:rPr>
          <w:rFonts w:ascii="Calibri" w:hAnsi="Calibri" w:cs="Calibri"/>
        </w:rPr>
        <w:t xml:space="preserve"> notes areas where there is existing activity, policy and/or action plans to ensure cross-institutional alignment</w:t>
      </w:r>
      <w:r w:rsidR="006D5FB0">
        <w:rPr>
          <w:rFonts w:ascii="Calibri" w:hAnsi="Calibri" w:cs="Calibri"/>
        </w:rPr>
        <w:t xml:space="preserve"> and support</w:t>
      </w:r>
      <w:r>
        <w:rPr>
          <w:rFonts w:ascii="Calibri" w:hAnsi="Calibri" w:cs="Calibri"/>
        </w:rPr>
        <w:t xml:space="preserve">. The measures of the success refer to the REWG’s </w:t>
      </w:r>
      <w:hyperlink r:id="rId165" w:history="1">
        <w:r>
          <w:rPr>
            <w:rStyle w:val="Hyperlink"/>
            <w:rFonts w:ascii="Calibri" w:hAnsi="Calibri" w:cs="Calibri"/>
          </w:rPr>
          <w:t>Principles of Participation</w:t>
        </w:r>
      </w:hyperlink>
      <w:r w:rsidR="0051512B">
        <w:rPr>
          <w:rFonts w:ascii="Calibri" w:hAnsi="Calibri" w:cs="Calibri"/>
        </w:rPr>
        <w:t xml:space="preserve">, which would </w:t>
      </w:r>
      <w:r w:rsidR="00B75B7B">
        <w:rPr>
          <w:rFonts w:ascii="Calibri" w:hAnsi="Calibri" w:cs="Calibri"/>
        </w:rPr>
        <w:t xml:space="preserve">need to be attached to </w:t>
      </w:r>
      <w:r w:rsidR="00B31DD1">
        <w:rPr>
          <w:rFonts w:ascii="Calibri" w:hAnsi="Calibri" w:cs="Calibri"/>
        </w:rPr>
        <w:t xml:space="preserve">tangible and </w:t>
      </w:r>
      <w:r w:rsidR="00B75B7B">
        <w:rPr>
          <w:rFonts w:ascii="Calibri" w:hAnsi="Calibri" w:cs="Calibri"/>
        </w:rPr>
        <w:t xml:space="preserve">quantifiable </w:t>
      </w:r>
      <w:r w:rsidR="00FB327C">
        <w:rPr>
          <w:rFonts w:ascii="Calibri" w:hAnsi="Calibri" w:cs="Calibri"/>
        </w:rPr>
        <w:t>measures</w:t>
      </w:r>
      <w:r w:rsidR="00736855">
        <w:rPr>
          <w:rFonts w:ascii="Calibri" w:hAnsi="Calibri" w:cs="Calibri"/>
        </w:rPr>
        <w:t xml:space="preserve"> during the implementation</w:t>
      </w:r>
      <w:r w:rsidR="003D3B7C">
        <w:rPr>
          <w:rFonts w:ascii="Calibri" w:hAnsi="Calibri" w:cs="Calibri"/>
        </w:rPr>
        <w:t xml:space="preserve"> and rollout</w:t>
      </w:r>
      <w:r w:rsidR="00736855">
        <w:rPr>
          <w:rFonts w:ascii="Calibri" w:hAnsi="Calibri" w:cs="Calibri"/>
        </w:rPr>
        <w:t xml:space="preserve"> phase</w:t>
      </w:r>
      <w:r w:rsidR="0051512B">
        <w:rPr>
          <w:rFonts w:ascii="Calibri" w:hAnsi="Calibri" w:cs="Calibri"/>
        </w:rPr>
        <w:t>.</w:t>
      </w:r>
      <w:r w:rsidR="007A16EC">
        <w:rPr>
          <w:rFonts w:ascii="Calibri" w:hAnsi="Calibri" w:cs="Calibri"/>
        </w:rPr>
        <w:t xml:space="preserve"> </w:t>
      </w:r>
      <w:r w:rsidR="00736855">
        <w:rPr>
          <w:rFonts w:ascii="Calibri" w:hAnsi="Calibri" w:cs="Calibri"/>
        </w:rPr>
        <w:t>Importantly, t</w:t>
      </w:r>
      <w:r>
        <w:rPr>
          <w:rFonts w:ascii="Calibri" w:hAnsi="Calibri" w:cs="Calibri"/>
        </w:rPr>
        <w:t xml:space="preserve">he </w:t>
      </w:r>
      <w:r w:rsidR="00736855">
        <w:rPr>
          <w:rFonts w:ascii="Calibri" w:hAnsi="Calibri" w:cs="Calibri"/>
        </w:rPr>
        <w:t>recommendations</w:t>
      </w:r>
      <w:r>
        <w:rPr>
          <w:rFonts w:ascii="Calibri" w:hAnsi="Calibri" w:cs="Calibri"/>
        </w:rPr>
        <w:t xml:space="preserve"> listed below do </w:t>
      </w:r>
      <w:r w:rsidRPr="00F956DD">
        <w:rPr>
          <w:rFonts w:ascii="Calibri" w:hAnsi="Calibri" w:cs="Calibri"/>
          <w:i/>
        </w:rPr>
        <w:t>not</w:t>
      </w:r>
      <w:r>
        <w:rPr>
          <w:rFonts w:ascii="Calibri" w:hAnsi="Calibri" w:cs="Calibri"/>
        </w:rPr>
        <w:t xml:space="preserve"> represent a hierarchy of demands. Rather, they represent a holistic reparatory vision and roadmap for institutional change. To bring t</w:t>
      </w:r>
      <w:r w:rsidR="00736855">
        <w:rPr>
          <w:rFonts w:ascii="Calibri" w:hAnsi="Calibri" w:cs="Calibri"/>
        </w:rPr>
        <w:t>hese recommendations</w:t>
      </w:r>
      <w:r>
        <w:rPr>
          <w:rFonts w:ascii="Calibri" w:hAnsi="Calibri" w:cs="Calibri"/>
        </w:rPr>
        <w:t xml:space="preserve"> forward and enter phase two, a </w:t>
      </w:r>
      <w:r w:rsidR="00F22B93">
        <w:rPr>
          <w:rFonts w:ascii="Calibri" w:hAnsi="Calibri" w:cs="Calibri"/>
        </w:rPr>
        <w:t xml:space="preserve">‘Coalition for Implementation and Action Group’ </w:t>
      </w:r>
      <w:r>
        <w:rPr>
          <w:rFonts w:ascii="Calibri" w:hAnsi="Calibri" w:cs="Calibri"/>
        </w:rPr>
        <w:t>is required that builds from existing REWG membership</w:t>
      </w:r>
      <w:r w:rsidR="00D45BED">
        <w:rPr>
          <w:rFonts w:ascii="Calibri" w:hAnsi="Calibri" w:cs="Calibri"/>
        </w:rPr>
        <w:t>,</w:t>
      </w:r>
      <w:r>
        <w:rPr>
          <w:rFonts w:ascii="Calibri" w:hAnsi="Calibri" w:cs="Calibri"/>
        </w:rPr>
        <w:t xml:space="preserve"> expertise and </w:t>
      </w:r>
      <w:r w:rsidR="00D45BED">
        <w:rPr>
          <w:rFonts w:ascii="Calibri" w:hAnsi="Calibri" w:cs="Calibri"/>
        </w:rPr>
        <w:t>links to communities of reparatory justice interest,</w:t>
      </w:r>
      <w:r>
        <w:rPr>
          <w:rFonts w:ascii="Calibri" w:hAnsi="Calibri" w:cs="Calibri"/>
        </w:rPr>
        <w:t xml:space="preserve"> and includes other </w:t>
      </w:r>
      <w:r w:rsidR="00D45BED">
        <w:rPr>
          <w:rFonts w:ascii="Calibri" w:hAnsi="Calibri" w:cs="Calibri"/>
        </w:rPr>
        <w:t>institutional stakeholders with the power to effect change. A</w:t>
      </w:r>
      <w:r>
        <w:rPr>
          <w:rFonts w:ascii="Calibri" w:hAnsi="Calibri" w:cs="Calibri"/>
        </w:rPr>
        <w:t xml:space="preserve">dditional funds </w:t>
      </w:r>
      <w:r w:rsidR="00D45BED">
        <w:rPr>
          <w:rFonts w:ascii="Calibri" w:hAnsi="Calibri" w:cs="Calibri"/>
        </w:rPr>
        <w:t>are also needed</w:t>
      </w:r>
      <w:r>
        <w:rPr>
          <w:rFonts w:ascii="Calibri" w:hAnsi="Calibri" w:cs="Calibri"/>
        </w:rPr>
        <w:t xml:space="preserve"> to support the dissemination of the research and engagement findings from phase one</w:t>
      </w:r>
      <w:r w:rsidR="00D45BED">
        <w:rPr>
          <w:rFonts w:ascii="Calibri" w:hAnsi="Calibri" w:cs="Calibri"/>
        </w:rPr>
        <w:t xml:space="preserve"> and ensure public access to the findings of this report</w:t>
      </w:r>
      <w:r>
        <w:rPr>
          <w:rFonts w:ascii="Calibri" w:hAnsi="Calibri" w:cs="Calibri"/>
        </w:rPr>
        <w:t>.</w:t>
      </w:r>
      <w:r>
        <w:rPr>
          <w:rStyle w:val="FootnoteReference"/>
          <w:rFonts w:ascii="Calibri" w:hAnsi="Calibri" w:cs="Calibri"/>
        </w:rPr>
        <w:footnoteReference w:id="233"/>
      </w:r>
      <w:r>
        <w:rPr>
          <w:rFonts w:ascii="Calibri" w:hAnsi="Calibri" w:cs="Calibri"/>
        </w:rPr>
        <w:t xml:space="preserve"> </w:t>
      </w:r>
    </w:p>
    <w:p w14:paraId="48075E81" w14:textId="77777777" w:rsidR="000757E0" w:rsidRDefault="000757E0" w:rsidP="000757E0">
      <w:pPr>
        <w:spacing w:line="256" w:lineRule="auto"/>
        <w:rPr>
          <w:rFonts w:ascii="Calibri" w:hAnsi="Calibri" w:cs="Calibri"/>
        </w:rPr>
      </w:pPr>
    </w:p>
    <w:p w14:paraId="477D39E2" w14:textId="77777777" w:rsidR="000757E0" w:rsidRDefault="000757E0" w:rsidP="00EB11F2">
      <w:pPr>
        <w:spacing w:line="256" w:lineRule="auto"/>
        <w:rPr>
          <w:rFonts w:ascii="Calibri" w:hAnsi="Calibri" w:cs="Calibri"/>
        </w:rPr>
      </w:pPr>
    </w:p>
    <w:p w14:paraId="4CD1D840" w14:textId="77777777" w:rsidR="007E3F70" w:rsidRDefault="007E3F70" w:rsidP="007E3F70">
      <w:pPr>
        <w:jc w:val="both"/>
        <w:rPr>
          <w:rFonts w:ascii="Calibri" w:hAnsi="Calibri" w:cs="Calibri"/>
        </w:rPr>
      </w:pPr>
    </w:p>
    <w:p w14:paraId="62EA7E07" w14:textId="77777777" w:rsidR="007E3F70" w:rsidRDefault="007E3F70" w:rsidP="007E3F70">
      <w:pPr>
        <w:jc w:val="both"/>
        <w:rPr>
          <w:rFonts w:ascii="Calibri" w:hAnsi="Calibri" w:cs="Calibri"/>
          <w:sz w:val="22"/>
          <w:szCs w:val="22"/>
        </w:rPr>
      </w:pPr>
    </w:p>
    <w:p w14:paraId="6CB2A341" w14:textId="77777777" w:rsidR="00E35550" w:rsidRDefault="00E35550" w:rsidP="007E3F70">
      <w:pPr>
        <w:spacing w:line="259" w:lineRule="auto"/>
        <w:jc w:val="both"/>
        <w:rPr>
          <w:rFonts w:ascii="Calibri" w:hAnsi="Calibri" w:cs="Calibri"/>
          <w:color w:val="000000" w:themeColor="text1"/>
        </w:rPr>
      </w:pPr>
    </w:p>
    <w:tbl>
      <w:tblPr>
        <w:tblStyle w:val="TableGrid"/>
        <w:tblW w:w="14312" w:type="dxa"/>
        <w:tblLook w:val="04A0" w:firstRow="1" w:lastRow="0" w:firstColumn="1" w:lastColumn="0" w:noHBand="0" w:noVBand="1"/>
      </w:tblPr>
      <w:tblGrid>
        <w:gridCol w:w="3539"/>
        <w:gridCol w:w="6095"/>
        <w:gridCol w:w="4678"/>
      </w:tblGrid>
      <w:tr w:rsidR="0033549F" w14:paraId="48BB5E49" w14:textId="77777777" w:rsidTr="005A0887">
        <w:trPr>
          <w:trHeight w:val="300"/>
        </w:trPr>
        <w:tc>
          <w:tcPr>
            <w:tcW w:w="3539"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F1F6E76" w14:textId="77777777" w:rsidR="0033549F" w:rsidRDefault="0033549F" w:rsidP="005A0887">
            <w:pPr>
              <w:jc w:val="center"/>
              <w:rPr>
                <w:rFonts w:ascii="Calibri" w:hAnsi="Calibri" w:cs="Calibri"/>
                <w:b/>
                <w:bCs/>
                <w:sz w:val="22"/>
                <w:szCs w:val="22"/>
              </w:rPr>
            </w:pPr>
            <w:r>
              <w:rPr>
                <w:rFonts w:ascii="Calibri" w:hAnsi="Calibri" w:cs="Calibri"/>
                <w:b/>
                <w:bCs/>
                <w:sz w:val="22"/>
                <w:szCs w:val="22"/>
              </w:rPr>
              <w:t>Aims</w:t>
            </w:r>
          </w:p>
        </w:tc>
        <w:tc>
          <w:tcPr>
            <w:tcW w:w="6095"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73DDA90A" w14:textId="77777777" w:rsidR="0033549F" w:rsidRDefault="0033549F" w:rsidP="005A0887">
            <w:pPr>
              <w:jc w:val="center"/>
              <w:rPr>
                <w:rFonts w:ascii="Calibri" w:hAnsi="Calibri" w:cs="Calibri"/>
                <w:b/>
                <w:bCs/>
                <w:sz w:val="22"/>
                <w:szCs w:val="22"/>
              </w:rPr>
            </w:pPr>
            <w:r>
              <w:rPr>
                <w:rFonts w:ascii="Calibri" w:hAnsi="Calibri" w:cs="Calibri"/>
                <w:b/>
                <w:bCs/>
                <w:sz w:val="22"/>
                <w:szCs w:val="22"/>
              </w:rPr>
              <w:t>Recommendations</w:t>
            </w:r>
          </w:p>
        </w:tc>
        <w:tc>
          <w:tcPr>
            <w:tcW w:w="4678" w:type="dxa"/>
            <w:tcBorders>
              <w:top w:val="single" w:sz="4" w:space="0" w:color="auto"/>
              <w:left w:val="single" w:sz="4" w:space="0" w:color="auto"/>
              <w:bottom w:val="single" w:sz="4" w:space="0" w:color="auto"/>
              <w:right w:val="single" w:sz="4" w:space="0" w:color="auto"/>
            </w:tcBorders>
            <w:shd w:val="clear" w:color="auto" w:fill="F4B083" w:themeFill="accent2" w:themeFillTint="99"/>
            <w:vAlign w:val="center"/>
            <w:hideMark/>
          </w:tcPr>
          <w:p w14:paraId="19AACE5C" w14:textId="77777777" w:rsidR="0033549F" w:rsidRDefault="0033549F" w:rsidP="005A0887">
            <w:pPr>
              <w:jc w:val="center"/>
              <w:rPr>
                <w:rFonts w:ascii="Calibri" w:hAnsi="Calibri" w:cs="Calibri"/>
                <w:b/>
                <w:bCs/>
                <w:sz w:val="22"/>
                <w:szCs w:val="22"/>
              </w:rPr>
            </w:pPr>
            <w:r>
              <w:rPr>
                <w:rFonts w:ascii="Calibri" w:hAnsi="Calibri" w:cs="Calibri"/>
                <w:b/>
                <w:bCs/>
                <w:sz w:val="22"/>
                <w:szCs w:val="22"/>
              </w:rPr>
              <w:t>Measures of Success</w:t>
            </w:r>
          </w:p>
        </w:tc>
      </w:tr>
      <w:tr w:rsidR="0033549F" w14:paraId="12847EDC" w14:textId="77777777" w:rsidTr="005A0887">
        <w:trPr>
          <w:trHeight w:val="300"/>
        </w:trPr>
        <w:tc>
          <w:tcPr>
            <w:tcW w:w="3539" w:type="dxa"/>
            <w:vMerge w:val="restart"/>
            <w:tcBorders>
              <w:top w:val="single" w:sz="4" w:space="0" w:color="auto"/>
              <w:left w:val="single" w:sz="4" w:space="0" w:color="auto"/>
              <w:bottom w:val="single" w:sz="4" w:space="0" w:color="auto"/>
              <w:right w:val="single" w:sz="4" w:space="0" w:color="auto"/>
            </w:tcBorders>
          </w:tcPr>
          <w:p w14:paraId="571CFF91" w14:textId="77777777" w:rsidR="0033549F" w:rsidRDefault="0033549F" w:rsidP="005A0887">
            <w:pPr>
              <w:rPr>
                <w:rFonts w:ascii="Calibri" w:hAnsi="Calibri" w:cs="Calibri"/>
                <w:sz w:val="22"/>
                <w:szCs w:val="22"/>
              </w:rPr>
            </w:pPr>
            <w:r>
              <w:rPr>
                <w:rFonts w:ascii="Calibri" w:hAnsi="Calibri" w:cs="Calibri"/>
                <w:sz w:val="22"/>
                <w:szCs w:val="22"/>
              </w:rPr>
              <w:t>1. To create a central point for cultural transformation within the University of Edinburgh by mainstreaming issues relating to racial discrimination and decolonisation, in recognition of the different kinds of racisms experienced by different ethnic/racial groups. </w:t>
            </w:r>
          </w:p>
          <w:p w14:paraId="0E8550D8" w14:textId="77777777" w:rsidR="0033549F" w:rsidRDefault="0033549F" w:rsidP="005A0887">
            <w:pPr>
              <w:rPr>
                <w:rFonts w:ascii="Calibri" w:hAnsi="Calibri" w:cs="Calibri"/>
                <w:sz w:val="22"/>
                <w:szCs w:val="22"/>
              </w:rPr>
            </w:pPr>
          </w:p>
          <w:p w14:paraId="2B7B28EA" w14:textId="77777777" w:rsidR="0033549F" w:rsidRDefault="0033549F" w:rsidP="005A0887">
            <w:pPr>
              <w:rPr>
                <w:rFonts w:ascii="Calibri" w:hAnsi="Calibri" w:cs="Calibri"/>
                <w:sz w:val="22"/>
                <w:szCs w:val="22"/>
              </w:rPr>
            </w:pPr>
          </w:p>
          <w:p w14:paraId="2EDD668F" w14:textId="77777777" w:rsidR="0033549F" w:rsidRDefault="0033549F" w:rsidP="005A0887">
            <w:pPr>
              <w:rPr>
                <w:rFonts w:ascii="Calibri" w:hAnsi="Calibri" w:cs="Calibri"/>
                <w:sz w:val="22"/>
                <w:szCs w:val="22"/>
              </w:rPr>
            </w:pPr>
          </w:p>
          <w:p w14:paraId="7EB455B6" w14:textId="77777777" w:rsidR="0033549F" w:rsidRDefault="0033549F" w:rsidP="005A0887">
            <w:pPr>
              <w:rPr>
                <w:rFonts w:ascii="Calibri" w:hAnsi="Calibri" w:cs="Calibri"/>
                <w:sz w:val="22"/>
                <w:szCs w:val="22"/>
              </w:rPr>
            </w:pPr>
          </w:p>
          <w:p w14:paraId="6749182F" w14:textId="77777777" w:rsidR="0033549F" w:rsidRDefault="0033549F" w:rsidP="005A0887">
            <w:pPr>
              <w:rPr>
                <w:rFonts w:ascii="Calibri" w:hAnsi="Calibri" w:cs="Calibri"/>
                <w:sz w:val="22"/>
                <w:szCs w:val="22"/>
              </w:rPr>
            </w:pPr>
          </w:p>
          <w:p w14:paraId="7A31A0A8" w14:textId="77777777" w:rsidR="0033549F" w:rsidRDefault="0033549F" w:rsidP="005A0887">
            <w:pPr>
              <w:rPr>
                <w:rFonts w:ascii="Calibri" w:hAnsi="Calibri" w:cs="Calibri"/>
                <w:sz w:val="22"/>
                <w:szCs w:val="22"/>
              </w:rPr>
            </w:pPr>
          </w:p>
          <w:p w14:paraId="5CED4836" w14:textId="77777777" w:rsidR="0033549F" w:rsidRDefault="0033549F" w:rsidP="005A0887">
            <w:pPr>
              <w:rPr>
                <w:rFonts w:ascii="Calibri" w:hAnsi="Calibri" w:cs="Calibri"/>
                <w:sz w:val="22"/>
                <w:szCs w:val="22"/>
              </w:rPr>
            </w:pPr>
          </w:p>
          <w:p w14:paraId="15F83123" w14:textId="77777777" w:rsidR="0033549F" w:rsidRDefault="0033549F" w:rsidP="005A0887">
            <w:pPr>
              <w:rPr>
                <w:rFonts w:ascii="Calibri" w:hAnsi="Calibri" w:cs="Calibri"/>
                <w:sz w:val="22"/>
                <w:szCs w:val="22"/>
              </w:rPr>
            </w:pPr>
          </w:p>
          <w:p w14:paraId="6D81C64E" w14:textId="77777777" w:rsidR="0033549F" w:rsidRDefault="0033549F" w:rsidP="005A0887">
            <w:pPr>
              <w:rPr>
                <w:rFonts w:ascii="Calibri" w:hAnsi="Calibri" w:cs="Calibri"/>
                <w:sz w:val="22"/>
                <w:szCs w:val="22"/>
              </w:rPr>
            </w:pPr>
          </w:p>
          <w:p w14:paraId="26A1A030" w14:textId="77777777" w:rsidR="0033549F" w:rsidRDefault="0033549F" w:rsidP="005A0887">
            <w:pPr>
              <w:rPr>
                <w:rFonts w:ascii="Calibri" w:hAnsi="Calibri" w:cs="Calibri"/>
                <w:sz w:val="22"/>
                <w:szCs w:val="22"/>
              </w:rPr>
            </w:pPr>
          </w:p>
          <w:p w14:paraId="218B2309" w14:textId="77777777" w:rsidR="0033549F" w:rsidRDefault="0033549F" w:rsidP="005A0887">
            <w:pPr>
              <w:rPr>
                <w:rFonts w:ascii="Calibri" w:hAnsi="Calibri" w:cs="Calibri"/>
                <w:sz w:val="22"/>
                <w:szCs w:val="22"/>
              </w:rPr>
            </w:pPr>
          </w:p>
          <w:p w14:paraId="71CBE2B0" w14:textId="77777777" w:rsidR="0033549F" w:rsidRDefault="0033549F" w:rsidP="005A0887">
            <w:pPr>
              <w:rPr>
                <w:rFonts w:ascii="Calibri" w:hAnsi="Calibri" w:cs="Calibri"/>
                <w:sz w:val="22"/>
                <w:szCs w:val="22"/>
              </w:rPr>
            </w:pPr>
          </w:p>
          <w:p w14:paraId="35C472A6" w14:textId="77777777" w:rsidR="0033549F" w:rsidRDefault="0033549F" w:rsidP="005A0887">
            <w:pPr>
              <w:rPr>
                <w:rFonts w:ascii="Calibri" w:hAnsi="Calibri" w:cs="Calibri"/>
                <w:sz w:val="22"/>
                <w:szCs w:val="22"/>
              </w:rPr>
            </w:pPr>
          </w:p>
          <w:p w14:paraId="4C6F15C2" w14:textId="77777777" w:rsidR="0033549F" w:rsidRDefault="0033549F" w:rsidP="005A0887">
            <w:pPr>
              <w:rPr>
                <w:rFonts w:ascii="Calibri" w:hAnsi="Calibri" w:cs="Calibri"/>
                <w:sz w:val="22"/>
                <w:szCs w:val="22"/>
              </w:rPr>
            </w:pPr>
          </w:p>
        </w:tc>
        <w:tc>
          <w:tcPr>
            <w:tcW w:w="6095" w:type="dxa"/>
            <w:tcBorders>
              <w:top w:val="single" w:sz="4" w:space="0" w:color="auto"/>
              <w:left w:val="single" w:sz="4" w:space="0" w:color="auto"/>
              <w:bottom w:val="single" w:sz="4" w:space="0" w:color="auto"/>
              <w:right w:val="single" w:sz="4" w:space="0" w:color="auto"/>
            </w:tcBorders>
            <w:hideMark/>
          </w:tcPr>
          <w:p w14:paraId="5CA289F1" w14:textId="77777777" w:rsidR="0033549F" w:rsidRDefault="0033549F" w:rsidP="005A0887">
            <w:pPr>
              <w:rPr>
                <w:rFonts w:ascii="Calibri" w:hAnsi="Calibri" w:cs="Calibri"/>
                <w:sz w:val="22"/>
                <w:szCs w:val="22"/>
              </w:rPr>
            </w:pPr>
            <w:r>
              <w:rPr>
                <w:rFonts w:ascii="Calibri" w:hAnsi="Calibri" w:cs="Calibri"/>
                <w:sz w:val="22"/>
                <w:szCs w:val="22"/>
              </w:rPr>
              <w:t>1.1 Establish a Research and Community Centre for the Study of Racisms, Colonialism and Anti-Black Violence as a dedicated, University-funded infrastructure, including core staff (e.g. Director, Community Engagement Officer/Manager, Professional Services Manager, Administrator and others).</w:t>
            </w:r>
          </w:p>
        </w:tc>
        <w:tc>
          <w:tcPr>
            <w:tcW w:w="4678" w:type="dxa"/>
            <w:vMerge w:val="restart"/>
            <w:tcBorders>
              <w:top w:val="single" w:sz="4" w:space="0" w:color="auto"/>
              <w:left w:val="single" w:sz="4" w:space="0" w:color="auto"/>
              <w:bottom w:val="single" w:sz="4" w:space="0" w:color="auto"/>
              <w:right w:val="single" w:sz="4" w:space="0" w:color="auto"/>
            </w:tcBorders>
          </w:tcPr>
          <w:p w14:paraId="6292D3EA" w14:textId="77777777" w:rsidR="0033549F" w:rsidRDefault="0033549F" w:rsidP="005A0887">
            <w:pPr>
              <w:spacing w:line="256" w:lineRule="auto"/>
              <w:rPr>
                <w:rFonts w:ascii="Calibri" w:hAnsi="Calibri" w:cs="Calibri"/>
                <w:sz w:val="22"/>
                <w:szCs w:val="22"/>
              </w:rPr>
            </w:pPr>
            <w:r>
              <w:rPr>
                <w:rFonts w:ascii="Calibri" w:hAnsi="Calibri" w:cs="Calibri"/>
                <w:sz w:val="22"/>
                <w:szCs w:val="22"/>
              </w:rPr>
              <w:t xml:space="preserve">Principle 8: A commitment to sustainability and legacy. The establishment of the Centre would ensure the development of sustainable research dedicated to understanding racial and ethnic difference, addressing racism and racial discrimination through ongoing, cross-disciplinary and cross-community collaboration.  </w:t>
            </w:r>
          </w:p>
          <w:p w14:paraId="35D8B165" w14:textId="77777777" w:rsidR="0033549F" w:rsidRDefault="0033549F" w:rsidP="005A0887">
            <w:pPr>
              <w:spacing w:line="256" w:lineRule="auto"/>
              <w:rPr>
                <w:rFonts w:ascii="Calibri" w:hAnsi="Calibri" w:cs="Calibri"/>
                <w:sz w:val="22"/>
                <w:szCs w:val="22"/>
              </w:rPr>
            </w:pPr>
          </w:p>
          <w:p w14:paraId="551A2D0F" w14:textId="77777777" w:rsidR="0033549F" w:rsidRDefault="0033549F" w:rsidP="005A0887">
            <w:pPr>
              <w:spacing w:line="256" w:lineRule="auto"/>
              <w:rPr>
                <w:rFonts w:ascii="Calibri" w:hAnsi="Calibri" w:cs="Calibri"/>
                <w:sz w:val="22"/>
                <w:szCs w:val="22"/>
              </w:rPr>
            </w:pPr>
          </w:p>
          <w:p w14:paraId="683F6938" w14:textId="77777777" w:rsidR="0033549F" w:rsidRDefault="0033549F" w:rsidP="005A0887">
            <w:pPr>
              <w:spacing w:line="256" w:lineRule="auto"/>
              <w:rPr>
                <w:rFonts w:ascii="Calibri" w:hAnsi="Calibri" w:cs="Calibri"/>
                <w:sz w:val="22"/>
                <w:szCs w:val="22"/>
              </w:rPr>
            </w:pPr>
          </w:p>
          <w:p w14:paraId="63B48234" w14:textId="77777777" w:rsidR="0033549F" w:rsidRDefault="0033549F" w:rsidP="005A0887">
            <w:pPr>
              <w:spacing w:line="256" w:lineRule="auto"/>
              <w:rPr>
                <w:rFonts w:ascii="Calibri" w:hAnsi="Calibri" w:cs="Calibri"/>
                <w:sz w:val="22"/>
                <w:szCs w:val="22"/>
              </w:rPr>
            </w:pPr>
          </w:p>
          <w:p w14:paraId="1EF3DE35" w14:textId="77777777" w:rsidR="0033549F" w:rsidRDefault="0033549F" w:rsidP="005A0887">
            <w:pPr>
              <w:spacing w:line="256" w:lineRule="auto"/>
              <w:rPr>
                <w:rFonts w:ascii="Calibri" w:hAnsi="Calibri" w:cs="Calibri"/>
                <w:sz w:val="22"/>
                <w:szCs w:val="22"/>
              </w:rPr>
            </w:pPr>
          </w:p>
          <w:p w14:paraId="0CA05E84" w14:textId="77777777" w:rsidR="0033549F" w:rsidRDefault="0033549F" w:rsidP="005A0887">
            <w:pPr>
              <w:spacing w:line="256" w:lineRule="auto"/>
              <w:rPr>
                <w:rFonts w:ascii="Calibri" w:hAnsi="Calibri" w:cs="Calibri"/>
                <w:sz w:val="22"/>
                <w:szCs w:val="22"/>
              </w:rPr>
            </w:pPr>
          </w:p>
          <w:p w14:paraId="7F569776" w14:textId="77777777" w:rsidR="0033549F" w:rsidRDefault="0033549F" w:rsidP="005A0887">
            <w:pPr>
              <w:spacing w:line="256" w:lineRule="auto"/>
              <w:rPr>
                <w:rFonts w:ascii="Calibri" w:hAnsi="Calibri" w:cs="Calibri"/>
                <w:sz w:val="22"/>
                <w:szCs w:val="22"/>
              </w:rPr>
            </w:pPr>
          </w:p>
          <w:p w14:paraId="37FD7BD5" w14:textId="77777777" w:rsidR="0033549F" w:rsidRDefault="0033549F" w:rsidP="005A0887">
            <w:pPr>
              <w:spacing w:line="256" w:lineRule="auto"/>
              <w:rPr>
                <w:rFonts w:ascii="Calibri" w:hAnsi="Calibri" w:cs="Calibri"/>
                <w:sz w:val="22"/>
                <w:szCs w:val="22"/>
              </w:rPr>
            </w:pPr>
          </w:p>
        </w:tc>
      </w:tr>
      <w:tr w:rsidR="0033549F" w14:paraId="19713CA4" w14:textId="77777777" w:rsidTr="005A0887">
        <w:trPr>
          <w:trHeight w:val="300"/>
        </w:trPr>
        <w:tc>
          <w:tcPr>
            <w:tcW w:w="3539" w:type="dxa"/>
            <w:vMerge/>
            <w:vAlign w:val="center"/>
            <w:hideMark/>
          </w:tcPr>
          <w:p w14:paraId="000387A8"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hideMark/>
          </w:tcPr>
          <w:p w14:paraId="2277E152" w14:textId="77777777" w:rsidR="0033549F" w:rsidRDefault="0033549F" w:rsidP="005A0887">
            <w:pPr>
              <w:rPr>
                <w:rFonts w:ascii="Calibri" w:hAnsi="Calibri" w:cs="Calibri"/>
                <w:sz w:val="22"/>
                <w:szCs w:val="22"/>
              </w:rPr>
            </w:pPr>
            <w:r>
              <w:rPr>
                <w:rFonts w:ascii="Calibri" w:hAnsi="Calibri" w:cs="Calibri"/>
                <w:sz w:val="22"/>
                <w:szCs w:val="22"/>
              </w:rPr>
              <w:t>1.2 Appoint the Centre Director to EDIC, REAR and the Executive with responsibility for ensuring the University of Edinburgh’s adherence to the Race Equality Charter.</w:t>
            </w:r>
          </w:p>
        </w:tc>
        <w:tc>
          <w:tcPr>
            <w:tcW w:w="4678" w:type="dxa"/>
            <w:vMerge/>
            <w:vAlign w:val="center"/>
            <w:hideMark/>
          </w:tcPr>
          <w:p w14:paraId="6C0BBD7C" w14:textId="77777777" w:rsidR="0033549F" w:rsidRDefault="0033549F" w:rsidP="005A0887">
            <w:pPr>
              <w:rPr>
                <w:rFonts w:ascii="Calibri" w:hAnsi="Calibri" w:cs="Calibri"/>
                <w:sz w:val="22"/>
                <w:szCs w:val="22"/>
                <w:lang w:eastAsia="en-US"/>
              </w:rPr>
            </w:pPr>
          </w:p>
        </w:tc>
      </w:tr>
      <w:tr w:rsidR="0033549F" w14:paraId="10F7F29E" w14:textId="77777777" w:rsidTr="005A0887">
        <w:trPr>
          <w:trHeight w:val="300"/>
        </w:trPr>
        <w:tc>
          <w:tcPr>
            <w:tcW w:w="3539" w:type="dxa"/>
            <w:vMerge/>
            <w:vAlign w:val="center"/>
            <w:hideMark/>
          </w:tcPr>
          <w:p w14:paraId="283021BE"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hideMark/>
          </w:tcPr>
          <w:p w14:paraId="598B3869" w14:textId="77777777" w:rsidR="0033549F" w:rsidRDefault="0033549F" w:rsidP="005A0887">
            <w:pPr>
              <w:rPr>
                <w:rFonts w:ascii="Calibri" w:hAnsi="Calibri" w:cs="Calibri"/>
                <w:sz w:val="22"/>
                <w:szCs w:val="22"/>
              </w:rPr>
            </w:pPr>
            <w:r>
              <w:rPr>
                <w:rFonts w:ascii="Calibri" w:hAnsi="Calibri" w:cs="Calibri"/>
                <w:sz w:val="22"/>
                <w:szCs w:val="22"/>
              </w:rPr>
              <w:t xml:space="preserve">1.3 Create a central point for decolonising efforts across the University of Edinburgh (noting that efforts are currently very dispersed) in collaboration with all Colleges and Schools to generate a more unified and cohesive strategy for implementing change and helping Schools address their colonial and racial legacies. This includes ensuring that all Schools and units within the University take account of this report and address any implications or related actions. </w:t>
            </w:r>
          </w:p>
        </w:tc>
        <w:tc>
          <w:tcPr>
            <w:tcW w:w="4678" w:type="dxa"/>
            <w:vMerge/>
            <w:vAlign w:val="center"/>
            <w:hideMark/>
          </w:tcPr>
          <w:p w14:paraId="4CFFEB6F" w14:textId="77777777" w:rsidR="0033549F" w:rsidRDefault="0033549F" w:rsidP="005A0887">
            <w:pPr>
              <w:rPr>
                <w:rFonts w:ascii="Calibri" w:hAnsi="Calibri" w:cs="Calibri"/>
                <w:sz w:val="22"/>
                <w:szCs w:val="22"/>
                <w:lang w:eastAsia="en-US"/>
              </w:rPr>
            </w:pPr>
          </w:p>
        </w:tc>
      </w:tr>
      <w:tr w:rsidR="0033549F" w14:paraId="38C3747C" w14:textId="77777777" w:rsidTr="005A0887">
        <w:trPr>
          <w:trHeight w:val="1019"/>
        </w:trPr>
        <w:tc>
          <w:tcPr>
            <w:tcW w:w="3539" w:type="dxa"/>
            <w:vMerge/>
            <w:vAlign w:val="center"/>
            <w:hideMark/>
          </w:tcPr>
          <w:p w14:paraId="13236374"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hideMark/>
          </w:tcPr>
          <w:p w14:paraId="4FAB1AA1" w14:textId="77777777" w:rsidR="0033549F" w:rsidRDefault="0033549F" w:rsidP="005A0887">
            <w:pPr>
              <w:rPr>
                <w:rFonts w:ascii="Calibri" w:hAnsi="Calibri" w:cs="Calibri"/>
                <w:sz w:val="22"/>
                <w:szCs w:val="22"/>
              </w:rPr>
            </w:pPr>
            <w:r>
              <w:rPr>
                <w:rFonts w:ascii="Calibri" w:hAnsi="Calibri" w:cs="Calibri"/>
                <w:sz w:val="22"/>
                <w:szCs w:val="22"/>
              </w:rPr>
              <w:t>1.4 Adopt and endorse a definition of racism and decolonisation at an official level that underpins all institutional reforms and guides the University of Edinburgh’s corrective vision.</w:t>
            </w:r>
          </w:p>
        </w:tc>
        <w:tc>
          <w:tcPr>
            <w:tcW w:w="4678" w:type="dxa"/>
            <w:vMerge/>
            <w:vAlign w:val="center"/>
            <w:hideMark/>
          </w:tcPr>
          <w:p w14:paraId="722962E2" w14:textId="77777777" w:rsidR="0033549F" w:rsidRDefault="0033549F" w:rsidP="005A0887">
            <w:pPr>
              <w:rPr>
                <w:rFonts w:ascii="Calibri" w:hAnsi="Calibri" w:cs="Calibri"/>
                <w:sz w:val="22"/>
                <w:szCs w:val="22"/>
                <w:lang w:eastAsia="en-US"/>
              </w:rPr>
            </w:pPr>
          </w:p>
        </w:tc>
      </w:tr>
      <w:tr w:rsidR="0033549F" w14:paraId="4C06008F" w14:textId="77777777" w:rsidTr="005A0887">
        <w:trPr>
          <w:trHeight w:val="1249"/>
        </w:trPr>
        <w:tc>
          <w:tcPr>
            <w:tcW w:w="3539" w:type="dxa"/>
            <w:tcBorders>
              <w:bottom w:val="single" w:sz="4" w:space="0" w:color="auto"/>
            </w:tcBorders>
            <w:shd w:val="clear" w:color="auto" w:fill="C9C9C9" w:themeFill="accent3" w:themeFillTint="99"/>
          </w:tcPr>
          <w:p w14:paraId="3D58809B" w14:textId="77777777" w:rsidR="0033549F" w:rsidRDefault="0033549F" w:rsidP="005A0887">
            <w:pPr>
              <w:rPr>
                <w:rFonts w:ascii="Calibri" w:hAnsi="Calibri" w:cs="Calibri"/>
                <w:sz w:val="22"/>
                <w:szCs w:val="22"/>
              </w:rPr>
            </w:pPr>
            <w:r>
              <w:rPr>
                <w:rFonts w:ascii="Calibri" w:hAnsi="Calibri" w:cs="Calibri"/>
                <w:sz w:val="22"/>
                <w:szCs w:val="22"/>
              </w:rPr>
              <w:t xml:space="preserve">2. </w:t>
            </w:r>
            <w:r w:rsidRPr="00143DBB">
              <w:rPr>
                <w:rFonts w:ascii="Calibri" w:hAnsi="Calibri" w:cs="Calibri"/>
                <w:sz w:val="22"/>
                <w:szCs w:val="22"/>
              </w:rPr>
              <w:t>To support a public acknowledgement and apology for the</w:t>
            </w:r>
            <w:r>
              <w:rPr>
                <w:rFonts w:ascii="Calibri" w:hAnsi="Calibri" w:cs="Calibri"/>
                <w:sz w:val="22"/>
                <w:szCs w:val="22"/>
              </w:rPr>
              <w:t xml:space="preserve"> University of Edinburgh’s historical links to slavery, colonialism and their legacies today.</w:t>
            </w: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074A7FB2" w14:textId="77777777" w:rsidR="0033549F" w:rsidRDefault="0033549F" w:rsidP="005A0887">
            <w:pPr>
              <w:rPr>
                <w:rFonts w:ascii="Calibri" w:hAnsi="Calibri" w:cs="Calibri"/>
                <w:sz w:val="22"/>
                <w:szCs w:val="22"/>
              </w:rPr>
            </w:pPr>
            <w:r>
              <w:rPr>
                <w:rFonts w:ascii="Calibri" w:hAnsi="Calibri" w:cs="Calibri"/>
                <w:sz w:val="22"/>
                <w:szCs w:val="22"/>
              </w:rPr>
              <w:t>2.1 Work with the Principal, Senior Leadership Team and Communications Team on taking a proactive approach to formally and publicly acknowledging and apologising for the role the University of Edinburgh has played in histories of colonial violence and their legacies today.</w:t>
            </w:r>
          </w:p>
        </w:tc>
        <w:tc>
          <w:tcPr>
            <w:tcW w:w="4678" w:type="dxa"/>
            <w:tcBorders>
              <w:bottom w:val="single" w:sz="4" w:space="0" w:color="auto"/>
            </w:tcBorders>
            <w:shd w:val="clear" w:color="auto" w:fill="C9C9C9" w:themeFill="accent3" w:themeFillTint="99"/>
          </w:tcPr>
          <w:p w14:paraId="50118AC8" w14:textId="77777777" w:rsidR="0033549F" w:rsidRDefault="0033549F" w:rsidP="005A0887">
            <w:pPr>
              <w:rPr>
                <w:rFonts w:ascii="Calibri" w:hAnsi="Calibri" w:cs="Calibri"/>
                <w:sz w:val="22"/>
                <w:szCs w:val="22"/>
              </w:rPr>
            </w:pPr>
            <w:r>
              <w:rPr>
                <w:rFonts w:ascii="Calibri" w:hAnsi="Calibri" w:cs="Calibri"/>
                <w:sz w:val="22"/>
                <w:szCs w:val="22"/>
              </w:rPr>
              <w:t>Principle 1: A commitment to recognising historical and contemporary struggles for social and reparatory justice.</w:t>
            </w:r>
          </w:p>
        </w:tc>
      </w:tr>
      <w:tr w:rsidR="0033549F" w14:paraId="1116F198" w14:textId="77777777" w:rsidTr="005A0887">
        <w:trPr>
          <w:trHeight w:val="300"/>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5048FD" w14:textId="77777777" w:rsidR="0033549F" w:rsidRDefault="0033549F" w:rsidP="005A0887">
            <w:pPr>
              <w:rPr>
                <w:rFonts w:ascii="Calibri" w:hAnsi="Calibri" w:cs="Calibri"/>
                <w:sz w:val="22"/>
                <w:szCs w:val="22"/>
              </w:rPr>
            </w:pPr>
            <w:r>
              <w:rPr>
                <w:rFonts w:ascii="Calibri" w:hAnsi="Calibri" w:cs="Calibri"/>
                <w:sz w:val="22"/>
                <w:szCs w:val="22"/>
              </w:rPr>
              <w:lastRenderedPageBreak/>
              <w:t>3. To improve the institutional climate for ethnically/racially minoritised staff and students and address under-representation by improving institutional practices and policies around hiring, retention and racial literacy.</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2C0CDFFD" w14:textId="77777777" w:rsidR="0033549F" w:rsidRDefault="0033549F" w:rsidP="005A0887">
            <w:pPr>
              <w:rPr>
                <w:rFonts w:ascii="Calibri" w:hAnsi="Calibri" w:cs="Calibri"/>
                <w:sz w:val="22"/>
                <w:szCs w:val="22"/>
              </w:rPr>
            </w:pPr>
            <w:r>
              <w:rPr>
                <w:rFonts w:ascii="Calibri" w:hAnsi="Calibri" w:cs="Calibri"/>
                <w:sz w:val="22"/>
                <w:szCs w:val="22"/>
              </w:rPr>
              <w:t xml:space="preserve">3.1 Set up a working group to revise current hiring strategies and develop new training resources for recruitment panels. </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04F9AABB" w14:textId="77777777" w:rsidR="0033549F" w:rsidRDefault="0033549F" w:rsidP="005A0887">
            <w:pPr>
              <w:rPr>
                <w:rFonts w:ascii="Calibri" w:hAnsi="Calibri" w:cs="Calibri"/>
                <w:sz w:val="22"/>
                <w:szCs w:val="22"/>
              </w:rPr>
            </w:pPr>
            <w:r>
              <w:rPr>
                <w:rFonts w:ascii="Calibri" w:hAnsi="Calibri" w:cs="Calibri"/>
                <w:sz w:val="22"/>
                <w:szCs w:val="22"/>
              </w:rPr>
              <w:t xml:space="preserve">Principle 1: A commitment to recognising historical and contemporary struggles for social and reparatory justice. </w:t>
            </w:r>
          </w:p>
          <w:p w14:paraId="791775C9" w14:textId="77777777" w:rsidR="0033549F" w:rsidRDefault="0033549F" w:rsidP="005A0887">
            <w:pPr>
              <w:rPr>
                <w:rFonts w:ascii="Calibri" w:hAnsi="Calibri" w:cs="Calibri"/>
                <w:sz w:val="22"/>
                <w:szCs w:val="22"/>
              </w:rPr>
            </w:pPr>
          </w:p>
          <w:p w14:paraId="140EA685" w14:textId="77777777" w:rsidR="0033549F" w:rsidRDefault="0033549F" w:rsidP="005A0887">
            <w:pPr>
              <w:rPr>
                <w:rFonts w:ascii="Calibri" w:hAnsi="Calibri" w:cs="Calibri"/>
                <w:sz w:val="22"/>
                <w:szCs w:val="22"/>
              </w:rPr>
            </w:pPr>
            <w:r>
              <w:rPr>
                <w:rFonts w:ascii="Calibri" w:hAnsi="Calibri" w:cs="Calibri"/>
                <w:sz w:val="22"/>
                <w:szCs w:val="22"/>
              </w:rPr>
              <w:t xml:space="preserve">Principle 6: A commitment to transparency and accountability. </w:t>
            </w:r>
          </w:p>
        </w:tc>
      </w:tr>
      <w:tr w:rsidR="0033549F" w14:paraId="46C9B436" w14:textId="77777777" w:rsidTr="005A0887">
        <w:trPr>
          <w:trHeight w:val="300"/>
        </w:trPr>
        <w:tc>
          <w:tcPr>
            <w:tcW w:w="3539" w:type="dxa"/>
            <w:vMerge/>
          </w:tcPr>
          <w:p w14:paraId="383F0D51" w14:textId="77777777" w:rsidR="0033549F" w:rsidRDefault="0033549F" w:rsidP="005A0887">
            <w:pPr>
              <w:rPr>
                <w:rFonts w:ascii="Calibri" w:hAnsi="Calibri" w:cs="Calibri"/>
                <w:sz w:val="22"/>
                <w:szCs w:val="22"/>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EE9FA2" w14:textId="77777777" w:rsidR="0033549F" w:rsidRDefault="0033549F" w:rsidP="005A0887">
            <w:pPr>
              <w:rPr>
                <w:rFonts w:ascii="Calibri" w:hAnsi="Calibri" w:cs="Calibri"/>
                <w:sz w:val="22"/>
                <w:szCs w:val="22"/>
              </w:rPr>
            </w:pPr>
            <w:r>
              <w:rPr>
                <w:rFonts w:ascii="Calibri" w:hAnsi="Calibri" w:cs="Calibri"/>
                <w:sz w:val="22"/>
                <w:szCs w:val="22"/>
              </w:rPr>
              <w:t>3.2</w:t>
            </w:r>
            <w:r w:rsidRPr="008B523E">
              <w:rPr>
                <w:rFonts w:ascii="Calibri" w:hAnsi="Calibri" w:cs="Calibri"/>
                <w:sz w:val="22"/>
                <w:szCs w:val="22"/>
              </w:rPr>
              <w:t xml:space="preserve"> Create</w:t>
            </w:r>
            <w:r>
              <w:rPr>
                <w:rFonts w:ascii="Calibri" w:hAnsi="Calibri" w:cs="Calibri"/>
                <w:sz w:val="22"/>
                <w:szCs w:val="22"/>
              </w:rPr>
              <w:t xml:space="preserve"> a scholarship programme to financially support </w:t>
            </w:r>
            <w:r w:rsidRPr="008B523E">
              <w:rPr>
                <w:rFonts w:ascii="Calibri" w:hAnsi="Calibri" w:cs="Calibri"/>
                <w:sz w:val="22"/>
                <w:szCs w:val="22"/>
              </w:rPr>
              <w:t>students</w:t>
            </w:r>
            <w:r>
              <w:rPr>
                <w:rFonts w:ascii="Calibri" w:hAnsi="Calibri" w:cs="Calibri"/>
                <w:sz w:val="22"/>
                <w:szCs w:val="22"/>
              </w:rPr>
              <w:t xml:space="preserve"> from</w:t>
            </w:r>
            <w:r w:rsidRPr="008B523E">
              <w:rPr>
                <w:rFonts w:ascii="Calibri" w:hAnsi="Calibri" w:cs="Calibri"/>
                <w:sz w:val="22"/>
                <w:szCs w:val="22"/>
              </w:rPr>
              <w:t xml:space="preserve"> </w:t>
            </w:r>
            <w:r>
              <w:rPr>
                <w:rFonts w:ascii="Calibri" w:hAnsi="Calibri" w:cs="Calibri"/>
                <w:sz w:val="22"/>
                <w:szCs w:val="22"/>
              </w:rPr>
              <w:t>racially/ethnically under-represented groups, notably Black students, at</w:t>
            </w:r>
            <w:r w:rsidRPr="008B523E">
              <w:rPr>
                <w:rFonts w:ascii="Calibri" w:hAnsi="Calibri" w:cs="Calibri"/>
                <w:sz w:val="22"/>
                <w:szCs w:val="22"/>
              </w:rPr>
              <w:t xml:space="preserve"> undergraduate, postgraduate and post-doctoral level</w:t>
            </w:r>
            <w:r>
              <w:rPr>
                <w:rFonts w:ascii="Calibri" w:hAnsi="Calibri" w:cs="Calibri"/>
                <w:sz w:val="22"/>
                <w:szCs w:val="22"/>
              </w:rPr>
              <w:t>s.</w:t>
            </w:r>
          </w:p>
        </w:tc>
        <w:tc>
          <w:tcPr>
            <w:tcW w:w="4678" w:type="dxa"/>
            <w:vMerge w:val="restart"/>
            <w:tcBorders>
              <w:top w:val="single" w:sz="4" w:space="0" w:color="auto"/>
              <w:left w:val="single" w:sz="4" w:space="0" w:color="auto"/>
              <w:right w:val="single" w:sz="4" w:space="0" w:color="auto"/>
            </w:tcBorders>
            <w:shd w:val="clear" w:color="auto" w:fill="auto"/>
          </w:tcPr>
          <w:p w14:paraId="0E6F076F" w14:textId="77777777" w:rsidR="0033549F" w:rsidRDefault="0033549F" w:rsidP="005A0887">
            <w:pPr>
              <w:rPr>
                <w:rFonts w:ascii="Calibri" w:hAnsi="Calibri" w:cs="Calibri"/>
                <w:sz w:val="22"/>
                <w:szCs w:val="22"/>
              </w:rPr>
            </w:pPr>
            <w:r>
              <w:rPr>
                <w:rFonts w:ascii="Calibri" w:hAnsi="Calibri" w:cs="Calibri"/>
                <w:sz w:val="22"/>
                <w:szCs w:val="22"/>
              </w:rPr>
              <w:t xml:space="preserve">Principle 12: A commitment to equality, diversity and anti-racism. </w:t>
            </w:r>
          </w:p>
          <w:p w14:paraId="547CF149" w14:textId="77777777" w:rsidR="0033549F" w:rsidRDefault="0033549F" w:rsidP="005A0887">
            <w:pPr>
              <w:rPr>
                <w:rFonts w:ascii="Calibri" w:hAnsi="Calibri" w:cs="Calibri"/>
                <w:sz w:val="22"/>
                <w:szCs w:val="22"/>
              </w:rPr>
            </w:pPr>
          </w:p>
          <w:p w14:paraId="58414DB1" w14:textId="77777777" w:rsidR="0033549F" w:rsidRDefault="0033549F" w:rsidP="005A0887">
            <w:pPr>
              <w:rPr>
                <w:rFonts w:ascii="Calibri" w:hAnsi="Calibri" w:cs="Calibri"/>
                <w:sz w:val="22"/>
                <w:szCs w:val="22"/>
              </w:rPr>
            </w:pPr>
          </w:p>
          <w:p w14:paraId="5C4E66C6" w14:textId="77777777" w:rsidR="0033549F" w:rsidRDefault="0033549F" w:rsidP="005A0887">
            <w:pPr>
              <w:rPr>
                <w:rFonts w:ascii="Calibri" w:hAnsi="Calibri" w:cs="Calibri"/>
                <w:sz w:val="22"/>
                <w:szCs w:val="22"/>
              </w:rPr>
            </w:pPr>
          </w:p>
        </w:tc>
      </w:tr>
      <w:tr w:rsidR="0033549F" w14:paraId="0E867C4F" w14:textId="77777777" w:rsidTr="005A0887">
        <w:trPr>
          <w:trHeight w:val="300"/>
        </w:trPr>
        <w:tc>
          <w:tcPr>
            <w:tcW w:w="3539" w:type="dxa"/>
            <w:vMerge/>
            <w:vAlign w:val="center"/>
            <w:hideMark/>
          </w:tcPr>
          <w:p w14:paraId="4313663E"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A461E35" w14:textId="77777777" w:rsidR="0033549F" w:rsidRDefault="0033549F" w:rsidP="005A0887">
            <w:pPr>
              <w:rPr>
                <w:rFonts w:ascii="Calibri" w:hAnsi="Calibri" w:cs="Calibri"/>
                <w:sz w:val="22"/>
                <w:szCs w:val="22"/>
              </w:rPr>
            </w:pPr>
            <w:r>
              <w:rPr>
                <w:rFonts w:ascii="Calibri" w:hAnsi="Calibri" w:cs="Calibri"/>
                <w:sz w:val="22"/>
                <w:szCs w:val="22"/>
              </w:rPr>
              <w:t>3.3 Set up a Task Force to monitor searches and ensure that departmental searches are trying to attract racially and ethnically diverse candidates. Members of the Task Force will work with HR to make sure selection and hiring committees are racially and ethnically diverse.</w:t>
            </w:r>
          </w:p>
        </w:tc>
        <w:tc>
          <w:tcPr>
            <w:tcW w:w="4678" w:type="dxa"/>
            <w:vMerge/>
          </w:tcPr>
          <w:p w14:paraId="4F01AE3F" w14:textId="77777777" w:rsidR="0033549F" w:rsidRDefault="0033549F" w:rsidP="005A0887">
            <w:pPr>
              <w:rPr>
                <w:rFonts w:ascii="Calibri" w:hAnsi="Calibri" w:cs="Calibri"/>
                <w:sz w:val="22"/>
                <w:szCs w:val="22"/>
              </w:rPr>
            </w:pPr>
          </w:p>
        </w:tc>
      </w:tr>
      <w:tr w:rsidR="0033549F" w14:paraId="771C99C7" w14:textId="77777777" w:rsidTr="005A0887">
        <w:trPr>
          <w:trHeight w:val="300"/>
        </w:trPr>
        <w:tc>
          <w:tcPr>
            <w:tcW w:w="3539" w:type="dxa"/>
            <w:vMerge/>
            <w:vAlign w:val="center"/>
            <w:hideMark/>
          </w:tcPr>
          <w:p w14:paraId="585B98DF"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D04895D" w14:textId="77777777" w:rsidR="0033549F" w:rsidRDefault="0033549F" w:rsidP="005A0887">
            <w:pPr>
              <w:rPr>
                <w:rFonts w:ascii="Calibri" w:hAnsi="Calibri" w:cs="Calibri"/>
                <w:sz w:val="22"/>
                <w:szCs w:val="22"/>
              </w:rPr>
            </w:pPr>
            <w:r>
              <w:rPr>
                <w:rFonts w:ascii="Calibri" w:hAnsi="Calibri" w:cs="Calibri"/>
                <w:sz w:val="22"/>
                <w:szCs w:val="22"/>
              </w:rPr>
              <w:t xml:space="preserve">3.4 Establish a goal of institutional diversification that reflects national and international diversity in the hiring and retention of academic and other staff members. </w:t>
            </w:r>
          </w:p>
        </w:tc>
        <w:tc>
          <w:tcPr>
            <w:tcW w:w="4678" w:type="dxa"/>
            <w:vMerge/>
            <w:vAlign w:val="center"/>
            <w:hideMark/>
          </w:tcPr>
          <w:p w14:paraId="42169345" w14:textId="77777777" w:rsidR="0033549F" w:rsidRDefault="0033549F" w:rsidP="005A0887">
            <w:pPr>
              <w:rPr>
                <w:rFonts w:ascii="Calibri" w:hAnsi="Calibri" w:cs="Calibri"/>
                <w:sz w:val="22"/>
                <w:szCs w:val="22"/>
                <w:lang w:eastAsia="en-US"/>
              </w:rPr>
            </w:pPr>
          </w:p>
        </w:tc>
      </w:tr>
      <w:tr w:rsidR="0033549F" w14:paraId="24C61D39" w14:textId="77777777" w:rsidTr="005A0887">
        <w:trPr>
          <w:trHeight w:val="300"/>
        </w:trPr>
        <w:tc>
          <w:tcPr>
            <w:tcW w:w="3539" w:type="dxa"/>
            <w:vMerge/>
            <w:vAlign w:val="center"/>
            <w:hideMark/>
          </w:tcPr>
          <w:p w14:paraId="1F444DB9"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A667160" w14:textId="77777777" w:rsidR="0033549F" w:rsidRDefault="0033549F" w:rsidP="005A0887">
            <w:pPr>
              <w:rPr>
                <w:rFonts w:ascii="Calibri" w:hAnsi="Calibri" w:cs="Calibri"/>
                <w:sz w:val="22"/>
                <w:szCs w:val="22"/>
              </w:rPr>
            </w:pPr>
            <w:r>
              <w:rPr>
                <w:rFonts w:ascii="Calibri" w:hAnsi="Calibri" w:cs="Calibri"/>
                <w:sz w:val="22"/>
                <w:szCs w:val="22"/>
              </w:rPr>
              <w:t>3.5 Examine racial/ethnic gaps in grant capture at the University of Edinburgh and track the impact of this disparity in promotion and salary outcomes.</w:t>
            </w:r>
          </w:p>
        </w:tc>
        <w:tc>
          <w:tcPr>
            <w:tcW w:w="4678" w:type="dxa"/>
            <w:vMerge/>
            <w:vAlign w:val="center"/>
            <w:hideMark/>
          </w:tcPr>
          <w:p w14:paraId="67182812" w14:textId="77777777" w:rsidR="0033549F" w:rsidRDefault="0033549F" w:rsidP="005A0887">
            <w:pPr>
              <w:rPr>
                <w:rFonts w:ascii="Calibri" w:hAnsi="Calibri" w:cs="Calibri"/>
                <w:sz w:val="22"/>
                <w:szCs w:val="22"/>
                <w:lang w:eastAsia="en-US"/>
              </w:rPr>
            </w:pPr>
          </w:p>
        </w:tc>
      </w:tr>
      <w:tr w:rsidR="0033549F" w14:paraId="3B013E6E" w14:textId="77777777" w:rsidTr="005A0887">
        <w:trPr>
          <w:trHeight w:val="300"/>
        </w:trPr>
        <w:tc>
          <w:tcPr>
            <w:tcW w:w="3539" w:type="dxa"/>
            <w:vMerge/>
            <w:vAlign w:val="center"/>
            <w:hideMark/>
          </w:tcPr>
          <w:p w14:paraId="5F5BCFA6"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039F921" w14:textId="77777777" w:rsidR="0033549F" w:rsidRDefault="0033549F" w:rsidP="005A0887">
            <w:pPr>
              <w:rPr>
                <w:rFonts w:ascii="Calibri" w:hAnsi="Calibri" w:cs="Calibri"/>
                <w:sz w:val="22"/>
                <w:szCs w:val="22"/>
              </w:rPr>
            </w:pPr>
            <w:r>
              <w:rPr>
                <w:rFonts w:ascii="Calibri" w:hAnsi="Calibri" w:cs="Calibri"/>
                <w:sz w:val="22"/>
                <w:szCs w:val="22"/>
              </w:rPr>
              <w:t>3.6 Use new hiring policies to appoint a minimum of three new Chancellor’s Fellows to join the Centre, targeting outstanding researchers from racially/ethnically marginalised groups.</w:t>
            </w:r>
          </w:p>
        </w:tc>
        <w:tc>
          <w:tcPr>
            <w:tcW w:w="4678" w:type="dxa"/>
            <w:vMerge/>
            <w:vAlign w:val="center"/>
            <w:hideMark/>
          </w:tcPr>
          <w:p w14:paraId="2B17616C" w14:textId="77777777" w:rsidR="0033549F" w:rsidRDefault="0033549F" w:rsidP="005A0887">
            <w:pPr>
              <w:rPr>
                <w:rFonts w:ascii="Calibri" w:hAnsi="Calibri" w:cs="Calibri"/>
                <w:sz w:val="22"/>
                <w:szCs w:val="22"/>
                <w:lang w:eastAsia="en-US"/>
              </w:rPr>
            </w:pPr>
          </w:p>
        </w:tc>
      </w:tr>
      <w:tr w:rsidR="0033549F" w14:paraId="3F5A5993" w14:textId="77777777" w:rsidTr="005A0887">
        <w:trPr>
          <w:trHeight w:val="300"/>
        </w:trPr>
        <w:tc>
          <w:tcPr>
            <w:tcW w:w="3539" w:type="dxa"/>
            <w:vMerge/>
            <w:vAlign w:val="center"/>
            <w:hideMark/>
          </w:tcPr>
          <w:p w14:paraId="39C4E5C4"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AF67F2" w14:textId="77777777" w:rsidR="0033549F" w:rsidRDefault="0033549F" w:rsidP="005A0887">
            <w:pPr>
              <w:rPr>
                <w:rFonts w:ascii="Calibri" w:hAnsi="Calibri" w:cs="Calibri"/>
                <w:sz w:val="22"/>
                <w:szCs w:val="22"/>
              </w:rPr>
            </w:pPr>
            <w:r>
              <w:rPr>
                <w:rFonts w:ascii="Calibri" w:hAnsi="Calibri" w:cs="Calibri"/>
                <w:sz w:val="22"/>
                <w:szCs w:val="22"/>
              </w:rPr>
              <w:t xml:space="preserve">3.7 Reassign or appoint a minimum of three Academic Leads from across the three Colleges to develop research and engagement pathways for the Centre, targeting outstanding researchers from racially/ethnically marginalised groups. </w:t>
            </w:r>
          </w:p>
        </w:tc>
        <w:tc>
          <w:tcPr>
            <w:tcW w:w="4678" w:type="dxa"/>
            <w:vMerge/>
            <w:vAlign w:val="center"/>
            <w:hideMark/>
          </w:tcPr>
          <w:p w14:paraId="51337D4A" w14:textId="77777777" w:rsidR="0033549F" w:rsidRDefault="0033549F" w:rsidP="005A0887">
            <w:pPr>
              <w:rPr>
                <w:rFonts w:ascii="Calibri" w:hAnsi="Calibri" w:cs="Calibri"/>
                <w:sz w:val="22"/>
                <w:szCs w:val="22"/>
                <w:lang w:eastAsia="en-US"/>
              </w:rPr>
            </w:pPr>
          </w:p>
        </w:tc>
      </w:tr>
      <w:tr w:rsidR="0033549F" w14:paraId="118F4F26" w14:textId="77777777" w:rsidTr="005A0887">
        <w:trPr>
          <w:trHeight w:val="300"/>
        </w:trPr>
        <w:tc>
          <w:tcPr>
            <w:tcW w:w="3539" w:type="dxa"/>
            <w:vMerge/>
            <w:vAlign w:val="center"/>
            <w:hideMark/>
          </w:tcPr>
          <w:p w14:paraId="082B2024"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97CC058" w14:textId="77777777" w:rsidR="0033549F" w:rsidRDefault="0033549F" w:rsidP="005A0887">
            <w:pPr>
              <w:rPr>
                <w:rFonts w:ascii="Calibri" w:hAnsi="Calibri" w:cs="Calibri"/>
                <w:sz w:val="22"/>
                <w:szCs w:val="22"/>
              </w:rPr>
            </w:pPr>
            <w:r>
              <w:rPr>
                <w:rFonts w:ascii="Calibri" w:hAnsi="Calibri" w:cs="Calibri"/>
                <w:sz w:val="22"/>
                <w:szCs w:val="22"/>
              </w:rPr>
              <w:t>3.8 Increase racial/ethnic diversity within student support and counselling services.</w:t>
            </w:r>
          </w:p>
        </w:tc>
        <w:tc>
          <w:tcPr>
            <w:tcW w:w="4678" w:type="dxa"/>
            <w:vMerge/>
            <w:vAlign w:val="center"/>
            <w:hideMark/>
          </w:tcPr>
          <w:p w14:paraId="41EBE3CF" w14:textId="77777777" w:rsidR="0033549F" w:rsidRDefault="0033549F" w:rsidP="005A0887">
            <w:pPr>
              <w:rPr>
                <w:rFonts w:ascii="Calibri" w:hAnsi="Calibri" w:cs="Calibri"/>
                <w:sz w:val="22"/>
                <w:szCs w:val="22"/>
                <w:lang w:eastAsia="en-US"/>
              </w:rPr>
            </w:pPr>
          </w:p>
        </w:tc>
      </w:tr>
      <w:tr w:rsidR="0033549F" w14:paraId="766A2CE9" w14:textId="77777777" w:rsidTr="005A0887">
        <w:trPr>
          <w:trHeight w:val="300"/>
        </w:trPr>
        <w:tc>
          <w:tcPr>
            <w:tcW w:w="3539" w:type="dxa"/>
            <w:vMerge/>
            <w:vAlign w:val="center"/>
            <w:hideMark/>
          </w:tcPr>
          <w:p w14:paraId="41DC1B34"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0C6EC9" w14:textId="77777777" w:rsidR="0033549F" w:rsidRDefault="0033549F" w:rsidP="005A0887">
            <w:pPr>
              <w:rPr>
                <w:rFonts w:ascii="Calibri" w:hAnsi="Calibri" w:cs="Calibri"/>
                <w:sz w:val="22"/>
                <w:szCs w:val="22"/>
              </w:rPr>
            </w:pPr>
            <w:r>
              <w:rPr>
                <w:rFonts w:ascii="Calibri" w:hAnsi="Calibri" w:cs="Calibri"/>
                <w:sz w:val="22"/>
                <w:szCs w:val="22"/>
              </w:rPr>
              <w:t xml:space="preserve">3.9 Seek to diversify the membership of high-level decision-making bodies within the institution, such as Court, Senate, the Senior Leadership Team and Executive. </w:t>
            </w:r>
          </w:p>
        </w:tc>
        <w:tc>
          <w:tcPr>
            <w:tcW w:w="4678" w:type="dxa"/>
            <w:vMerge/>
            <w:vAlign w:val="center"/>
            <w:hideMark/>
          </w:tcPr>
          <w:p w14:paraId="5C02E724" w14:textId="77777777" w:rsidR="0033549F" w:rsidRDefault="0033549F" w:rsidP="005A0887">
            <w:pPr>
              <w:rPr>
                <w:rFonts w:ascii="Calibri" w:hAnsi="Calibri" w:cs="Calibri"/>
                <w:sz w:val="22"/>
                <w:szCs w:val="22"/>
                <w:lang w:eastAsia="en-US"/>
              </w:rPr>
            </w:pPr>
          </w:p>
        </w:tc>
      </w:tr>
      <w:tr w:rsidR="0033549F" w14:paraId="246C8F19" w14:textId="77777777" w:rsidTr="005A0887">
        <w:trPr>
          <w:trHeight w:val="300"/>
        </w:trPr>
        <w:tc>
          <w:tcPr>
            <w:tcW w:w="3539" w:type="dxa"/>
            <w:vMerge/>
            <w:vAlign w:val="center"/>
            <w:hideMark/>
          </w:tcPr>
          <w:p w14:paraId="6249E8DE"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8778129" w14:textId="77777777" w:rsidR="0033549F" w:rsidRDefault="0033549F" w:rsidP="005A0887">
            <w:pPr>
              <w:rPr>
                <w:rFonts w:ascii="Calibri" w:hAnsi="Calibri" w:cs="Calibri"/>
                <w:sz w:val="22"/>
                <w:szCs w:val="22"/>
              </w:rPr>
            </w:pPr>
            <w:r>
              <w:rPr>
                <w:rFonts w:ascii="Calibri" w:hAnsi="Calibri" w:cs="Calibri"/>
                <w:sz w:val="22"/>
                <w:szCs w:val="22"/>
              </w:rPr>
              <w:t>3.10 Support the un-adoption of the International Holocaust Remembrance Alliance definition of antisemitism which precludes free academic and public conversation about the University of Edinburgh’s legacy in Palestine.</w:t>
            </w:r>
          </w:p>
        </w:tc>
        <w:tc>
          <w:tcPr>
            <w:tcW w:w="4678" w:type="dxa"/>
            <w:vMerge/>
            <w:vAlign w:val="center"/>
            <w:hideMark/>
          </w:tcPr>
          <w:p w14:paraId="2BA2ED0B" w14:textId="77777777" w:rsidR="0033549F" w:rsidRDefault="0033549F" w:rsidP="005A0887">
            <w:pPr>
              <w:rPr>
                <w:rFonts w:ascii="Calibri" w:hAnsi="Calibri" w:cs="Calibri"/>
                <w:sz w:val="22"/>
                <w:szCs w:val="22"/>
                <w:lang w:eastAsia="en-US"/>
              </w:rPr>
            </w:pPr>
          </w:p>
        </w:tc>
      </w:tr>
      <w:tr w:rsidR="0033549F" w14:paraId="4690B14F" w14:textId="77777777" w:rsidTr="005A0887">
        <w:trPr>
          <w:trHeight w:val="300"/>
        </w:trPr>
        <w:tc>
          <w:tcPr>
            <w:tcW w:w="3539" w:type="dxa"/>
            <w:vMerge/>
            <w:vAlign w:val="center"/>
            <w:hideMark/>
          </w:tcPr>
          <w:p w14:paraId="73BA6C39"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1D6C51C" w14:textId="77777777" w:rsidR="0033549F" w:rsidRDefault="0033549F" w:rsidP="005A0887">
            <w:pPr>
              <w:rPr>
                <w:rFonts w:ascii="Calibri" w:hAnsi="Calibri" w:cs="Calibri"/>
                <w:sz w:val="22"/>
                <w:szCs w:val="22"/>
              </w:rPr>
            </w:pPr>
            <w:r>
              <w:rPr>
                <w:rFonts w:ascii="Calibri" w:hAnsi="Calibri" w:cs="Calibri"/>
                <w:sz w:val="22"/>
                <w:szCs w:val="22"/>
              </w:rPr>
              <w:t xml:space="preserve">3.11 Improve racial literacy by critically assessing the staff training courses on racism and anti-racist policies and develop a new course targeting students. </w:t>
            </w:r>
          </w:p>
        </w:tc>
        <w:tc>
          <w:tcPr>
            <w:tcW w:w="4678" w:type="dxa"/>
            <w:tcBorders>
              <w:top w:val="single" w:sz="4" w:space="0" w:color="auto"/>
              <w:left w:val="single" w:sz="4" w:space="0" w:color="auto"/>
              <w:bottom w:val="single" w:sz="4" w:space="0" w:color="auto"/>
              <w:right w:val="single" w:sz="4" w:space="0" w:color="auto"/>
            </w:tcBorders>
            <w:shd w:val="clear" w:color="auto" w:fill="auto"/>
            <w:hideMark/>
          </w:tcPr>
          <w:p w14:paraId="3754AD7F" w14:textId="77777777" w:rsidR="0033549F" w:rsidRDefault="0033549F" w:rsidP="005A0887">
            <w:pPr>
              <w:rPr>
                <w:rFonts w:ascii="Calibri" w:hAnsi="Calibri" w:cs="Calibri"/>
                <w:sz w:val="22"/>
                <w:szCs w:val="22"/>
              </w:rPr>
            </w:pPr>
            <w:r>
              <w:rPr>
                <w:rFonts w:ascii="Calibri" w:hAnsi="Calibri" w:cs="Calibri"/>
                <w:sz w:val="22"/>
                <w:szCs w:val="22"/>
              </w:rPr>
              <w:t xml:space="preserve">Principle 6: A commitment to transparency and accountability. </w:t>
            </w:r>
          </w:p>
        </w:tc>
      </w:tr>
      <w:tr w:rsidR="0033549F" w14:paraId="0F0CEFAC" w14:textId="77777777" w:rsidTr="005A0887">
        <w:trPr>
          <w:trHeight w:val="1074"/>
        </w:trPr>
        <w:tc>
          <w:tcPr>
            <w:tcW w:w="3539" w:type="dxa"/>
            <w:vMerge/>
            <w:vAlign w:val="center"/>
            <w:hideMark/>
          </w:tcPr>
          <w:p w14:paraId="37EF0B2D"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8C9144" w14:textId="77777777" w:rsidR="0033549F" w:rsidRDefault="0033549F" w:rsidP="005A0887">
            <w:pPr>
              <w:rPr>
                <w:rFonts w:ascii="Calibri" w:hAnsi="Calibri" w:cs="Calibri"/>
                <w:sz w:val="22"/>
                <w:szCs w:val="22"/>
              </w:rPr>
            </w:pPr>
            <w:r>
              <w:rPr>
                <w:rFonts w:ascii="Calibri" w:hAnsi="Calibri" w:cs="Calibri"/>
                <w:sz w:val="22"/>
                <w:szCs w:val="22"/>
              </w:rPr>
              <w:t>3.12 Work with the Senior Leadership Team on communicating anti-racism messages for incoming and existing students to make clear its importance to the University of Edinburgh.</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73ADC853" w14:textId="77777777" w:rsidR="0033549F" w:rsidRDefault="0033549F" w:rsidP="005A0887">
            <w:pPr>
              <w:rPr>
                <w:rFonts w:ascii="Calibri" w:hAnsi="Calibri" w:cs="Calibri"/>
                <w:sz w:val="22"/>
                <w:szCs w:val="22"/>
              </w:rPr>
            </w:pPr>
            <w:r>
              <w:rPr>
                <w:rFonts w:ascii="Calibri" w:hAnsi="Calibri" w:cs="Calibri"/>
                <w:sz w:val="22"/>
                <w:szCs w:val="22"/>
              </w:rPr>
              <w:t>Principle 12: A commitment to equality, diversity and anti-racism.</w:t>
            </w:r>
          </w:p>
          <w:p w14:paraId="6CEB0432" w14:textId="77777777" w:rsidR="0033549F" w:rsidRDefault="0033549F" w:rsidP="005A0887">
            <w:pPr>
              <w:rPr>
                <w:rFonts w:ascii="Calibri" w:hAnsi="Calibri" w:cs="Calibri"/>
                <w:sz w:val="22"/>
                <w:szCs w:val="22"/>
              </w:rPr>
            </w:pPr>
          </w:p>
        </w:tc>
      </w:tr>
      <w:tr w:rsidR="0033549F" w14:paraId="536ECD72" w14:textId="77777777" w:rsidTr="005A0887">
        <w:trPr>
          <w:trHeight w:val="300"/>
        </w:trPr>
        <w:tc>
          <w:tcPr>
            <w:tcW w:w="3539"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E53568C" w14:textId="77777777" w:rsidR="0033549F" w:rsidRDefault="0033549F" w:rsidP="005A0887">
            <w:pPr>
              <w:rPr>
                <w:rFonts w:ascii="Calibri" w:hAnsi="Calibri" w:cs="Calibri"/>
                <w:sz w:val="22"/>
                <w:szCs w:val="22"/>
              </w:rPr>
            </w:pPr>
            <w:r>
              <w:rPr>
                <w:rFonts w:ascii="Calibri" w:hAnsi="Calibri" w:cs="Calibri"/>
                <w:sz w:val="22"/>
                <w:szCs w:val="22"/>
              </w:rPr>
              <w:t>4. To make the study of colonialism, enslavement and their racial legacies, as well as anti-colonial resistance, decolonisation and reparations, central to the educative mission of the University of Edinburgh.</w:t>
            </w: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E2C3A7C" w14:textId="77777777" w:rsidR="0033549F" w:rsidRDefault="0033549F" w:rsidP="005A0887">
            <w:pPr>
              <w:rPr>
                <w:rFonts w:ascii="Calibri" w:hAnsi="Calibri" w:cs="Calibri"/>
                <w:sz w:val="22"/>
                <w:szCs w:val="22"/>
              </w:rPr>
            </w:pPr>
            <w:r>
              <w:rPr>
                <w:rFonts w:ascii="Calibri" w:hAnsi="Calibri" w:cs="Calibri"/>
                <w:sz w:val="22"/>
                <w:szCs w:val="22"/>
              </w:rPr>
              <w:t xml:space="preserve">4.1 Use the findings from the work of the REWG to create both a physical and online digital exhibition and educational resource (open access). This will be used to support new undergraduate courses that could be offered across disciplines (see also 4.4).  </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61CC8A2D" w14:textId="77777777" w:rsidR="0033549F" w:rsidRDefault="0033549F" w:rsidP="005A0887">
            <w:pPr>
              <w:rPr>
                <w:rFonts w:ascii="Calibri" w:hAnsi="Calibri" w:cs="Calibri"/>
                <w:sz w:val="22"/>
                <w:szCs w:val="22"/>
              </w:rPr>
            </w:pPr>
            <w:r>
              <w:rPr>
                <w:rFonts w:ascii="Calibri" w:hAnsi="Calibri" w:cs="Calibri"/>
                <w:sz w:val="22"/>
                <w:szCs w:val="22"/>
              </w:rPr>
              <w:t>Principle 3: A commitment to cognitive justice and equity in collaboration.</w:t>
            </w:r>
          </w:p>
          <w:p w14:paraId="7EDDC619" w14:textId="77777777" w:rsidR="0033549F" w:rsidRDefault="0033549F" w:rsidP="005A0887">
            <w:pPr>
              <w:rPr>
                <w:rFonts w:ascii="Calibri" w:hAnsi="Calibri" w:cs="Calibri"/>
                <w:sz w:val="22"/>
                <w:szCs w:val="22"/>
              </w:rPr>
            </w:pPr>
          </w:p>
          <w:p w14:paraId="1D05A08D" w14:textId="77777777" w:rsidR="0033549F" w:rsidRDefault="0033549F" w:rsidP="005A0887">
            <w:pPr>
              <w:rPr>
                <w:rFonts w:ascii="Calibri" w:hAnsi="Calibri" w:cs="Calibri"/>
                <w:sz w:val="22"/>
                <w:szCs w:val="22"/>
              </w:rPr>
            </w:pPr>
            <w:r>
              <w:rPr>
                <w:rFonts w:ascii="Calibri" w:hAnsi="Calibri" w:cs="Calibri"/>
                <w:sz w:val="22"/>
                <w:szCs w:val="22"/>
              </w:rPr>
              <w:t xml:space="preserve">Principle 7: A commitment to the co-production of knowledge. </w:t>
            </w:r>
          </w:p>
          <w:p w14:paraId="7BECF140" w14:textId="77777777" w:rsidR="0033549F" w:rsidRDefault="0033549F" w:rsidP="005A0887">
            <w:pPr>
              <w:rPr>
                <w:rFonts w:ascii="Calibri" w:hAnsi="Calibri" w:cs="Calibri"/>
                <w:sz w:val="22"/>
                <w:szCs w:val="22"/>
              </w:rPr>
            </w:pPr>
          </w:p>
          <w:p w14:paraId="4BF00EA6" w14:textId="77777777" w:rsidR="0033549F" w:rsidRDefault="0033549F" w:rsidP="005A0887">
            <w:pPr>
              <w:rPr>
                <w:rFonts w:ascii="Calibri" w:hAnsi="Calibri" w:cs="Calibri"/>
                <w:sz w:val="22"/>
                <w:szCs w:val="22"/>
              </w:rPr>
            </w:pPr>
            <w:r>
              <w:rPr>
                <w:rFonts w:ascii="Calibri" w:hAnsi="Calibri" w:cs="Calibri"/>
                <w:sz w:val="22"/>
                <w:szCs w:val="22"/>
              </w:rPr>
              <w:t>Principle 9: A commitment to data co-ownership.</w:t>
            </w:r>
          </w:p>
        </w:tc>
      </w:tr>
      <w:tr w:rsidR="0033549F" w14:paraId="740CD69E" w14:textId="77777777" w:rsidTr="005A0887">
        <w:trPr>
          <w:trHeight w:val="300"/>
        </w:trPr>
        <w:tc>
          <w:tcPr>
            <w:tcW w:w="3539" w:type="dxa"/>
            <w:vMerge/>
            <w:vAlign w:val="center"/>
            <w:hideMark/>
          </w:tcPr>
          <w:p w14:paraId="5CCC71C4"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A3566DD" w14:textId="77777777" w:rsidR="0033549F" w:rsidRDefault="0033549F" w:rsidP="005A0887">
            <w:pPr>
              <w:rPr>
                <w:rFonts w:ascii="Calibri" w:hAnsi="Calibri" w:cs="Calibri"/>
                <w:sz w:val="22"/>
                <w:szCs w:val="22"/>
              </w:rPr>
            </w:pPr>
            <w:r>
              <w:rPr>
                <w:rFonts w:ascii="Calibri" w:hAnsi="Calibri" w:cs="Calibri"/>
                <w:sz w:val="22"/>
                <w:szCs w:val="22"/>
              </w:rPr>
              <w:t>4.2 Appoint a Community Archivist/Curator with expertise in digital archiving to help build the digital exhibition in collaboration with invested communities and improve access by</w:t>
            </w:r>
            <w:r>
              <w:rPr>
                <w:rFonts w:ascii="Calibri" w:hAnsi="Calibri" w:cs="Calibri"/>
                <w:color w:val="000000"/>
                <w:kern w:val="0"/>
                <w:sz w:val="22"/>
                <w:szCs w:val="22"/>
              </w:rPr>
              <w:t xml:space="preserve"> acting as a bridge for those who are less confident in approaching or using institutional archives.</w:t>
            </w:r>
          </w:p>
        </w:tc>
        <w:tc>
          <w:tcPr>
            <w:tcW w:w="4678" w:type="dxa"/>
            <w:vMerge/>
            <w:vAlign w:val="center"/>
            <w:hideMark/>
          </w:tcPr>
          <w:p w14:paraId="5DB7ED06" w14:textId="77777777" w:rsidR="0033549F" w:rsidRDefault="0033549F" w:rsidP="005A0887">
            <w:pPr>
              <w:rPr>
                <w:rFonts w:ascii="Calibri" w:hAnsi="Calibri" w:cs="Calibri"/>
                <w:sz w:val="22"/>
                <w:szCs w:val="22"/>
                <w:lang w:eastAsia="en-US"/>
              </w:rPr>
            </w:pPr>
          </w:p>
        </w:tc>
      </w:tr>
      <w:tr w:rsidR="0033549F" w14:paraId="2DB466C1" w14:textId="77777777" w:rsidTr="005A0887">
        <w:trPr>
          <w:trHeight w:val="300"/>
        </w:trPr>
        <w:tc>
          <w:tcPr>
            <w:tcW w:w="3539" w:type="dxa"/>
            <w:vMerge/>
            <w:vAlign w:val="center"/>
            <w:hideMark/>
          </w:tcPr>
          <w:p w14:paraId="2B926AA1"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B116673" w14:textId="77777777" w:rsidR="0033549F" w:rsidRDefault="0033549F" w:rsidP="005A0887">
            <w:pPr>
              <w:rPr>
                <w:rFonts w:ascii="Calibri" w:hAnsi="Calibri" w:cs="Calibri"/>
                <w:sz w:val="22"/>
                <w:szCs w:val="22"/>
              </w:rPr>
            </w:pPr>
            <w:r>
              <w:rPr>
                <w:rFonts w:ascii="Calibri" w:hAnsi="Calibri" w:cs="Calibri"/>
                <w:sz w:val="22"/>
                <w:szCs w:val="22"/>
              </w:rPr>
              <w:t xml:space="preserve">4.3. Hire a Communications Officer to work on internal and external comms around public-facing educational initiatives. </w:t>
            </w:r>
          </w:p>
        </w:tc>
        <w:tc>
          <w:tcPr>
            <w:tcW w:w="4678"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59419F3" w14:textId="77777777" w:rsidR="0033549F" w:rsidRDefault="0033549F" w:rsidP="005A0887">
            <w:pPr>
              <w:rPr>
                <w:rFonts w:ascii="Calibri" w:hAnsi="Calibri" w:cs="Calibri"/>
                <w:sz w:val="22"/>
                <w:szCs w:val="22"/>
              </w:rPr>
            </w:pPr>
            <w:r>
              <w:rPr>
                <w:rFonts w:ascii="Calibri" w:hAnsi="Calibri" w:cs="Calibri"/>
                <w:sz w:val="22"/>
                <w:szCs w:val="22"/>
              </w:rPr>
              <w:t xml:space="preserve">Principle 11: A commitment to accessible communication. </w:t>
            </w:r>
          </w:p>
        </w:tc>
      </w:tr>
      <w:tr w:rsidR="0033549F" w14:paraId="60984276" w14:textId="77777777" w:rsidTr="005A0887">
        <w:trPr>
          <w:trHeight w:val="300"/>
        </w:trPr>
        <w:tc>
          <w:tcPr>
            <w:tcW w:w="3539" w:type="dxa"/>
            <w:vMerge/>
            <w:vAlign w:val="center"/>
            <w:hideMark/>
          </w:tcPr>
          <w:p w14:paraId="7CD6CE08"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7AAF387" w14:textId="77777777" w:rsidR="0033549F" w:rsidRDefault="0033549F" w:rsidP="005A0887">
            <w:pPr>
              <w:rPr>
                <w:rFonts w:ascii="Calibri" w:hAnsi="Calibri" w:cs="Calibri"/>
                <w:sz w:val="22"/>
                <w:szCs w:val="22"/>
              </w:rPr>
            </w:pPr>
            <w:r>
              <w:rPr>
                <w:rFonts w:ascii="Calibri" w:hAnsi="Calibri" w:cs="Calibri"/>
                <w:sz w:val="22"/>
                <w:szCs w:val="22"/>
              </w:rPr>
              <w:t xml:space="preserve">4.4 </w:t>
            </w:r>
            <w:r w:rsidRPr="00F956DD">
              <w:rPr>
                <w:rFonts w:ascii="Calibri" w:hAnsi="Calibri" w:cs="Calibri"/>
                <w:color w:val="000000"/>
                <w:kern w:val="0"/>
                <w:sz w:val="22"/>
                <w:szCs w:val="22"/>
              </w:rPr>
              <w:t>Use findings from the REWG’s work, archival resources from the C</w:t>
            </w:r>
            <w:r>
              <w:rPr>
                <w:rFonts w:ascii="Calibri" w:hAnsi="Calibri" w:cs="Calibri"/>
                <w:color w:val="000000"/>
                <w:kern w:val="0"/>
                <w:sz w:val="22"/>
                <w:szCs w:val="22"/>
              </w:rPr>
              <w:t xml:space="preserve">entre for </w:t>
            </w:r>
            <w:r w:rsidRPr="00F956DD">
              <w:rPr>
                <w:rFonts w:ascii="Calibri" w:hAnsi="Calibri" w:cs="Calibri"/>
                <w:color w:val="000000"/>
                <w:kern w:val="0"/>
                <w:sz w:val="22"/>
                <w:szCs w:val="22"/>
              </w:rPr>
              <w:t>R</w:t>
            </w:r>
            <w:r>
              <w:rPr>
                <w:rFonts w:ascii="Calibri" w:hAnsi="Calibri" w:cs="Calibri"/>
                <w:color w:val="000000"/>
                <w:kern w:val="0"/>
                <w:sz w:val="22"/>
                <w:szCs w:val="22"/>
              </w:rPr>
              <w:t xml:space="preserve">esearch </w:t>
            </w:r>
            <w:r w:rsidRPr="00F956DD">
              <w:rPr>
                <w:rFonts w:ascii="Calibri" w:hAnsi="Calibri" w:cs="Calibri"/>
                <w:color w:val="000000"/>
                <w:kern w:val="0"/>
                <w:sz w:val="22"/>
                <w:szCs w:val="22"/>
              </w:rPr>
              <w:t>C</w:t>
            </w:r>
            <w:r>
              <w:rPr>
                <w:rFonts w:ascii="Calibri" w:hAnsi="Calibri" w:cs="Calibri"/>
                <w:color w:val="000000"/>
                <w:kern w:val="0"/>
                <w:sz w:val="22"/>
                <w:szCs w:val="22"/>
              </w:rPr>
              <w:t>ollections</w:t>
            </w:r>
            <w:r w:rsidRPr="00F956DD">
              <w:rPr>
                <w:rFonts w:ascii="Calibri" w:hAnsi="Calibri" w:cs="Calibri"/>
                <w:color w:val="000000"/>
                <w:kern w:val="0"/>
                <w:sz w:val="22"/>
                <w:szCs w:val="22"/>
              </w:rPr>
              <w:t xml:space="preserve"> and the work of UncoverED to develop and contribute to existing courses, including within the Curriculum Transformation Programme. Topics could include</w:t>
            </w:r>
            <w:r w:rsidRPr="00604E7C">
              <w:rPr>
                <w:rFonts w:ascii="Calibri" w:hAnsi="Calibri" w:cs="Calibri"/>
                <w:sz w:val="22"/>
                <w:szCs w:val="22"/>
              </w:rPr>
              <w:t>:</w:t>
            </w:r>
          </w:p>
          <w:p w14:paraId="544D6E2A" w14:textId="77777777" w:rsidR="0033549F" w:rsidRPr="00FD3459" w:rsidRDefault="0033549F" w:rsidP="0033549F">
            <w:pPr>
              <w:pStyle w:val="ListParagraph"/>
              <w:numPr>
                <w:ilvl w:val="0"/>
                <w:numId w:val="32"/>
              </w:numPr>
              <w:rPr>
                <w:rFonts w:cstheme="minorHAnsi"/>
                <w:sz w:val="22"/>
                <w:szCs w:val="22"/>
              </w:rPr>
            </w:pPr>
            <w:r w:rsidRPr="00FD3459">
              <w:rPr>
                <w:rFonts w:cstheme="minorHAnsi"/>
                <w:sz w:val="22"/>
                <w:szCs w:val="22"/>
              </w:rPr>
              <w:t>Histories of enslavement</w:t>
            </w:r>
            <w:r>
              <w:rPr>
                <w:rFonts w:cstheme="minorHAnsi"/>
                <w:sz w:val="22"/>
                <w:szCs w:val="22"/>
              </w:rPr>
              <w:t>,</w:t>
            </w:r>
            <w:r w:rsidRPr="00FD3459">
              <w:rPr>
                <w:rFonts w:cstheme="minorHAnsi"/>
                <w:sz w:val="22"/>
                <w:szCs w:val="22"/>
              </w:rPr>
              <w:t xml:space="preserve"> colonialism</w:t>
            </w:r>
            <w:r>
              <w:rPr>
                <w:rFonts w:cstheme="minorHAnsi"/>
                <w:sz w:val="22"/>
                <w:szCs w:val="22"/>
              </w:rPr>
              <w:t xml:space="preserve"> and the development of racial thought</w:t>
            </w:r>
            <w:r w:rsidRPr="00FD3459">
              <w:rPr>
                <w:rFonts w:cstheme="minorHAnsi"/>
                <w:sz w:val="22"/>
                <w:szCs w:val="22"/>
              </w:rPr>
              <w:t xml:space="preserve"> from across the former British empire in Asia, Africa, Australasia, the Americas and the Middle East </w:t>
            </w:r>
            <w:r>
              <w:rPr>
                <w:rFonts w:cstheme="minorHAnsi"/>
                <w:sz w:val="22"/>
                <w:szCs w:val="22"/>
              </w:rPr>
              <w:t>with a</w:t>
            </w:r>
            <w:r w:rsidRPr="00FD3459">
              <w:rPr>
                <w:rFonts w:cstheme="minorHAnsi"/>
                <w:sz w:val="22"/>
                <w:szCs w:val="22"/>
              </w:rPr>
              <w:t xml:space="preserve"> focus on </w:t>
            </w:r>
            <w:r>
              <w:rPr>
                <w:rFonts w:cstheme="minorHAnsi"/>
                <w:sz w:val="22"/>
                <w:szCs w:val="22"/>
              </w:rPr>
              <w:t>the</w:t>
            </w:r>
            <w:r w:rsidRPr="00FD3459">
              <w:rPr>
                <w:rFonts w:cstheme="minorHAnsi"/>
                <w:sz w:val="22"/>
                <w:szCs w:val="22"/>
              </w:rPr>
              <w:t xml:space="preserve"> </w:t>
            </w:r>
            <w:r>
              <w:rPr>
                <w:rFonts w:cstheme="minorHAnsi"/>
                <w:color w:val="000000"/>
                <w:kern w:val="0"/>
                <w:sz w:val="22"/>
                <w:szCs w:val="22"/>
              </w:rPr>
              <w:t>University of Edinburgh</w:t>
            </w:r>
            <w:r w:rsidRPr="00FD3459">
              <w:rPr>
                <w:rFonts w:cstheme="minorHAnsi"/>
                <w:color w:val="000000"/>
                <w:kern w:val="0"/>
                <w:sz w:val="22"/>
                <w:szCs w:val="22"/>
              </w:rPr>
              <w:t>’s legacies</w:t>
            </w:r>
            <w:r w:rsidRPr="00FD3459">
              <w:rPr>
                <w:rFonts w:cstheme="minorHAnsi"/>
                <w:sz w:val="22"/>
                <w:szCs w:val="22"/>
              </w:rPr>
              <w:t>.</w:t>
            </w:r>
          </w:p>
          <w:p w14:paraId="39881F38" w14:textId="77777777" w:rsidR="0033549F" w:rsidRDefault="0033549F" w:rsidP="0033549F">
            <w:pPr>
              <w:pStyle w:val="ListParagraph"/>
              <w:numPr>
                <w:ilvl w:val="0"/>
                <w:numId w:val="32"/>
              </w:numPr>
              <w:rPr>
                <w:rFonts w:ascii="Calibri" w:hAnsi="Calibri" w:cs="Calibri"/>
                <w:sz w:val="22"/>
                <w:szCs w:val="22"/>
              </w:rPr>
            </w:pPr>
            <w:r>
              <w:rPr>
                <w:rFonts w:ascii="Calibri" w:hAnsi="Calibri" w:cs="Calibri"/>
                <w:sz w:val="22"/>
                <w:szCs w:val="22"/>
              </w:rPr>
              <w:lastRenderedPageBreak/>
              <w:t>Histories relating to the contributions of specific communities in collaboration with those communities (e.g. the Sikh community in Edinburgh).</w:t>
            </w:r>
          </w:p>
          <w:p w14:paraId="362278A4" w14:textId="77777777" w:rsidR="0033549F" w:rsidRDefault="0033549F" w:rsidP="0033549F">
            <w:pPr>
              <w:pStyle w:val="ListParagraph"/>
              <w:numPr>
                <w:ilvl w:val="0"/>
                <w:numId w:val="32"/>
              </w:numPr>
              <w:rPr>
                <w:rFonts w:ascii="Calibri" w:hAnsi="Calibri" w:cs="Calibri"/>
                <w:sz w:val="22"/>
                <w:szCs w:val="22"/>
              </w:rPr>
            </w:pPr>
            <w:r>
              <w:rPr>
                <w:rFonts w:ascii="Calibri" w:hAnsi="Calibri" w:cs="Calibri"/>
                <w:sz w:val="22"/>
                <w:szCs w:val="22"/>
              </w:rPr>
              <w:t>Social movements and theories of reparations and reparatory justice in link with communities of reparatory justice interest.</w:t>
            </w:r>
          </w:p>
          <w:p w14:paraId="637B087D" w14:textId="77777777" w:rsidR="0033549F" w:rsidRDefault="0033549F" w:rsidP="0033549F">
            <w:pPr>
              <w:pStyle w:val="ListParagraph"/>
              <w:numPr>
                <w:ilvl w:val="0"/>
                <w:numId w:val="32"/>
              </w:numPr>
              <w:rPr>
                <w:rFonts w:ascii="Calibri" w:hAnsi="Calibri" w:cs="Calibri"/>
                <w:sz w:val="22"/>
                <w:szCs w:val="22"/>
              </w:rPr>
            </w:pPr>
            <w:r>
              <w:rPr>
                <w:rFonts w:ascii="Calibri" w:eastAsia="Aptos" w:hAnsi="Calibri" w:cs="Calibri"/>
                <w:color w:val="212121"/>
                <w:sz w:val="22"/>
                <w:szCs w:val="22"/>
              </w:rPr>
              <w:t>Black, Asian, Indigenous and other minoritised histories, philosophies and liberation movements</w:t>
            </w:r>
            <w:r>
              <w:rPr>
                <w:rFonts w:ascii="Calibri" w:hAnsi="Calibri" w:cs="Calibri"/>
                <w:sz w:val="22"/>
                <w:szCs w:val="22"/>
              </w:rPr>
              <w:t>.</w:t>
            </w:r>
          </w:p>
          <w:p w14:paraId="0201863F" w14:textId="77777777" w:rsidR="0033549F" w:rsidRDefault="0033549F" w:rsidP="005A0887">
            <w:pPr>
              <w:rPr>
                <w:rFonts w:ascii="Calibri" w:hAnsi="Calibri" w:cs="Calibri"/>
                <w:sz w:val="22"/>
                <w:szCs w:val="22"/>
              </w:rPr>
            </w:pPr>
            <w:r>
              <w:rPr>
                <w:rFonts w:ascii="Calibri" w:hAnsi="Calibri" w:cs="Calibri"/>
                <w:sz w:val="22"/>
                <w:szCs w:val="22"/>
              </w:rPr>
              <w:t xml:space="preserve">Ensure that this work is done in collaboration with relevant student organisations and communities to embed the histories and cultures of ethnically/racially minoritised communities in teaching programmes and engage with non-Western pedagogies and practices.  </w:t>
            </w:r>
          </w:p>
        </w:tc>
        <w:tc>
          <w:tcPr>
            <w:tcW w:w="4678"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0F87C268" w14:textId="77777777" w:rsidR="0033549F" w:rsidRDefault="0033549F" w:rsidP="005A0887">
            <w:pPr>
              <w:rPr>
                <w:rFonts w:ascii="Calibri" w:hAnsi="Calibri" w:cs="Calibri"/>
                <w:sz w:val="22"/>
                <w:szCs w:val="22"/>
              </w:rPr>
            </w:pPr>
            <w:r>
              <w:rPr>
                <w:rFonts w:ascii="Calibri" w:hAnsi="Calibri" w:cs="Calibri"/>
                <w:sz w:val="22"/>
                <w:szCs w:val="22"/>
              </w:rPr>
              <w:lastRenderedPageBreak/>
              <w:t>Principle 7: A commitment to the co-production of knowledge.</w:t>
            </w:r>
          </w:p>
          <w:p w14:paraId="6639C701" w14:textId="77777777" w:rsidR="0033549F" w:rsidRDefault="0033549F" w:rsidP="005A0887">
            <w:pPr>
              <w:rPr>
                <w:rFonts w:ascii="Calibri" w:hAnsi="Calibri" w:cs="Calibri"/>
                <w:sz w:val="22"/>
                <w:szCs w:val="22"/>
              </w:rPr>
            </w:pPr>
          </w:p>
          <w:p w14:paraId="51945D2F" w14:textId="77777777" w:rsidR="0033549F" w:rsidRDefault="0033549F" w:rsidP="005A0887">
            <w:pPr>
              <w:rPr>
                <w:rFonts w:ascii="Calibri" w:hAnsi="Calibri" w:cs="Calibri"/>
                <w:sz w:val="22"/>
                <w:szCs w:val="22"/>
              </w:rPr>
            </w:pPr>
            <w:r>
              <w:rPr>
                <w:rFonts w:ascii="Calibri" w:hAnsi="Calibri" w:cs="Calibri"/>
                <w:sz w:val="22"/>
                <w:szCs w:val="22"/>
              </w:rPr>
              <w:t xml:space="preserve">Principle 5: A commitment to knowledge exchange and reciprocal learning. </w:t>
            </w:r>
          </w:p>
          <w:p w14:paraId="43C7BC86" w14:textId="77777777" w:rsidR="0033549F" w:rsidRDefault="0033549F" w:rsidP="005A0887">
            <w:pPr>
              <w:rPr>
                <w:rFonts w:ascii="Calibri" w:hAnsi="Calibri" w:cs="Calibri"/>
                <w:sz w:val="22"/>
                <w:szCs w:val="22"/>
              </w:rPr>
            </w:pPr>
          </w:p>
        </w:tc>
      </w:tr>
      <w:tr w:rsidR="0033549F" w14:paraId="3018F2A8" w14:textId="77777777" w:rsidTr="005A0887">
        <w:trPr>
          <w:trHeight w:val="300"/>
        </w:trPr>
        <w:tc>
          <w:tcPr>
            <w:tcW w:w="3539" w:type="dxa"/>
            <w:vMerge/>
            <w:vAlign w:val="center"/>
            <w:hideMark/>
          </w:tcPr>
          <w:p w14:paraId="4C3A8447"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BF188B5" w14:textId="77777777" w:rsidR="0033549F" w:rsidRDefault="0033549F" w:rsidP="005A0887">
            <w:pPr>
              <w:rPr>
                <w:rFonts w:ascii="Calibri" w:hAnsi="Calibri" w:cs="Calibri"/>
                <w:sz w:val="22"/>
                <w:szCs w:val="22"/>
              </w:rPr>
            </w:pPr>
            <w:r>
              <w:rPr>
                <w:rFonts w:ascii="Calibri" w:hAnsi="Calibri" w:cs="Calibri"/>
                <w:sz w:val="22"/>
                <w:szCs w:val="22"/>
              </w:rPr>
              <w:t>4.5 Establish an annual summer school programme with African, Asian and/or other Indigenous communities and centres of learning to develop decolonised pedagogies and practices.</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7C167DB0" w14:textId="77777777" w:rsidR="0033549F" w:rsidRDefault="0033549F" w:rsidP="005A0887">
            <w:pPr>
              <w:rPr>
                <w:rFonts w:ascii="Calibri" w:hAnsi="Calibri" w:cs="Calibri"/>
                <w:sz w:val="22"/>
                <w:szCs w:val="22"/>
              </w:rPr>
            </w:pPr>
            <w:r>
              <w:rPr>
                <w:rFonts w:ascii="Calibri" w:hAnsi="Calibri" w:cs="Calibri"/>
                <w:sz w:val="22"/>
                <w:szCs w:val="22"/>
              </w:rPr>
              <w:t xml:space="preserve">Principle 1: A commitment to recognising historical and contemporary struggles for social and reparatory justice. </w:t>
            </w:r>
          </w:p>
          <w:p w14:paraId="05E0C58C" w14:textId="77777777" w:rsidR="0033549F" w:rsidRDefault="0033549F" w:rsidP="005A0887">
            <w:pPr>
              <w:rPr>
                <w:rFonts w:ascii="Calibri" w:hAnsi="Calibri" w:cs="Calibri"/>
                <w:sz w:val="22"/>
                <w:szCs w:val="22"/>
              </w:rPr>
            </w:pPr>
          </w:p>
          <w:p w14:paraId="1B074209" w14:textId="77777777" w:rsidR="0033549F" w:rsidRDefault="0033549F" w:rsidP="005A0887">
            <w:pPr>
              <w:rPr>
                <w:rFonts w:ascii="Calibri" w:hAnsi="Calibri" w:cs="Calibri"/>
                <w:sz w:val="22"/>
                <w:szCs w:val="22"/>
              </w:rPr>
            </w:pPr>
            <w:r>
              <w:rPr>
                <w:rFonts w:ascii="Calibri" w:hAnsi="Calibri" w:cs="Calibri"/>
                <w:sz w:val="22"/>
                <w:szCs w:val="22"/>
              </w:rPr>
              <w:t>Principle 3: A commitment to cognitive justice and equity in collaboration.</w:t>
            </w:r>
          </w:p>
          <w:p w14:paraId="007D1343" w14:textId="77777777" w:rsidR="0033549F" w:rsidRDefault="0033549F" w:rsidP="005A0887">
            <w:pPr>
              <w:rPr>
                <w:rFonts w:ascii="Calibri" w:hAnsi="Calibri" w:cs="Calibri"/>
                <w:sz w:val="22"/>
                <w:szCs w:val="22"/>
              </w:rPr>
            </w:pPr>
          </w:p>
          <w:p w14:paraId="5958A976" w14:textId="77777777" w:rsidR="0033549F" w:rsidRDefault="0033549F" w:rsidP="005A0887">
            <w:pPr>
              <w:rPr>
                <w:rFonts w:ascii="Calibri" w:hAnsi="Calibri" w:cs="Calibri"/>
                <w:sz w:val="22"/>
                <w:szCs w:val="22"/>
              </w:rPr>
            </w:pPr>
            <w:r>
              <w:rPr>
                <w:rFonts w:ascii="Calibri" w:hAnsi="Calibri" w:cs="Calibri"/>
                <w:sz w:val="22"/>
                <w:szCs w:val="22"/>
              </w:rPr>
              <w:t xml:space="preserve">Principle 2: A commitment to strengthening partnerships and restoring agency through participation. </w:t>
            </w:r>
          </w:p>
          <w:p w14:paraId="3969EF95" w14:textId="77777777" w:rsidR="0033549F" w:rsidRDefault="0033549F" w:rsidP="005A0887">
            <w:pPr>
              <w:rPr>
                <w:rFonts w:ascii="Calibri" w:hAnsi="Calibri" w:cs="Calibri"/>
                <w:sz w:val="22"/>
                <w:szCs w:val="22"/>
              </w:rPr>
            </w:pPr>
          </w:p>
        </w:tc>
      </w:tr>
      <w:tr w:rsidR="0033549F" w14:paraId="5D2131B0" w14:textId="77777777" w:rsidTr="005A0887">
        <w:trPr>
          <w:trHeight w:val="300"/>
        </w:trPr>
        <w:tc>
          <w:tcPr>
            <w:tcW w:w="3539" w:type="dxa"/>
            <w:vMerge/>
            <w:vAlign w:val="center"/>
            <w:hideMark/>
          </w:tcPr>
          <w:p w14:paraId="4821F477"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9AC667A" w14:textId="77777777" w:rsidR="0033549F" w:rsidRDefault="0033549F" w:rsidP="005A0887">
            <w:pPr>
              <w:rPr>
                <w:rFonts w:ascii="Calibri" w:hAnsi="Calibri" w:cs="Calibri"/>
                <w:sz w:val="22"/>
                <w:szCs w:val="22"/>
              </w:rPr>
            </w:pPr>
            <w:r>
              <w:rPr>
                <w:rFonts w:ascii="Calibri" w:hAnsi="Calibri" w:cs="Calibri"/>
                <w:sz w:val="22"/>
                <w:szCs w:val="22"/>
              </w:rPr>
              <w:t>4.6 Invest resource into student-led organisations that are working on decolonisation and anti-racism projects via a Student Action Fund.</w:t>
            </w:r>
          </w:p>
        </w:tc>
        <w:tc>
          <w:tcPr>
            <w:tcW w:w="4678" w:type="dxa"/>
            <w:vMerge/>
            <w:vAlign w:val="center"/>
            <w:hideMark/>
          </w:tcPr>
          <w:p w14:paraId="45E429B7" w14:textId="77777777" w:rsidR="0033549F" w:rsidRDefault="0033549F" w:rsidP="005A0887">
            <w:pPr>
              <w:rPr>
                <w:rFonts w:ascii="Calibri" w:hAnsi="Calibri" w:cs="Calibri"/>
                <w:sz w:val="22"/>
                <w:szCs w:val="22"/>
                <w:lang w:eastAsia="en-US"/>
              </w:rPr>
            </w:pPr>
          </w:p>
        </w:tc>
      </w:tr>
      <w:tr w:rsidR="0033549F" w14:paraId="777E2D14" w14:textId="77777777" w:rsidTr="005A0887">
        <w:trPr>
          <w:trHeight w:val="300"/>
        </w:trPr>
        <w:tc>
          <w:tcPr>
            <w:tcW w:w="3539" w:type="dxa"/>
            <w:vMerge/>
            <w:vAlign w:val="center"/>
            <w:hideMark/>
          </w:tcPr>
          <w:p w14:paraId="5D7C0F77"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B6A42F6" w14:textId="77777777" w:rsidR="0033549F" w:rsidRDefault="0033549F" w:rsidP="005A0887">
            <w:pPr>
              <w:rPr>
                <w:rFonts w:ascii="Calibri" w:hAnsi="Calibri" w:cs="Calibri"/>
                <w:sz w:val="22"/>
                <w:szCs w:val="22"/>
              </w:rPr>
            </w:pPr>
            <w:r>
              <w:rPr>
                <w:rFonts w:ascii="Calibri" w:hAnsi="Calibri" w:cs="Calibri"/>
                <w:sz w:val="22"/>
                <w:szCs w:val="22"/>
              </w:rPr>
              <w:t xml:space="preserve">4.7 Encourage more engagement and collaboration between academics and students to support decolonisation and anti-racism efforts. </w:t>
            </w:r>
          </w:p>
        </w:tc>
        <w:tc>
          <w:tcPr>
            <w:tcW w:w="4678" w:type="dxa"/>
            <w:vMerge/>
            <w:vAlign w:val="center"/>
            <w:hideMark/>
          </w:tcPr>
          <w:p w14:paraId="3697C570" w14:textId="77777777" w:rsidR="0033549F" w:rsidRDefault="0033549F" w:rsidP="005A0887">
            <w:pPr>
              <w:rPr>
                <w:rFonts w:ascii="Calibri" w:hAnsi="Calibri" w:cs="Calibri"/>
                <w:sz w:val="22"/>
                <w:szCs w:val="22"/>
                <w:lang w:eastAsia="en-US"/>
              </w:rPr>
            </w:pPr>
          </w:p>
        </w:tc>
      </w:tr>
      <w:tr w:rsidR="0033549F" w14:paraId="26E931EB" w14:textId="77777777" w:rsidTr="005A0887">
        <w:trPr>
          <w:trHeight w:val="300"/>
        </w:trPr>
        <w:tc>
          <w:tcPr>
            <w:tcW w:w="3539" w:type="dxa"/>
            <w:vMerge/>
            <w:vAlign w:val="center"/>
            <w:hideMark/>
          </w:tcPr>
          <w:p w14:paraId="3E945ED6"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D071A45" w14:textId="77777777" w:rsidR="0033549F" w:rsidRPr="00832CAF" w:rsidRDefault="0033549F" w:rsidP="005A0887">
            <w:pPr>
              <w:rPr>
                <w:rFonts w:ascii="Calibri" w:hAnsi="Calibri" w:cs="Calibri"/>
                <w:i/>
                <w:sz w:val="22"/>
                <w:szCs w:val="22"/>
              </w:rPr>
            </w:pPr>
            <w:r>
              <w:rPr>
                <w:rFonts w:ascii="Calibri" w:hAnsi="Calibri" w:cs="Calibri"/>
                <w:sz w:val="22"/>
                <w:szCs w:val="22"/>
              </w:rPr>
              <w:t xml:space="preserve">4.8 </w:t>
            </w:r>
            <w:r w:rsidRPr="00832CAF">
              <w:rPr>
                <w:rFonts w:ascii="Calibri" w:hAnsi="Calibri" w:cs="Calibri"/>
                <w:i/>
                <w:sz w:val="22"/>
                <w:szCs w:val="22"/>
              </w:rPr>
              <w:t>Support the establishment of a Palestine Studies Centre (within Islamic and Middle Eastern Studies, IMES) that:</w:t>
            </w:r>
          </w:p>
          <w:p w14:paraId="7487C3CC" w14:textId="77777777" w:rsidR="0033549F" w:rsidRPr="00832CAF" w:rsidRDefault="0033549F" w:rsidP="0033549F">
            <w:pPr>
              <w:pStyle w:val="ListParagraph"/>
              <w:numPr>
                <w:ilvl w:val="0"/>
                <w:numId w:val="33"/>
              </w:numPr>
              <w:rPr>
                <w:rFonts w:ascii="Calibri" w:hAnsi="Calibri" w:cs="Calibri"/>
                <w:i/>
                <w:sz w:val="22"/>
                <w:szCs w:val="22"/>
              </w:rPr>
            </w:pPr>
            <w:r w:rsidRPr="00832CAF">
              <w:rPr>
                <w:rFonts w:ascii="Calibri" w:hAnsi="Calibri" w:cs="Calibri"/>
                <w:i/>
                <w:sz w:val="22"/>
                <w:szCs w:val="22"/>
              </w:rPr>
              <w:t>Provides resource (space and funding) for educational activities and community engagement relating to the effects of imperial legacies on Palestine and dispossession.</w:t>
            </w:r>
          </w:p>
          <w:p w14:paraId="176F572F" w14:textId="77777777" w:rsidR="0033549F" w:rsidRPr="00832CAF" w:rsidRDefault="0033549F" w:rsidP="0033549F">
            <w:pPr>
              <w:pStyle w:val="ListParagraph"/>
              <w:numPr>
                <w:ilvl w:val="0"/>
                <w:numId w:val="33"/>
              </w:numPr>
              <w:rPr>
                <w:rFonts w:ascii="Calibri" w:hAnsi="Calibri" w:cs="Calibri"/>
                <w:i/>
                <w:sz w:val="22"/>
                <w:szCs w:val="22"/>
              </w:rPr>
            </w:pPr>
            <w:r w:rsidRPr="00832CAF">
              <w:rPr>
                <w:rFonts w:ascii="Calibri" w:hAnsi="Calibri" w:cs="Calibri"/>
                <w:i/>
                <w:sz w:val="22"/>
                <w:szCs w:val="22"/>
              </w:rPr>
              <w:t>Forges institutional links with other Palestinian Studies Centres by hosting visiting scholars and co-creating programmes.</w:t>
            </w:r>
          </w:p>
          <w:p w14:paraId="2570531C" w14:textId="77777777" w:rsidR="0033549F" w:rsidRPr="00832CAF" w:rsidRDefault="0033549F" w:rsidP="0033549F">
            <w:pPr>
              <w:pStyle w:val="ListParagraph"/>
              <w:numPr>
                <w:ilvl w:val="0"/>
                <w:numId w:val="33"/>
              </w:numPr>
              <w:rPr>
                <w:rFonts w:ascii="Calibri" w:hAnsi="Calibri" w:cs="Calibri"/>
                <w:i/>
                <w:sz w:val="22"/>
                <w:szCs w:val="22"/>
              </w:rPr>
            </w:pPr>
            <w:r w:rsidRPr="00832CAF">
              <w:rPr>
                <w:rFonts w:ascii="Calibri" w:hAnsi="Calibri" w:cs="Calibri"/>
                <w:i/>
                <w:sz w:val="22"/>
                <w:szCs w:val="22"/>
              </w:rPr>
              <w:lastRenderedPageBreak/>
              <w:t>Creates a scholarship programme for students of Palestinian heritage at undergraduate, postgraduate and post-doctoral level.</w:t>
            </w:r>
          </w:p>
          <w:p w14:paraId="61311304" w14:textId="77777777" w:rsidR="0033549F" w:rsidRDefault="0033549F" w:rsidP="0033549F">
            <w:pPr>
              <w:pStyle w:val="ListParagraph"/>
              <w:numPr>
                <w:ilvl w:val="0"/>
                <w:numId w:val="33"/>
              </w:numPr>
              <w:rPr>
                <w:rFonts w:ascii="Calibri" w:hAnsi="Calibri" w:cs="Calibri"/>
                <w:sz w:val="22"/>
                <w:szCs w:val="22"/>
              </w:rPr>
            </w:pPr>
            <w:r w:rsidRPr="00832CAF">
              <w:rPr>
                <w:rFonts w:ascii="Calibri" w:hAnsi="Calibri" w:cs="Calibri"/>
                <w:i/>
                <w:sz w:val="22"/>
                <w:szCs w:val="22"/>
              </w:rPr>
              <w:t>Develops teaching and research in key areas such as race, racism, settler-colonial dispossession, refugees, migration, displacement, etc.</w:t>
            </w:r>
          </w:p>
        </w:tc>
        <w:tc>
          <w:tcPr>
            <w:tcW w:w="4678" w:type="dxa"/>
            <w:vMerge/>
            <w:vAlign w:val="center"/>
            <w:hideMark/>
          </w:tcPr>
          <w:p w14:paraId="32B362FC" w14:textId="77777777" w:rsidR="0033549F" w:rsidRDefault="0033549F" w:rsidP="005A0887">
            <w:pPr>
              <w:rPr>
                <w:rFonts w:ascii="Calibri" w:hAnsi="Calibri" w:cs="Calibri"/>
                <w:sz w:val="22"/>
                <w:szCs w:val="22"/>
                <w:lang w:eastAsia="en-US"/>
              </w:rPr>
            </w:pPr>
          </w:p>
        </w:tc>
      </w:tr>
      <w:tr w:rsidR="0033549F" w14:paraId="3C05F196" w14:textId="77777777" w:rsidTr="005A0887">
        <w:trPr>
          <w:trHeight w:val="300"/>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B2CCC13" w14:textId="77777777" w:rsidR="0033549F" w:rsidRDefault="0033549F" w:rsidP="005A0887">
            <w:pPr>
              <w:rPr>
                <w:rFonts w:ascii="Calibri" w:hAnsi="Calibri" w:cs="Calibri"/>
                <w:sz w:val="22"/>
                <w:szCs w:val="22"/>
              </w:rPr>
            </w:pPr>
            <w:r>
              <w:rPr>
                <w:rFonts w:ascii="Calibri" w:hAnsi="Calibri" w:cs="Calibri"/>
                <w:sz w:val="22"/>
                <w:szCs w:val="22"/>
              </w:rPr>
              <w:t>5. To support research (both academic- and community-led) into the histories and legacies of enslavement, colonialism and the development of racial thought across all three Colleges.</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609DEE96" w14:textId="77777777" w:rsidR="0033549F" w:rsidRDefault="0033549F" w:rsidP="005A0887">
            <w:pPr>
              <w:rPr>
                <w:rFonts w:ascii="Calibri" w:hAnsi="Calibri" w:cs="Calibri"/>
                <w:sz w:val="22"/>
                <w:szCs w:val="22"/>
              </w:rPr>
            </w:pPr>
            <w:r>
              <w:rPr>
                <w:rFonts w:ascii="Calibri" w:hAnsi="Calibri" w:cs="Calibri"/>
                <w:sz w:val="22"/>
                <w:szCs w:val="22"/>
              </w:rPr>
              <w:t xml:space="preserve">5.1 Identify and develop research and engagement </w:t>
            </w:r>
            <w:r w:rsidRPr="19D534DB">
              <w:rPr>
                <w:sz w:val="22"/>
                <w:szCs w:val="22"/>
              </w:rPr>
              <w:t xml:space="preserve">pathways linked to the Centre themes across the Colleges as part of the role of the Academic Leads (2.7) and Chancellor’s Fellows (2.6), such as in natural/physical sciences, public health, AI, data, history, sociology, psychology, Black Studies and social sciences, </w:t>
            </w:r>
            <w:r w:rsidRPr="19D534DB">
              <w:rPr>
                <w:color w:val="000000"/>
                <w:kern w:val="0"/>
                <w:sz w:val="22"/>
                <w:szCs w:val="22"/>
              </w:rPr>
              <w:t xml:space="preserve">archaeology, theology, literature and </w:t>
            </w:r>
            <w:r w:rsidRPr="19D534DB">
              <w:rPr>
                <w:sz w:val="22"/>
                <w:szCs w:val="22"/>
              </w:rPr>
              <w:t>philosophy, creating a sustained research</w:t>
            </w:r>
            <w:r>
              <w:rPr>
                <w:rFonts w:ascii="Calibri" w:hAnsi="Calibri" w:cs="Calibri"/>
                <w:sz w:val="22"/>
                <w:szCs w:val="22"/>
              </w:rPr>
              <w:t xml:space="preserve"> programme concerning racisms, colonialism, enslavement and racial violence.</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5D6C9BC" w14:textId="77777777" w:rsidR="0033549F" w:rsidRDefault="0033549F" w:rsidP="005A0887">
            <w:pPr>
              <w:rPr>
                <w:rFonts w:ascii="Calibri" w:hAnsi="Calibri" w:cs="Calibri"/>
                <w:sz w:val="22"/>
                <w:szCs w:val="22"/>
              </w:rPr>
            </w:pPr>
            <w:r>
              <w:rPr>
                <w:rFonts w:ascii="Calibri" w:hAnsi="Calibri" w:cs="Calibri"/>
                <w:sz w:val="22"/>
                <w:szCs w:val="22"/>
              </w:rPr>
              <w:t xml:space="preserve">Principle 3: A commitment to cognitive justice and equity in collaboration. </w:t>
            </w:r>
          </w:p>
        </w:tc>
      </w:tr>
      <w:tr w:rsidR="0033549F" w14:paraId="795F9A71" w14:textId="77777777" w:rsidTr="005A0887">
        <w:trPr>
          <w:trHeight w:val="300"/>
        </w:trPr>
        <w:tc>
          <w:tcPr>
            <w:tcW w:w="3539" w:type="dxa"/>
            <w:vMerge/>
            <w:vAlign w:val="center"/>
            <w:hideMark/>
          </w:tcPr>
          <w:p w14:paraId="4B11DB7D"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071E15A4" w14:textId="77777777" w:rsidR="0033549F" w:rsidRDefault="0033549F" w:rsidP="005A0887">
            <w:pPr>
              <w:rPr>
                <w:rFonts w:ascii="Calibri" w:hAnsi="Calibri" w:cs="Calibri"/>
                <w:sz w:val="22"/>
                <w:szCs w:val="22"/>
              </w:rPr>
            </w:pPr>
            <w:r>
              <w:rPr>
                <w:rFonts w:ascii="Calibri" w:hAnsi="Calibri" w:cs="Calibri"/>
                <w:sz w:val="22"/>
                <w:szCs w:val="22"/>
              </w:rPr>
              <w:t>5.2 Support Academic Leads and Chancellor’s Fellows to develop external funding applications for Centre-related projects.</w:t>
            </w:r>
          </w:p>
        </w:tc>
        <w:tc>
          <w:tcPr>
            <w:tcW w:w="4678" w:type="dxa"/>
            <w:vMerge/>
            <w:vAlign w:val="center"/>
            <w:hideMark/>
          </w:tcPr>
          <w:p w14:paraId="2830F624" w14:textId="77777777" w:rsidR="0033549F" w:rsidRDefault="0033549F" w:rsidP="005A0887">
            <w:pPr>
              <w:rPr>
                <w:rFonts w:ascii="Calibri" w:hAnsi="Calibri" w:cs="Calibri"/>
                <w:sz w:val="22"/>
                <w:szCs w:val="22"/>
                <w:lang w:eastAsia="en-US"/>
              </w:rPr>
            </w:pPr>
          </w:p>
        </w:tc>
      </w:tr>
      <w:tr w:rsidR="0033549F" w14:paraId="5DF09E44" w14:textId="77777777" w:rsidTr="005A0887">
        <w:trPr>
          <w:trHeight w:val="300"/>
        </w:trPr>
        <w:tc>
          <w:tcPr>
            <w:tcW w:w="3539"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3B4D94F" w14:textId="77777777" w:rsidR="0033549F" w:rsidRDefault="0033549F" w:rsidP="005A0887">
            <w:pPr>
              <w:rPr>
                <w:rFonts w:ascii="Calibri" w:hAnsi="Calibri" w:cs="Calibri"/>
                <w:sz w:val="22"/>
                <w:szCs w:val="22"/>
              </w:rPr>
            </w:pPr>
            <w:r>
              <w:rPr>
                <w:rFonts w:ascii="Calibri" w:hAnsi="Calibri" w:cs="Calibri"/>
                <w:sz w:val="22"/>
                <w:szCs w:val="22"/>
              </w:rPr>
              <w:t xml:space="preserve">6. To create a bridge between researchers, practitioners, communities and activists by encouraging collaborative and reparative efforts to address racial legacies and enhance the institution’s connection with local communities. </w:t>
            </w: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C019A12" w14:textId="77777777" w:rsidR="0033549F" w:rsidRDefault="0033549F" w:rsidP="005A0887">
            <w:pPr>
              <w:rPr>
                <w:rFonts w:ascii="Calibri" w:hAnsi="Calibri" w:cs="Calibri"/>
                <w:sz w:val="22"/>
                <w:szCs w:val="22"/>
              </w:rPr>
            </w:pPr>
            <w:r>
              <w:rPr>
                <w:rFonts w:ascii="Calibri" w:hAnsi="Calibri" w:cs="Calibri"/>
                <w:sz w:val="22"/>
                <w:szCs w:val="22"/>
              </w:rPr>
              <w:t xml:space="preserve">6.1 Appoint a Community Engagement Officer/Manager (1.0FTE) with a strong track record in working with racially/ethnically minoritised communities and experienced in event coordination. </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4806D5E" w14:textId="77777777" w:rsidR="0033549F" w:rsidRDefault="0033549F" w:rsidP="005A0887">
            <w:pPr>
              <w:rPr>
                <w:rFonts w:ascii="Calibri" w:hAnsi="Calibri" w:cs="Calibri"/>
                <w:sz w:val="22"/>
                <w:szCs w:val="22"/>
              </w:rPr>
            </w:pPr>
            <w:r>
              <w:rPr>
                <w:rFonts w:ascii="Calibri" w:hAnsi="Calibri" w:cs="Calibri"/>
                <w:sz w:val="22"/>
                <w:szCs w:val="22"/>
              </w:rPr>
              <w:t xml:space="preserve">Principle 2: A commitment to mutual benefit, strengthening partnerships and restoring agency through participation. </w:t>
            </w:r>
          </w:p>
        </w:tc>
      </w:tr>
      <w:tr w:rsidR="0033549F" w14:paraId="4963BCEA" w14:textId="77777777" w:rsidTr="005A0887">
        <w:trPr>
          <w:trHeight w:val="300"/>
        </w:trPr>
        <w:tc>
          <w:tcPr>
            <w:tcW w:w="3539" w:type="dxa"/>
            <w:vMerge/>
            <w:vAlign w:val="center"/>
            <w:hideMark/>
          </w:tcPr>
          <w:p w14:paraId="72F47EDA"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8B35D78" w14:textId="77777777" w:rsidR="0033549F" w:rsidRDefault="0033549F" w:rsidP="005A0887">
            <w:pPr>
              <w:rPr>
                <w:rFonts w:ascii="Calibri" w:hAnsi="Calibri" w:cs="Calibri"/>
                <w:sz w:val="22"/>
                <w:szCs w:val="22"/>
              </w:rPr>
            </w:pPr>
            <w:r>
              <w:rPr>
                <w:rFonts w:ascii="Calibri" w:hAnsi="Calibri" w:cs="Calibri"/>
                <w:sz w:val="22"/>
                <w:szCs w:val="22"/>
              </w:rPr>
              <w:t xml:space="preserve">6.2 Provide a permanent, dedicated, fully accessible and substantial community meeting space as part of the Centre, in which local community groups and Centre members can host knowledge-exchange events and exhibitions, thereby breaking down the walls of institutional knowledge. </w:t>
            </w:r>
          </w:p>
        </w:tc>
        <w:tc>
          <w:tcPr>
            <w:tcW w:w="4678" w:type="dxa"/>
            <w:vMerge/>
            <w:vAlign w:val="center"/>
            <w:hideMark/>
          </w:tcPr>
          <w:p w14:paraId="04158A35" w14:textId="77777777" w:rsidR="0033549F" w:rsidRDefault="0033549F" w:rsidP="005A0887">
            <w:pPr>
              <w:rPr>
                <w:rFonts w:ascii="Calibri" w:hAnsi="Calibri" w:cs="Calibri"/>
                <w:sz w:val="22"/>
                <w:szCs w:val="22"/>
                <w:lang w:eastAsia="en-US"/>
              </w:rPr>
            </w:pPr>
          </w:p>
        </w:tc>
      </w:tr>
      <w:tr w:rsidR="0033549F" w14:paraId="2F920C46" w14:textId="77777777" w:rsidTr="005A0887">
        <w:trPr>
          <w:trHeight w:val="300"/>
        </w:trPr>
        <w:tc>
          <w:tcPr>
            <w:tcW w:w="3539" w:type="dxa"/>
            <w:vMerge/>
            <w:vAlign w:val="center"/>
            <w:hideMark/>
          </w:tcPr>
          <w:p w14:paraId="1253368D"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D607506" w14:textId="77777777" w:rsidR="0033549F" w:rsidRDefault="0033549F" w:rsidP="005A0887">
            <w:pPr>
              <w:rPr>
                <w:rFonts w:ascii="Calibri" w:hAnsi="Calibri" w:cs="Calibri"/>
                <w:sz w:val="22"/>
                <w:szCs w:val="22"/>
              </w:rPr>
            </w:pPr>
            <w:r>
              <w:rPr>
                <w:rFonts w:ascii="Calibri" w:hAnsi="Calibri" w:cs="Calibri"/>
                <w:sz w:val="22"/>
                <w:szCs w:val="22"/>
              </w:rPr>
              <w:t xml:space="preserve">6.3 Set up a rolling (annual) residence programme to host a Community Representative/Scholar-Activist, giving communities the opportunity to work on specific projects. This can be someone from local, national or international communities. </w:t>
            </w:r>
          </w:p>
        </w:tc>
        <w:tc>
          <w:tcPr>
            <w:tcW w:w="4678"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18762AB1" w14:textId="77777777" w:rsidR="0033549F" w:rsidRDefault="0033549F" w:rsidP="005A0887">
            <w:pPr>
              <w:rPr>
                <w:rFonts w:ascii="Calibri" w:hAnsi="Calibri" w:cs="Calibri"/>
                <w:sz w:val="22"/>
                <w:szCs w:val="22"/>
              </w:rPr>
            </w:pPr>
            <w:r>
              <w:rPr>
                <w:rFonts w:ascii="Calibri" w:hAnsi="Calibri" w:cs="Calibri"/>
                <w:sz w:val="22"/>
                <w:szCs w:val="22"/>
              </w:rPr>
              <w:t xml:space="preserve">Principle 1: A commitment to recognising historical and contemporary struggles for social and reparatory justice. </w:t>
            </w:r>
          </w:p>
          <w:p w14:paraId="08509508" w14:textId="77777777" w:rsidR="0033549F" w:rsidRDefault="0033549F" w:rsidP="005A0887">
            <w:pPr>
              <w:rPr>
                <w:rFonts w:ascii="Calibri" w:hAnsi="Calibri" w:cs="Calibri"/>
                <w:sz w:val="22"/>
                <w:szCs w:val="22"/>
              </w:rPr>
            </w:pPr>
          </w:p>
          <w:p w14:paraId="16720763" w14:textId="77777777" w:rsidR="0033549F" w:rsidRDefault="0033549F" w:rsidP="005A0887">
            <w:pPr>
              <w:rPr>
                <w:rFonts w:ascii="Calibri" w:hAnsi="Calibri" w:cs="Calibri"/>
                <w:sz w:val="22"/>
                <w:szCs w:val="22"/>
              </w:rPr>
            </w:pPr>
            <w:r>
              <w:rPr>
                <w:rFonts w:ascii="Calibri" w:hAnsi="Calibri" w:cs="Calibri"/>
                <w:sz w:val="22"/>
                <w:szCs w:val="22"/>
              </w:rPr>
              <w:t xml:space="preserve">Principle 5: A commitment to knowledge exchange and reciprocal learning. </w:t>
            </w:r>
          </w:p>
        </w:tc>
      </w:tr>
      <w:tr w:rsidR="0033549F" w14:paraId="48F4C2BB" w14:textId="77777777" w:rsidTr="005A0887">
        <w:trPr>
          <w:trHeight w:val="300"/>
        </w:trPr>
        <w:tc>
          <w:tcPr>
            <w:tcW w:w="3539" w:type="dxa"/>
            <w:vMerge/>
            <w:vAlign w:val="center"/>
            <w:hideMark/>
          </w:tcPr>
          <w:p w14:paraId="10EDB2D3"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9F1F085" w14:textId="77777777" w:rsidR="0033549F" w:rsidRDefault="0033549F" w:rsidP="005A0887">
            <w:pPr>
              <w:rPr>
                <w:rFonts w:ascii="Calibri" w:hAnsi="Calibri" w:cs="Calibri"/>
                <w:sz w:val="22"/>
                <w:szCs w:val="22"/>
              </w:rPr>
            </w:pPr>
            <w:r>
              <w:rPr>
                <w:rFonts w:ascii="Calibri" w:hAnsi="Calibri" w:cs="Calibri"/>
                <w:sz w:val="22"/>
                <w:szCs w:val="22"/>
              </w:rPr>
              <w:t xml:space="preserve">6.4 Set up a working group to look at improving the payment system for external non-academic groups/individuals, such as engaging with non-English speakers, creating clear resources </w:t>
            </w:r>
            <w:r>
              <w:rPr>
                <w:rFonts w:ascii="Calibri" w:hAnsi="Calibri" w:cs="Calibri"/>
                <w:sz w:val="22"/>
                <w:szCs w:val="22"/>
              </w:rPr>
              <w:lastRenderedPageBreak/>
              <w:t xml:space="preserve">explaining the system, as well as setting up alternative and more flexible systems of payment that recognise different financial systems outside of the UK banking system. </w:t>
            </w:r>
          </w:p>
        </w:tc>
        <w:tc>
          <w:tcPr>
            <w:tcW w:w="4678"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21A4C3B5" w14:textId="77777777" w:rsidR="0033549F" w:rsidRDefault="0033549F" w:rsidP="005A0887">
            <w:pPr>
              <w:rPr>
                <w:rFonts w:ascii="Calibri" w:hAnsi="Calibri" w:cs="Calibri"/>
                <w:sz w:val="22"/>
                <w:szCs w:val="22"/>
              </w:rPr>
            </w:pPr>
            <w:r>
              <w:rPr>
                <w:rFonts w:ascii="Calibri" w:hAnsi="Calibri" w:cs="Calibri"/>
                <w:sz w:val="22"/>
                <w:szCs w:val="22"/>
              </w:rPr>
              <w:lastRenderedPageBreak/>
              <w:t xml:space="preserve">Principle 10: A commitment to fair practices in payments.  </w:t>
            </w:r>
          </w:p>
        </w:tc>
      </w:tr>
      <w:tr w:rsidR="0033549F" w14:paraId="42300A84" w14:textId="77777777" w:rsidTr="005A0887">
        <w:trPr>
          <w:trHeight w:val="300"/>
        </w:trPr>
        <w:tc>
          <w:tcPr>
            <w:tcW w:w="3539" w:type="dxa"/>
            <w:vMerge/>
            <w:vAlign w:val="center"/>
            <w:hideMark/>
          </w:tcPr>
          <w:p w14:paraId="70DF60D0"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4920672" w14:textId="77777777" w:rsidR="0033549F" w:rsidRDefault="0033549F" w:rsidP="005A0887">
            <w:pPr>
              <w:rPr>
                <w:rFonts w:ascii="Calibri" w:hAnsi="Calibri" w:cs="Calibri"/>
                <w:sz w:val="22"/>
                <w:szCs w:val="22"/>
              </w:rPr>
            </w:pPr>
            <w:r>
              <w:rPr>
                <w:rFonts w:ascii="Calibri" w:hAnsi="Calibri" w:cs="Calibri"/>
                <w:sz w:val="22"/>
                <w:szCs w:val="22"/>
              </w:rPr>
              <w:t>6.5 Establish a small grants funding scheme to support dedicated community and other research projects where community leads are Primary Investigators (in recognition of the limitations of current UKRI funding opportunities).</w:t>
            </w:r>
          </w:p>
        </w:tc>
        <w:tc>
          <w:tcPr>
            <w:tcW w:w="4678"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310E190F" w14:textId="77777777" w:rsidR="0033549F" w:rsidRDefault="0033549F" w:rsidP="005A0887">
            <w:pPr>
              <w:rPr>
                <w:rFonts w:ascii="Calibri" w:hAnsi="Calibri" w:cs="Calibri"/>
                <w:sz w:val="22"/>
                <w:szCs w:val="22"/>
              </w:rPr>
            </w:pPr>
            <w:r>
              <w:rPr>
                <w:rFonts w:ascii="Calibri" w:hAnsi="Calibri" w:cs="Calibri"/>
                <w:sz w:val="22"/>
                <w:szCs w:val="22"/>
              </w:rPr>
              <w:t xml:space="preserve">Principle 9: A commitment to data co-ownership. </w:t>
            </w:r>
          </w:p>
          <w:p w14:paraId="04E41F88" w14:textId="77777777" w:rsidR="0033549F" w:rsidRDefault="0033549F" w:rsidP="005A0887">
            <w:pPr>
              <w:rPr>
                <w:rFonts w:ascii="Calibri" w:hAnsi="Calibri" w:cs="Calibri"/>
                <w:sz w:val="22"/>
                <w:szCs w:val="22"/>
              </w:rPr>
            </w:pPr>
          </w:p>
          <w:p w14:paraId="3E9A5808" w14:textId="77777777" w:rsidR="0033549F" w:rsidRDefault="0033549F" w:rsidP="005A0887">
            <w:pPr>
              <w:rPr>
                <w:rFonts w:ascii="Calibri" w:hAnsi="Calibri" w:cs="Calibri"/>
                <w:sz w:val="22"/>
                <w:szCs w:val="22"/>
              </w:rPr>
            </w:pPr>
            <w:r>
              <w:rPr>
                <w:rFonts w:ascii="Calibri" w:hAnsi="Calibri" w:cs="Calibri"/>
                <w:sz w:val="22"/>
                <w:szCs w:val="22"/>
              </w:rPr>
              <w:t xml:space="preserve">Principle 7: A commitment to co-production of knowledge. </w:t>
            </w:r>
          </w:p>
        </w:tc>
      </w:tr>
      <w:tr w:rsidR="0033549F" w14:paraId="5931CF0B" w14:textId="77777777" w:rsidTr="005A0887">
        <w:trPr>
          <w:trHeight w:val="300"/>
        </w:trPr>
        <w:tc>
          <w:tcPr>
            <w:tcW w:w="3539" w:type="dxa"/>
            <w:vMerge/>
            <w:vAlign w:val="center"/>
            <w:hideMark/>
          </w:tcPr>
          <w:p w14:paraId="48103B1A"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1B8236C" w14:textId="77777777" w:rsidR="0033549F" w:rsidRDefault="0033549F" w:rsidP="005A0887">
            <w:pPr>
              <w:rPr>
                <w:rFonts w:ascii="Calibri" w:hAnsi="Calibri" w:cs="Calibri"/>
                <w:sz w:val="22"/>
                <w:szCs w:val="22"/>
              </w:rPr>
            </w:pPr>
            <w:r>
              <w:rPr>
                <w:rFonts w:ascii="Calibri" w:hAnsi="Calibri" w:cs="Calibri"/>
                <w:sz w:val="22"/>
                <w:szCs w:val="22"/>
              </w:rPr>
              <w:t xml:space="preserve">6.6 Set up a system of accreditation/certification to recognise the contributions of communities to the Centre (and the wider institution) and any work they have undertaken. </w:t>
            </w:r>
          </w:p>
        </w:tc>
        <w:tc>
          <w:tcPr>
            <w:tcW w:w="4678"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0033AAF3" w14:textId="77777777" w:rsidR="0033549F" w:rsidRDefault="0033549F" w:rsidP="005A0887">
            <w:pPr>
              <w:rPr>
                <w:rFonts w:ascii="Calibri" w:hAnsi="Calibri" w:cs="Calibri"/>
                <w:sz w:val="22"/>
                <w:szCs w:val="22"/>
              </w:rPr>
            </w:pPr>
            <w:r>
              <w:rPr>
                <w:rFonts w:ascii="Calibri" w:hAnsi="Calibri" w:cs="Calibri"/>
                <w:sz w:val="22"/>
                <w:szCs w:val="22"/>
              </w:rPr>
              <w:t xml:space="preserve">Principle 3: A commitment to cognitive justice and equity in collaboration. </w:t>
            </w:r>
          </w:p>
        </w:tc>
      </w:tr>
      <w:tr w:rsidR="0033549F" w14:paraId="0F2FB57B" w14:textId="77777777" w:rsidTr="005A0887">
        <w:trPr>
          <w:trHeight w:val="300"/>
        </w:trPr>
        <w:tc>
          <w:tcPr>
            <w:tcW w:w="3539" w:type="dxa"/>
            <w:vMerge/>
            <w:vAlign w:val="center"/>
            <w:hideMark/>
          </w:tcPr>
          <w:p w14:paraId="66E0BDA0"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6D7892D" w14:textId="77777777" w:rsidR="0033549F" w:rsidRDefault="0033549F" w:rsidP="005A0887">
            <w:pPr>
              <w:rPr>
                <w:rFonts w:ascii="Calibri" w:hAnsi="Calibri" w:cs="Calibri"/>
                <w:sz w:val="22"/>
                <w:szCs w:val="22"/>
              </w:rPr>
            </w:pPr>
            <w:r>
              <w:rPr>
                <w:rFonts w:ascii="Calibri" w:hAnsi="Calibri" w:cs="Calibri"/>
                <w:sz w:val="22"/>
                <w:szCs w:val="22"/>
              </w:rPr>
              <w:t xml:space="preserve">6.7 Set up a working group to investigate issues around intellectual property and provide policy guidance on co-ownership with communities, for example in relation to grants. </w:t>
            </w:r>
          </w:p>
        </w:tc>
        <w:tc>
          <w:tcPr>
            <w:tcW w:w="4678" w:type="dxa"/>
            <w:tcBorders>
              <w:top w:val="single" w:sz="4" w:space="0" w:color="auto"/>
              <w:left w:val="single" w:sz="4" w:space="0" w:color="auto"/>
              <w:bottom w:val="single" w:sz="4" w:space="0" w:color="auto"/>
              <w:right w:val="single" w:sz="4" w:space="0" w:color="auto"/>
            </w:tcBorders>
            <w:shd w:val="clear" w:color="auto" w:fill="C9C9C9" w:themeFill="accent3" w:themeFillTint="99"/>
          </w:tcPr>
          <w:p w14:paraId="25B66C53" w14:textId="77777777" w:rsidR="0033549F" w:rsidRDefault="0033549F" w:rsidP="005A0887">
            <w:pPr>
              <w:rPr>
                <w:rFonts w:ascii="Calibri" w:hAnsi="Calibri" w:cs="Calibri"/>
                <w:sz w:val="22"/>
                <w:szCs w:val="22"/>
              </w:rPr>
            </w:pPr>
            <w:r>
              <w:rPr>
                <w:rFonts w:ascii="Calibri" w:hAnsi="Calibri" w:cs="Calibri"/>
                <w:sz w:val="22"/>
                <w:szCs w:val="22"/>
              </w:rPr>
              <w:t>Principle 9: A commitment to data co-ownership.</w:t>
            </w:r>
          </w:p>
          <w:p w14:paraId="626671FC" w14:textId="77777777" w:rsidR="0033549F" w:rsidRDefault="0033549F" w:rsidP="005A0887">
            <w:pPr>
              <w:rPr>
                <w:rFonts w:ascii="Calibri" w:hAnsi="Calibri" w:cs="Calibri"/>
                <w:sz w:val="22"/>
                <w:szCs w:val="22"/>
              </w:rPr>
            </w:pPr>
          </w:p>
        </w:tc>
      </w:tr>
      <w:tr w:rsidR="0033549F" w14:paraId="4EA8C122" w14:textId="77777777" w:rsidTr="005A0887">
        <w:trPr>
          <w:trHeight w:val="300"/>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51D67F" w14:textId="77777777" w:rsidR="0033549F" w:rsidRDefault="0033549F" w:rsidP="005A0887">
            <w:pPr>
              <w:rPr>
                <w:rFonts w:ascii="Calibri" w:hAnsi="Calibri" w:cs="Calibri"/>
                <w:sz w:val="22"/>
                <w:szCs w:val="22"/>
              </w:rPr>
            </w:pPr>
            <w:r>
              <w:rPr>
                <w:rFonts w:ascii="Calibri" w:hAnsi="Calibri" w:cs="Calibri"/>
                <w:sz w:val="22"/>
                <w:szCs w:val="22"/>
              </w:rPr>
              <w:t>7. To provide an academic unit responsible for converting research about racism into proactive strategies, aimed at improving the life chances of racially and ethnically minoritised peoples and able to influence opinion and policy making in the UK and abroad.  </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429EA36C" w14:textId="77777777" w:rsidR="0033549F" w:rsidRDefault="0033549F" w:rsidP="005A0887">
            <w:pPr>
              <w:rPr>
                <w:rFonts w:ascii="Calibri" w:hAnsi="Calibri" w:cs="Calibri"/>
                <w:sz w:val="22"/>
                <w:szCs w:val="22"/>
              </w:rPr>
            </w:pPr>
            <w:r>
              <w:rPr>
                <w:rFonts w:ascii="Calibri" w:hAnsi="Calibri" w:cs="Calibri"/>
                <w:sz w:val="22"/>
                <w:szCs w:val="22"/>
              </w:rPr>
              <w:t>7.1 Liaise with different public bodies, such as Coalition for Racial Equality and Rights, the Runnymede Trust, the Race Equality Foundation, UN Committee on the Elimination of Racial Discrimination (CERD) as part of the role of the Director and Academic Leads.</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AF0458B" w14:textId="77777777" w:rsidR="0033549F" w:rsidRDefault="0033549F" w:rsidP="005A0887">
            <w:pPr>
              <w:rPr>
                <w:rFonts w:ascii="Calibri" w:hAnsi="Calibri" w:cs="Calibri"/>
                <w:sz w:val="22"/>
                <w:szCs w:val="22"/>
              </w:rPr>
            </w:pPr>
            <w:r>
              <w:rPr>
                <w:rFonts w:ascii="Calibri" w:hAnsi="Calibri" w:cs="Calibri"/>
                <w:sz w:val="22"/>
                <w:szCs w:val="22"/>
              </w:rPr>
              <w:t xml:space="preserve">Principle 5: A commitment to knowledge exchange and reciprocal learning. </w:t>
            </w:r>
          </w:p>
        </w:tc>
      </w:tr>
      <w:tr w:rsidR="0033549F" w14:paraId="01E84EC5" w14:textId="77777777" w:rsidTr="005A0887">
        <w:trPr>
          <w:trHeight w:val="300"/>
        </w:trPr>
        <w:tc>
          <w:tcPr>
            <w:tcW w:w="3539" w:type="dxa"/>
            <w:vMerge/>
            <w:vAlign w:val="center"/>
            <w:hideMark/>
          </w:tcPr>
          <w:p w14:paraId="3B0614D0"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735932C5" w14:textId="77777777" w:rsidR="0033549F" w:rsidRDefault="0033549F" w:rsidP="005A0887">
            <w:pPr>
              <w:rPr>
                <w:rFonts w:ascii="Calibri" w:hAnsi="Calibri" w:cs="Calibri"/>
                <w:sz w:val="22"/>
                <w:szCs w:val="22"/>
              </w:rPr>
            </w:pPr>
            <w:r>
              <w:rPr>
                <w:rFonts w:ascii="Calibri" w:hAnsi="Calibri" w:cs="Calibri"/>
                <w:sz w:val="22"/>
                <w:szCs w:val="22"/>
              </w:rPr>
              <w:t>7.2 Set up a speaker series attracting high-profile academics and public figures.</w:t>
            </w:r>
          </w:p>
        </w:tc>
        <w:tc>
          <w:tcPr>
            <w:tcW w:w="4678" w:type="dxa"/>
            <w:vMerge/>
            <w:vAlign w:val="center"/>
            <w:hideMark/>
          </w:tcPr>
          <w:p w14:paraId="3FFDAD26" w14:textId="77777777" w:rsidR="0033549F" w:rsidRDefault="0033549F" w:rsidP="005A0887">
            <w:pPr>
              <w:rPr>
                <w:rFonts w:ascii="Calibri" w:hAnsi="Calibri" w:cs="Calibri"/>
                <w:sz w:val="22"/>
                <w:szCs w:val="22"/>
                <w:lang w:eastAsia="en-US"/>
              </w:rPr>
            </w:pPr>
          </w:p>
        </w:tc>
      </w:tr>
      <w:tr w:rsidR="0033549F" w14:paraId="02A9AD09" w14:textId="77777777" w:rsidTr="005A0887">
        <w:trPr>
          <w:trHeight w:val="300"/>
        </w:trPr>
        <w:tc>
          <w:tcPr>
            <w:tcW w:w="3539"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48228560" w14:textId="77777777" w:rsidR="0033549F" w:rsidRDefault="0033549F" w:rsidP="005A0887">
            <w:pPr>
              <w:rPr>
                <w:rFonts w:ascii="Calibri" w:hAnsi="Calibri" w:cs="Calibri"/>
                <w:sz w:val="22"/>
                <w:szCs w:val="22"/>
              </w:rPr>
            </w:pPr>
            <w:r>
              <w:rPr>
                <w:rFonts w:ascii="Calibri" w:hAnsi="Calibri" w:cs="Calibri"/>
                <w:sz w:val="22"/>
                <w:szCs w:val="22"/>
              </w:rPr>
              <w:t>8. To establish a platform for garnering research grants, entrepreneurial opportunities and philanthropic (donor-based) support.   </w:t>
            </w: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F639B5A" w14:textId="77777777" w:rsidR="0033549F" w:rsidRDefault="0033549F" w:rsidP="005A0887">
            <w:pPr>
              <w:rPr>
                <w:rFonts w:ascii="Calibri" w:hAnsi="Calibri" w:cs="Calibri"/>
                <w:sz w:val="22"/>
                <w:szCs w:val="22"/>
              </w:rPr>
            </w:pPr>
            <w:r>
              <w:rPr>
                <w:rFonts w:ascii="Calibri" w:hAnsi="Calibri" w:cs="Calibri"/>
                <w:sz w:val="22"/>
                <w:szCs w:val="22"/>
              </w:rPr>
              <w:t>8.1 Appoint a dedicated grant writer (1.0FTE) to capture external funding opportunities for the Centre.</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5B4BB69E" w14:textId="77777777" w:rsidR="0033549F" w:rsidRDefault="0033549F" w:rsidP="005A0887">
            <w:pPr>
              <w:rPr>
                <w:rFonts w:ascii="Calibri" w:hAnsi="Calibri" w:cs="Calibri"/>
                <w:sz w:val="22"/>
                <w:szCs w:val="22"/>
              </w:rPr>
            </w:pPr>
            <w:r>
              <w:rPr>
                <w:rFonts w:ascii="Calibri" w:hAnsi="Calibri" w:cs="Calibri"/>
                <w:sz w:val="22"/>
                <w:szCs w:val="22"/>
              </w:rPr>
              <w:t xml:space="preserve">Principle 8: A commitment to sustainability and legacy. </w:t>
            </w:r>
          </w:p>
        </w:tc>
      </w:tr>
      <w:tr w:rsidR="0033549F" w14:paraId="4139B73F" w14:textId="77777777" w:rsidTr="005A0887">
        <w:trPr>
          <w:trHeight w:val="300"/>
        </w:trPr>
        <w:tc>
          <w:tcPr>
            <w:tcW w:w="3539" w:type="dxa"/>
            <w:vMerge/>
            <w:vAlign w:val="center"/>
            <w:hideMark/>
          </w:tcPr>
          <w:p w14:paraId="425FD962"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72235766" w14:textId="77777777" w:rsidR="0033549F" w:rsidRDefault="0033549F" w:rsidP="005A0887">
            <w:pPr>
              <w:rPr>
                <w:rFonts w:ascii="Calibri" w:hAnsi="Calibri" w:cs="Calibri"/>
                <w:sz w:val="22"/>
                <w:szCs w:val="22"/>
              </w:rPr>
            </w:pPr>
            <w:r>
              <w:rPr>
                <w:rFonts w:ascii="Calibri" w:hAnsi="Calibri" w:cs="Calibri"/>
                <w:sz w:val="22"/>
                <w:szCs w:val="22"/>
              </w:rPr>
              <w:t>8.2 Support Academic Leads and Chancellor’s Fellows to develop external funding applications for Centre-related projects.</w:t>
            </w:r>
          </w:p>
        </w:tc>
        <w:tc>
          <w:tcPr>
            <w:tcW w:w="4678" w:type="dxa"/>
            <w:vMerge/>
            <w:vAlign w:val="center"/>
            <w:hideMark/>
          </w:tcPr>
          <w:p w14:paraId="50DCC9E2" w14:textId="77777777" w:rsidR="0033549F" w:rsidRDefault="0033549F" w:rsidP="005A0887">
            <w:pPr>
              <w:rPr>
                <w:rFonts w:ascii="Calibri" w:hAnsi="Calibri" w:cs="Calibri"/>
                <w:sz w:val="22"/>
                <w:szCs w:val="22"/>
                <w:lang w:eastAsia="en-US"/>
              </w:rPr>
            </w:pPr>
          </w:p>
        </w:tc>
      </w:tr>
      <w:tr w:rsidR="0033549F" w14:paraId="525C9668" w14:textId="77777777" w:rsidTr="005A0887">
        <w:trPr>
          <w:trHeight w:val="300"/>
        </w:trPr>
        <w:tc>
          <w:tcPr>
            <w:tcW w:w="3539" w:type="dxa"/>
            <w:vMerge/>
            <w:vAlign w:val="center"/>
            <w:hideMark/>
          </w:tcPr>
          <w:p w14:paraId="5E37C50D"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C8F6369" w14:textId="77777777" w:rsidR="0033549F" w:rsidRDefault="0033549F" w:rsidP="005A0887">
            <w:pPr>
              <w:rPr>
                <w:rFonts w:ascii="Calibri" w:hAnsi="Calibri" w:cs="Calibri"/>
                <w:sz w:val="22"/>
                <w:szCs w:val="22"/>
              </w:rPr>
            </w:pPr>
            <w:r>
              <w:rPr>
                <w:rFonts w:ascii="Calibri" w:hAnsi="Calibri" w:cs="Calibri"/>
                <w:sz w:val="22"/>
                <w:szCs w:val="22"/>
              </w:rPr>
              <w:t xml:space="preserve">8.3 Work with the Development and Alumni team to create strategies around securing external donors. </w:t>
            </w:r>
          </w:p>
        </w:tc>
        <w:tc>
          <w:tcPr>
            <w:tcW w:w="4678" w:type="dxa"/>
            <w:vMerge/>
            <w:vAlign w:val="center"/>
            <w:hideMark/>
          </w:tcPr>
          <w:p w14:paraId="43E564E6" w14:textId="77777777" w:rsidR="0033549F" w:rsidRDefault="0033549F" w:rsidP="005A0887">
            <w:pPr>
              <w:rPr>
                <w:rFonts w:ascii="Calibri" w:hAnsi="Calibri" w:cs="Calibri"/>
                <w:sz w:val="22"/>
                <w:szCs w:val="22"/>
                <w:lang w:eastAsia="en-US"/>
              </w:rPr>
            </w:pPr>
          </w:p>
        </w:tc>
      </w:tr>
      <w:tr w:rsidR="0033549F" w14:paraId="4DFAB75B" w14:textId="77777777" w:rsidTr="005A0887">
        <w:trPr>
          <w:trHeight w:val="300"/>
        </w:trPr>
        <w:tc>
          <w:tcPr>
            <w:tcW w:w="3539" w:type="dxa"/>
            <w:vMerge/>
            <w:vAlign w:val="center"/>
            <w:hideMark/>
          </w:tcPr>
          <w:p w14:paraId="4502FF3A"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1F06400B" w14:textId="77777777" w:rsidR="0033549F" w:rsidRPr="00F956DD" w:rsidRDefault="0033549F" w:rsidP="005A0887">
            <w:pPr>
              <w:rPr>
                <w:rFonts w:cstheme="minorHAnsi"/>
                <w:sz w:val="22"/>
                <w:szCs w:val="22"/>
              </w:rPr>
            </w:pPr>
            <w:r w:rsidRPr="00F956DD">
              <w:rPr>
                <w:rFonts w:cstheme="minorHAnsi"/>
                <w:sz w:val="22"/>
                <w:szCs w:val="22"/>
              </w:rPr>
              <w:t xml:space="preserve">8.4 Look at existing bursaries, gifts and donations that are linked to the profits of enslavement and colonialism (e.g. the Gunning endowment) with a view to repurposing them. This could be to support the work of the Centre and/or </w:t>
            </w:r>
            <w:r w:rsidRPr="00F956DD">
              <w:rPr>
                <w:rFonts w:cstheme="minorHAnsi"/>
                <w:color w:val="000000"/>
                <w:kern w:val="0"/>
                <w:sz w:val="22"/>
                <w:szCs w:val="22"/>
              </w:rPr>
              <w:t>work by Black and other minoritised scholars and students linked to racism, racialisation and colonialism within existing Schools.</w:t>
            </w:r>
          </w:p>
        </w:tc>
        <w:tc>
          <w:tcPr>
            <w:tcW w:w="4678" w:type="dxa"/>
            <w:vMerge/>
            <w:hideMark/>
          </w:tcPr>
          <w:p w14:paraId="4DD3B605" w14:textId="77777777" w:rsidR="0033549F" w:rsidRDefault="0033549F" w:rsidP="005A0887">
            <w:pPr>
              <w:rPr>
                <w:rFonts w:ascii="Calibri" w:hAnsi="Calibri" w:cs="Calibri"/>
                <w:sz w:val="22"/>
                <w:szCs w:val="22"/>
                <w:lang w:eastAsia="en-US"/>
              </w:rPr>
            </w:pPr>
          </w:p>
        </w:tc>
      </w:tr>
      <w:tr w:rsidR="0033549F" w14:paraId="18657961" w14:textId="77777777" w:rsidTr="005A0887">
        <w:trPr>
          <w:trHeight w:val="300"/>
        </w:trPr>
        <w:tc>
          <w:tcPr>
            <w:tcW w:w="3539" w:type="dxa"/>
            <w:vMerge/>
            <w:vAlign w:val="center"/>
            <w:hideMark/>
          </w:tcPr>
          <w:p w14:paraId="2658FA39"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3E842038" w14:textId="77777777" w:rsidR="0033549F" w:rsidRDefault="0033549F" w:rsidP="005A0887">
            <w:pPr>
              <w:rPr>
                <w:rFonts w:ascii="Calibri" w:hAnsi="Calibri" w:cs="Calibri"/>
                <w:sz w:val="22"/>
                <w:szCs w:val="22"/>
              </w:rPr>
            </w:pPr>
            <w:r>
              <w:rPr>
                <w:rFonts w:ascii="Calibri" w:hAnsi="Calibri" w:cs="Calibri"/>
                <w:sz w:val="22"/>
                <w:szCs w:val="22"/>
              </w:rPr>
              <w:t xml:space="preserve">8.5 Contribute to the review of the Responsible Investment Policy to ensure that the University of Edinburgh’s direct and indirect investments are not complicit with ongoing harms (human and environmental), including genocide, crimes against humanity, war crimes and ecocide, and repurpose profits made from any such investments for appropriate reparatory initiatives (such as funding scholarships for students affected by ongoing wars in Gaza and Sudan).   </w:t>
            </w:r>
          </w:p>
        </w:tc>
        <w:tc>
          <w:tcPr>
            <w:tcW w:w="4678" w:type="dxa"/>
            <w:tcBorders>
              <w:top w:val="single" w:sz="4" w:space="0" w:color="auto"/>
              <w:left w:val="single" w:sz="4" w:space="0" w:color="auto"/>
              <w:bottom w:val="single" w:sz="4" w:space="0" w:color="auto"/>
              <w:right w:val="single" w:sz="4" w:space="0" w:color="auto"/>
            </w:tcBorders>
            <w:shd w:val="clear" w:color="auto" w:fill="C9C9C9" w:themeFill="accent3" w:themeFillTint="99"/>
            <w:hideMark/>
          </w:tcPr>
          <w:p w14:paraId="6DD4D111" w14:textId="77777777" w:rsidR="0033549F" w:rsidRDefault="0033549F" w:rsidP="005A0887">
            <w:pPr>
              <w:rPr>
                <w:rFonts w:ascii="Calibri" w:hAnsi="Calibri" w:cs="Calibri"/>
                <w:sz w:val="22"/>
                <w:szCs w:val="22"/>
              </w:rPr>
            </w:pPr>
            <w:r>
              <w:rPr>
                <w:rFonts w:ascii="Calibri" w:hAnsi="Calibri" w:cs="Calibri"/>
                <w:sz w:val="22"/>
                <w:szCs w:val="22"/>
              </w:rPr>
              <w:t xml:space="preserve">Principle 6: A commitment to transparency and accountability. </w:t>
            </w:r>
          </w:p>
        </w:tc>
      </w:tr>
      <w:tr w:rsidR="0033549F" w14:paraId="56EEBE17" w14:textId="77777777" w:rsidTr="005A0887">
        <w:trPr>
          <w:trHeight w:val="300"/>
        </w:trPr>
        <w:tc>
          <w:tcPr>
            <w:tcW w:w="353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EE4FFD" w14:textId="77777777" w:rsidR="0033549F" w:rsidRDefault="0033549F" w:rsidP="005A0887">
            <w:pPr>
              <w:rPr>
                <w:rFonts w:ascii="Calibri" w:hAnsi="Calibri" w:cs="Calibri"/>
                <w:sz w:val="22"/>
                <w:szCs w:val="22"/>
              </w:rPr>
            </w:pPr>
            <w:r>
              <w:rPr>
                <w:rFonts w:ascii="Calibri" w:hAnsi="Calibri" w:cs="Calibri"/>
                <w:sz w:val="22"/>
                <w:szCs w:val="22"/>
              </w:rPr>
              <w:t>9. To improve access to institutional archives, work on decolonising the archives and repatriation efforts, and secure resource for new archives to improve the visibility of anti-racist and reparations work, ensuring that future work evolves in dialogue with what has come before.</w:t>
            </w: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5C7F56E7" w14:textId="77777777" w:rsidR="0033549F" w:rsidRDefault="0033549F" w:rsidP="005A0887">
            <w:pPr>
              <w:rPr>
                <w:rFonts w:ascii="Calibri" w:hAnsi="Calibri" w:cs="Calibri"/>
                <w:sz w:val="22"/>
                <w:szCs w:val="22"/>
              </w:rPr>
            </w:pPr>
            <w:r>
              <w:rPr>
                <w:rFonts w:ascii="Calibri" w:hAnsi="Calibri" w:cs="Calibri"/>
                <w:sz w:val="22"/>
                <w:szCs w:val="22"/>
              </w:rPr>
              <w:t>9.1 P</w:t>
            </w:r>
            <w:r>
              <w:rPr>
                <w:rFonts w:ascii="Calibri" w:eastAsia="Calibri" w:hAnsi="Calibri" w:cs="Calibri"/>
                <w:sz w:val="22"/>
                <w:szCs w:val="22"/>
              </w:rPr>
              <w:t xml:space="preserve">rovide institutional resource (space and funding) for re-cataloguing elements of the Centre for Research Collection’s collection pertaining to colonial histories, such as Palestine and the Anatomical Museum, and inform users about their racial, colonial and imperial underpinnings. This requires hiring at least 2x UE06 Assistant Archivists (for cataloguing) and 1x UE07 Archivist to address long-term under-resourcing in this area. </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C35CC63" w14:textId="77777777" w:rsidR="0033549F" w:rsidRDefault="0033549F" w:rsidP="005A0887">
            <w:pPr>
              <w:rPr>
                <w:rFonts w:ascii="Calibri" w:hAnsi="Calibri" w:cs="Calibri"/>
                <w:sz w:val="22"/>
                <w:szCs w:val="22"/>
              </w:rPr>
            </w:pPr>
            <w:r>
              <w:rPr>
                <w:rFonts w:ascii="Calibri" w:hAnsi="Calibri" w:cs="Calibri"/>
                <w:sz w:val="22"/>
                <w:szCs w:val="22"/>
              </w:rPr>
              <w:t xml:space="preserve">Principle 2: A commitment to mutual benefit, strengthening partnerships and restoring agency through participation.  </w:t>
            </w:r>
          </w:p>
        </w:tc>
      </w:tr>
      <w:tr w:rsidR="0033549F" w14:paraId="210E9F5A" w14:textId="77777777" w:rsidTr="005A0887">
        <w:trPr>
          <w:trHeight w:val="300"/>
        </w:trPr>
        <w:tc>
          <w:tcPr>
            <w:tcW w:w="3539" w:type="dxa"/>
            <w:vMerge/>
            <w:vAlign w:val="center"/>
            <w:hideMark/>
          </w:tcPr>
          <w:p w14:paraId="1FFF672D"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2425F5A0" w14:textId="77777777" w:rsidR="0033549F" w:rsidRDefault="0033549F" w:rsidP="005A0887">
            <w:pPr>
              <w:rPr>
                <w:rFonts w:ascii="Calibri" w:eastAsia="Calibri" w:hAnsi="Calibri" w:cs="Calibri"/>
                <w:sz w:val="22"/>
                <w:szCs w:val="22"/>
              </w:rPr>
            </w:pPr>
            <w:r>
              <w:rPr>
                <w:rFonts w:ascii="Calibri" w:eastAsia="Calibri" w:hAnsi="Calibri" w:cs="Calibri"/>
                <w:sz w:val="22"/>
                <w:szCs w:val="22"/>
              </w:rPr>
              <w:t>9.2 Support a digitisation project to make archives linked to colonialism, enslavement and the development of racial thought more accessible to students, researchers and external communities/users. This would be a rolling commitment to increase the amount of staffing in the digitisation team to match the throughput of metadata created by the Archives Team (UE05 x 2 photographers/processors).</w:t>
            </w:r>
          </w:p>
        </w:tc>
        <w:tc>
          <w:tcPr>
            <w:tcW w:w="4678" w:type="dxa"/>
            <w:vMerge/>
            <w:vAlign w:val="center"/>
            <w:hideMark/>
          </w:tcPr>
          <w:p w14:paraId="5F4CD184" w14:textId="77777777" w:rsidR="0033549F" w:rsidRDefault="0033549F" w:rsidP="005A0887">
            <w:pPr>
              <w:rPr>
                <w:rFonts w:ascii="Calibri" w:hAnsi="Calibri" w:cs="Calibri"/>
                <w:sz w:val="22"/>
                <w:szCs w:val="22"/>
                <w:lang w:eastAsia="en-US"/>
              </w:rPr>
            </w:pPr>
          </w:p>
        </w:tc>
      </w:tr>
      <w:tr w:rsidR="0033549F" w14:paraId="41F4FD43" w14:textId="77777777" w:rsidTr="005A0887">
        <w:trPr>
          <w:trHeight w:val="300"/>
        </w:trPr>
        <w:tc>
          <w:tcPr>
            <w:tcW w:w="3539" w:type="dxa"/>
            <w:vMerge/>
            <w:vAlign w:val="center"/>
            <w:hideMark/>
          </w:tcPr>
          <w:p w14:paraId="490416D6"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3CECF319" w14:textId="77777777" w:rsidR="0033549F" w:rsidRDefault="0033549F" w:rsidP="005A0887">
            <w:pPr>
              <w:rPr>
                <w:rFonts w:ascii="Calibri" w:hAnsi="Calibri" w:cs="Calibri"/>
                <w:sz w:val="22"/>
                <w:szCs w:val="22"/>
              </w:rPr>
            </w:pPr>
            <w:r>
              <w:rPr>
                <w:rFonts w:ascii="Calibri" w:hAnsi="Calibri" w:cs="Calibri"/>
                <w:sz w:val="22"/>
                <w:szCs w:val="22"/>
              </w:rPr>
              <w:t>9.3 Set up a digitisation project to improve access to Edinburgh’s Black Liberation archives, piloting a ‘Pan-African Living Archive’ project. This would be a short three- to five-year project requiring a UE06 Assistant Archivist</w:t>
            </w:r>
            <w:r>
              <w:rPr>
                <w:rFonts w:ascii="Calibri" w:hAnsi="Calibri" w:cs="Calibri"/>
                <w:color w:val="212121"/>
                <w:sz w:val="22"/>
                <w:szCs w:val="22"/>
              </w:rPr>
              <w:t>, 2x UE05 digitisation officers and a UE04 digitisation quality control person</w:t>
            </w:r>
            <w:r>
              <w:rPr>
                <w:rFonts w:ascii="Calibri" w:hAnsi="Calibri" w:cs="Calibri"/>
                <w:sz w:val="22"/>
                <w:szCs w:val="22"/>
              </w:rPr>
              <w:t>.</w:t>
            </w:r>
          </w:p>
        </w:tc>
        <w:tc>
          <w:tcPr>
            <w:tcW w:w="4678" w:type="dxa"/>
            <w:vMerge w:val="restart"/>
            <w:tcBorders>
              <w:top w:val="single" w:sz="4" w:space="0" w:color="auto"/>
              <w:left w:val="single" w:sz="4" w:space="0" w:color="auto"/>
              <w:bottom w:val="single" w:sz="4" w:space="0" w:color="auto"/>
              <w:right w:val="single" w:sz="4" w:space="0" w:color="auto"/>
            </w:tcBorders>
            <w:shd w:val="clear" w:color="auto" w:fill="auto"/>
          </w:tcPr>
          <w:p w14:paraId="6936DA60" w14:textId="77777777" w:rsidR="0033549F" w:rsidRDefault="0033549F" w:rsidP="005A0887">
            <w:pPr>
              <w:rPr>
                <w:rFonts w:ascii="Calibri" w:hAnsi="Calibri" w:cs="Calibri"/>
                <w:sz w:val="22"/>
                <w:szCs w:val="22"/>
              </w:rPr>
            </w:pPr>
            <w:r>
              <w:rPr>
                <w:rFonts w:ascii="Calibri" w:hAnsi="Calibri" w:cs="Calibri"/>
                <w:sz w:val="22"/>
                <w:szCs w:val="22"/>
              </w:rPr>
              <w:t xml:space="preserve">Principle 1: A commitment to recognising historical and contemporary struggles for social and reparatory justice. </w:t>
            </w:r>
          </w:p>
          <w:p w14:paraId="78647BF9" w14:textId="77777777" w:rsidR="0033549F" w:rsidRDefault="0033549F" w:rsidP="005A0887">
            <w:pPr>
              <w:rPr>
                <w:rFonts w:ascii="Calibri" w:hAnsi="Calibri" w:cs="Calibri"/>
                <w:sz w:val="22"/>
                <w:szCs w:val="22"/>
              </w:rPr>
            </w:pPr>
          </w:p>
        </w:tc>
      </w:tr>
      <w:tr w:rsidR="0033549F" w14:paraId="5D0D2ACE" w14:textId="77777777" w:rsidTr="005A0887">
        <w:trPr>
          <w:trHeight w:val="300"/>
        </w:trPr>
        <w:tc>
          <w:tcPr>
            <w:tcW w:w="3539" w:type="dxa"/>
            <w:vMerge/>
            <w:vAlign w:val="center"/>
            <w:hideMark/>
          </w:tcPr>
          <w:p w14:paraId="6EA4CC47"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433DB0EF" w14:textId="77777777" w:rsidR="0033549F" w:rsidRDefault="0033549F" w:rsidP="005A0887">
            <w:pPr>
              <w:rPr>
                <w:rFonts w:ascii="Calibri" w:eastAsia="Calibri" w:hAnsi="Calibri" w:cs="Calibri"/>
                <w:sz w:val="22"/>
                <w:szCs w:val="22"/>
              </w:rPr>
            </w:pPr>
            <w:r>
              <w:rPr>
                <w:rFonts w:ascii="Calibri" w:eastAsia="Calibri" w:hAnsi="Calibri" w:cs="Calibri"/>
                <w:sz w:val="22"/>
                <w:szCs w:val="22"/>
              </w:rPr>
              <w:t xml:space="preserve">9.4 </w:t>
            </w:r>
            <w:r>
              <w:rPr>
                <w:rFonts w:ascii="Calibri" w:hAnsi="Calibri" w:cs="Calibri"/>
                <w:sz w:val="22"/>
                <w:szCs w:val="22"/>
              </w:rPr>
              <w:t>Assist external community members with accessing institutional archives as part of the role of the Community Archivist/</w:t>
            </w:r>
            <w:r w:rsidRPr="008F13D6">
              <w:rPr>
                <w:rFonts w:ascii="Calibri" w:hAnsi="Calibri" w:cs="Calibri"/>
                <w:sz w:val="22"/>
                <w:szCs w:val="22"/>
              </w:rPr>
              <w:t>Curator and s</w:t>
            </w:r>
            <w:r w:rsidRPr="008F13D6">
              <w:rPr>
                <w:rFonts w:ascii="Calibri" w:eastAsia="Times New Roman" w:hAnsi="Calibri" w:cs="Calibri"/>
                <w:sz w:val="22"/>
                <w:szCs w:val="22"/>
                <w:lang w:eastAsia="en-GB"/>
              </w:rPr>
              <w:t>upport the engagement and facilitation of archival training by and for racially minoritised communities</w:t>
            </w:r>
            <w:r>
              <w:rPr>
                <w:rFonts w:ascii="Calibri" w:eastAsia="Times New Roman" w:hAnsi="Calibri" w:cs="Calibri"/>
                <w:sz w:val="22"/>
                <w:szCs w:val="22"/>
                <w:lang w:eastAsia="en-GB"/>
              </w:rPr>
              <w:t>.</w:t>
            </w:r>
          </w:p>
        </w:tc>
        <w:tc>
          <w:tcPr>
            <w:tcW w:w="4678" w:type="dxa"/>
            <w:vMerge/>
            <w:vAlign w:val="center"/>
            <w:hideMark/>
          </w:tcPr>
          <w:p w14:paraId="30B9A574" w14:textId="77777777" w:rsidR="0033549F" w:rsidRDefault="0033549F" w:rsidP="005A0887">
            <w:pPr>
              <w:rPr>
                <w:rFonts w:ascii="Calibri" w:hAnsi="Calibri" w:cs="Calibri"/>
                <w:sz w:val="22"/>
                <w:szCs w:val="22"/>
                <w:lang w:eastAsia="en-US"/>
              </w:rPr>
            </w:pPr>
          </w:p>
        </w:tc>
      </w:tr>
      <w:tr w:rsidR="0033549F" w14:paraId="49D69EEA" w14:textId="77777777" w:rsidTr="005A0887">
        <w:trPr>
          <w:trHeight w:val="300"/>
        </w:trPr>
        <w:tc>
          <w:tcPr>
            <w:tcW w:w="3539" w:type="dxa"/>
            <w:vMerge/>
            <w:vAlign w:val="center"/>
            <w:hideMark/>
          </w:tcPr>
          <w:p w14:paraId="5D300E9B" w14:textId="77777777" w:rsidR="0033549F" w:rsidRDefault="0033549F" w:rsidP="005A0887">
            <w:pPr>
              <w:rPr>
                <w:rFonts w:ascii="Calibri" w:hAnsi="Calibri" w:cs="Calibri"/>
                <w:sz w:val="22"/>
                <w:szCs w:val="22"/>
                <w:lang w:eastAsia="en-US"/>
              </w:rPr>
            </w:pPr>
          </w:p>
        </w:tc>
        <w:tc>
          <w:tcPr>
            <w:tcW w:w="6095" w:type="dxa"/>
            <w:tcBorders>
              <w:top w:val="single" w:sz="4" w:space="0" w:color="auto"/>
              <w:left w:val="single" w:sz="4" w:space="0" w:color="auto"/>
              <w:bottom w:val="single" w:sz="4" w:space="0" w:color="auto"/>
              <w:right w:val="single" w:sz="4" w:space="0" w:color="auto"/>
            </w:tcBorders>
            <w:shd w:val="clear" w:color="auto" w:fill="auto"/>
            <w:hideMark/>
          </w:tcPr>
          <w:p w14:paraId="17AD2E1F" w14:textId="77777777" w:rsidR="0033549F" w:rsidRDefault="0033549F" w:rsidP="005A0887">
            <w:pPr>
              <w:rPr>
                <w:rFonts w:ascii="Calibri" w:hAnsi="Calibri" w:cs="Calibri"/>
                <w:sz w:val="22"/>
                <w:szCs w:val="22"/>
              </w:rPr>
            </w:pPr>
            <w:r>
              <w:rPr>
                <w:rFonts w:ascii="Calibri" w:hAnsi="Calibri" w:cs="Calibri"/>
                <w:sz w:val="22"/>
                <w:szCs w:val="22"/>
              </w:rPr>
              <w:t xml:space="preserve">9.5 Explore the possibility and resources needed to create new (community-based) archives that record activism on reparations, </w:t>
            </w:r>
            <w:r>
              <w:rPr>
                <w:rFonts w:ascii="Calibri" w:hAnsi="Calibri" w:cs="Calibri"/>
                <w:sz w:val="22"/>
                <w:szCs w:val="22"/>
              </w:rPr>
              <w:lastRenderedPageBreak/>
              <w:t>decolonisation and anti-racism, from the perspective of activists, as part of the role of the Centre’s Community Archivist/Curator, in collaboration with external communities and the CRC’s digitisation team.</w:t>
            </w:r>
          </w:p>
        </w:tc>
        <w:tc>
          <w:tcPr>
            <w:tcW w:w="4678" w:type="dxa"/>
            <w:vMerge/>
            <w:vAlign w:val="center"/>
            <w:hideMark/>
          </w:tcPr>
          <w:p w14:paraId="69CF1E9F" w14:textId="77777777" w:rsidR="0033549F" w:rsidRDefault="0033549F" w:rsidP="005A0887">
            <w:pPr>
              <w:rPr>
                <w:rFonts w:ascii="Calibri" w:hAnsi="Calibri" w:cs="Calibri"/>
                <w:sz w:val="22"/>
                <w:szCs w:val="22"/>
                <w:lang w:eastAsia="en-US"/>
              </w:rPr>
            </w:pPr>
          </w:p>
        </w:tc>
      </w:tr>
      <w:tr w:rsidR="0033549F" w14:paraId="736428F8" w14:textId="77777777" w:rsidTr="005A0887">
        <w:trPr>
          <w:trHeight w:val="300"/>
        </w:trPr>
        <w:tc>
          <w:tcPr>
            <w:tcW w:w="3539" w:type="dxa"/>
            <w:vMerge/>
            <w:vAlign w:val="center"/>
          </w:tcPr>
          <w:p w14:paraId="499B5917" w14:textId="77777777" w:rsidR="0033549F" w:rsidRDefault="0033549F" w:rsidP="005A0887">
            <w:pPr>
              <w:rPr>
                <w:rFonts w:ascii="Calibri" w:hAnsi="Calibri" w:cs="Calibri"/>
                <w:sz w:val="22"/>
                <w:szCs w:val="22"/>
              </w:rPr>
            </w:pPr>
          </w:p>
        </w:tc>
        <w:tc>
          <w:tcPr>
            <w:tcW w:w="6095" w:type="dxa"/>
            <w:vMerge w:val="restart"/>
            <w:tcBorders>
              <w:top w:val="single" w:sz="4" w:space="0" w:color="auto"/>
              <w:left w:val="single" w:sz="4" w:space="0" w:color="auto"/>
              <w:right w:val="single" w:sz="4" w:space="0" w:color="auto"/>
            </w:tcBorders>
            <w:shd w:val="clear" w:color="auto" w:fill="auto"/>
          </w:tcPr>
          <w:p w14:paraId="67B59847" w14:textId="77777777" w:rsidR="0033549F" w:rsidRDefault="0033549F" w:rsidP="005A0887">
            <w:pPr>
              <w:rPr>
                <w:rFonts w:ascii="Calibri" w:hAnsi="Calibri" w:cs="Calibri"/>
                <w:sz w:val="22"/>
                <w:szCs w:val="22"/>
              </w:rPr>
            </w:pPr>
            <w:r>
              <w:rPr>
                <w:rFonts w:ascii="Calibri" w:hAnsi="Calibri" w:cs="Calibri"/>
                <w:sz w:val="22"/>
                <w:szCs w:val="22"/>
              </w:rPr>
              <w:t>9.6 Support the repatriation of ancestral remains to their original communities from the Anatomical Museum, with recommendations including:</w:t>
            </w:r>
          </w:p>
          <w:p w14:paraId="3C9FBC3A" w14:textId="77777777" w:rsidR="0033549F" w:rsidRDefault="0033549F" w:rsidP="0033549F">
            <w:pPr>
              <w:pStyle w:val="ListParagraph"/>
              <w:numPr>
                <w:ilvl w:val="0"/>
                <w:numId w:val="34"/>
              </w:numPr>
              <w:rPr>
                <w:rFonts w:ascii="Calibri" w:hAnsi="Calibri" w:cs="Calibri"/>
                <w:sz w:val="22"/>
                <w:szCs w:val="22"/>
              </w:rPr>
            </w:pPr>
            <w:r>
              <w:rPr>
                <w:rFonts w:ascii="Calibri" w:hAnsi="Calibri" w:cs="Calibri"/>
                <w:sz w:val="22"/>
                <w:szCs w:val="22"/>
              </w:rPr>
              <w:t>Clearer information online about the process of repatriation and who to contact.</w:t>
            </w:r>
          </w:p>
          <w:p w14:paraId="5704CE24" w14:textId="77777777" w:rsidR="0033549F" w:rsidRDefault="0033549F" w:rsidP="0033549F">
            <w:pPr>
              <w:pStyle w:val="ListParagraph"/>
              <w:numPr>
                <w:ilvl w:val="0"/>
                <w:numId w:val="34"/>
              </w:numPr>
              <w:rPr>
                <w:rFonts w:ascii="Calibri" w:hAnsi="Calibri" w:cs="Calibri"/>
                <w:sz w:val="22"/>
                <w:szCs w:val="22"/>
              </w:rPr>
            </w:pPr>
            <w:r>
              <w:rPr>
                <w:rFonts w:ascii="Calibri" w:hAnsi="Calibri" w:cs="Calibri"/>
                <w:sz w:val="22"/>
                <w:szCs w:val="22"/>
              </w:rPr>
              <w:t xml:space="preserve">Clearer narratives about existing repatriation efforts. </w:t>
            </w:r>
          </w:p>
          <w:p w14:paraId="6E652972" w14:textId="77777777" w:rsidR="0033549F" w:rsidRDefault="0033549F" w:rsidP="0033549F">
            <w:pPr>
              <w:pStyle w:val="ListParagraph"/>
              <w:numPr>
                <w:ilvl w:val="0"/>
                <w:numId w:val="34"/>
              </w:numPr>
              <w:rPr>
                <w:rFonts w:ascii="Calibri" w:hAnsi="Calibri" w:cs="Calibri"/>
                <w:sz w:val="22"/>
                <w:szCs w:val="22"/>
              </w:rPr>
            </w:pPr>
            <w:r>
              <w:rPr>
                <w:rFonts w:ascii="Calibri" w:hAnsi="Calibri" w:cs="Calibri"/>
                <w:sz w:val="22"/>
                <w:szCs w:val="22"/>
              </w:rPr>
              <w:t>Ringfencing money for descendant communities to visit their ancestors and build relations with Anatomical Museum staff.</w:t>
            </w:r>
          </w:p>
          <w:p w14:paraId="39F3E99C" w14:textId="77777777" w:rsidR="0033549F" w:rsidRDefault="0033549F" w:rsidP="0033549F">
            <w:pPr>
              <w:pStyle w:val="ListParagraph"/>
              <w:numPr>
                <w:ilvl w:val="0"/>
                <w:numId w:val="34"/>
              </w:numPr>
              <w:rPr>
                <w:rFonts w:ascii="Calibri" w:hAnsi="Calibri" w:cs="Calibri"/>
                <w:sz w:val="22"/>
                <w:szCs w:val="22"/>
              </w:rPr>
            </w:pPr>
            <w:r>
              <w:rPr>
                <w:rFonts w:ascii="Calibri" w:hAnsi="Calibri" w:cs="Calibri"/>
                <w:sz w:val="22"/>
                <w:szCs w:val="22"/>
              </w:rPr>
              <w:t xml:space="preserve">Creating funded PhD programmes to support provenance research. </w:t>
            </w:r>
          </w:p>
          <w:p w14:paraId="5D55CE6D" w14:textId="77777777" w:rsidR="0033549F" w:rsidRDefault="0033549F" w:rsidP="0033549F">
            <w:pPr>
              <w:pStyle w:val="ListParagraph"/>
              <w:numPr>
                <w:ilvl w:val="0"/>
                <w:numId w:val="34"/>
              </w:numPr>
              <w:rPr>
                <w:rFonts w:ascii="Calibri" w:hAnsi="Calibri" w:cs="Calibri"/>
                <w:sz w:val="22"/>
                <w:szCs w:val="22"/>
              </w:rPr>
            </w:pPr>
            <w:r>
              <w:rPr>
                <w:rFonts w:ascii="Calibri" w:hAnsi="Calibri" w:cs="Calibri"/>
                <w:sz w:val="22"/>
                <w:szCs w:val="22"/>
              </w:rPr>
              <w:t xml:space="preserve">Establishing advisory boards linked to specific geographical areas. </w:t>
            </w:r>
          </w:p>
          <w:p w14:paraId="3FDD13C0" w14:textId="77777777" w:rsidR="0033549F" w:rsidRDefault="0033549F" w:rsidP="0033549F">
            <w:pPr>
              <w:pStyle w:val="ListParagraph"/>
              <w:numPr>
                <w:ilvl w:val="0"/>
                <w:numId w:val="34"/>
              </w:numPr>
              <w:rPr>
                <w:rFonts w:ascii="Calibri" w:hAnsi="Calibri" w:cs="Calibri"/>
                <w:sz w:val="22"/>
                <w:szCs w:val="22"/>
              </w:rPr>
            </w:pPr>
            <w:r>
              <w:rPr>
                <w:rFonts w:ascii="Calibri" w:hAnsi="Calibri" w:cs="Calibri"/>
                <w:sz w:val="22"/>
                <w:szCs w:val="22"/>
              </w:rPr>
              <w:t xml:space="preserve">Creating an accessible and searchable digital catalogue to assist descendant communities with finding their ancestors without reproducing colonial violence. </w:t>
            </w:r>
          </w:p>
          <w:p w14:paraId="1F4B72A9" w14:textId="77777777" w:rsidR="0033549F" w:rsidRDefault="0033549F" w:rsidP="0033549F">
            <w:pPr>
              <w:pStyle w:val="ListParagraph"/>
              <w:numPr>
                <w:ilvl w:val="0"/>
                <w:numId w:val="34"/>
              </w:numPr>
              <w:rPr>
                <w:rFonts w:ascii="Calibri" w:hAnsi="Calibri" w:cs="Calibri"/>
                <w:sz w:val="22"/>
                <w:szCs w:val="22"/>
              </w:rPr>
            </w:pPr>
            <w:r>
              <w:rPr>
                <w:rFonts w:ascii="Calibri" w:eastAsia="Calibri" w:hAnsi="Calibri" w:cs="Calibri"/>
                <w:sz w:val="22"/>
                <w:szCs w:val="22"/>
              </w:rPr>
              <w:t xml:space="preserve">Hiring a dedicated provenance researcher (1.0FTE UE07) who will work on creating a database and be the lead on </w:t>
            </w:r>
            <w:r w:rsidRPr="00F06F1B">
              <w:rPr>
                <w:rFonts w:ascii="Calibri" w:eastAsia="Calibri" w:hAnsi="Calibri" w:cs="Calibri"/>
                <w:sz w:val="22"/>
                <w:szCs w:val="22"/>
              </w:rPr>
              <w:t>Anatom</w:t>
            </w:r>
            <w:r>
              <w:rPr>
                <w:rFonts w:ascii="Calibri" w:eastAsia="Calibri" w:hAnsi="Calibri" w:cs="Calibri"/>
                <w:sz w:val="22"/>
                <w:szCs w:val="22"/>
              </w:rPr>
              <w:t>ical/School of Medicine archives and provenance research to support repatriation claims.</w:t>
            </w:r>
          </w:p>
        </w:tc>
        <w:tc>
          <w:tcPr>
            <w:tcW w:w="4678" w:type="dxa"/>
            <w:shd w:val="clear" w:color="auto" w:fill="auto"/>
          </w:tcPr>
          <w:p w14:paraId="2C7A82EE" w14:textId="77777777" w:rsidR="0033549F" w:rsidRDefault="0033549F" w:rsidP="005A0887">
            <w:pPr>
              <w:rPr>
                <w:rFonts w:ascii="Calibri" w:hAnsi="Calibri" w:cs="Calibri"/>
                <w:sz w:val="22"/>
                <w:szCs w:val="22"/>
              </w:rPr>
            </w:pPr>
            <w:r>
              <w:rPr>
                <w:rFonts w:ascii="Calibri" w:hAnsi="Calibri" w:cs="Calibri"/>
                <w:sz w:val="22"/>
                <w:szCs w:val="22"/>
              </w:rPr>
              <w:t xml:space="preserve">Principle 1: A commitment to recognising historical and contemporary struggles for social and reparatory justice. </w:t>
            </w:r>
          </w:p>
          <w:p w14:paraId="72FDAD83" w14:textId="77777777" w:rsidR="0033549F" w:rsidRDefault="0033549F" w:rsidP="005A0887">
            <w:pPr>
              <w:rPr>
                <w:rFonts w:ascii="Calibri" w:hAnsi="Calibri" w:cs="Calibri"/>
                <w:sz w:val="22"/>
                <w:szCs w:val="22"/>
              </w:rPr>
            </w:pPr>
          </w:p>
          <w:p w14:paraId="08F67E9E" w14:textId="77777777" w:rsidR="0033549F" w:rsidRDefault="0033549F" w:rsidP="005A0887">
            <w:pPr>
              <w:rPr>
                <w:rFonts w:ascii="Calibri" w:hAnsi="Calibri" w:cs="Calibri"/>
                <w:sz w:val="22"/>
                <w:szCs w:val="22"/>
              </w:rPr>
            </w:pPr>
            <w:r>
              <w:rPr>
                <w:rFonts w:ascii="Calibri" w:hAnsi="Calibri" w:cs="Calibri"/>
                <w:sz w:val="22"/>
                <w:szCs w:val="22"/>
              </w:rPr>
              <w:t xml:space="preserve">Principle 2: A commitment to mutual benefit, strengthening partnerships and restoring agency through participation. </w:t>
            </w:r>
          </w:p>
        </w:tc>
      </w:tr>
      <w:tr w:rsidR="0033549F" w14:paraId="02E08DB1" w14:textId="77777777" w:rsidTr="005A0887">
        <w:trPr>
          <w:trHeight w:val="558"/>
        </w:trPr>
        <w:tc>
          <w:tcPr>
            <w:tcW w:w="3539" w:type="dxa"/>
            <w:vMerge/>
            <w:vAlign w:val="center"/>
            <w:hideMark/>
          </w:tcPr>
          <w:p w14:paraId="6484AD6C" w14:textId="77777777" w:rsidR="0033549F" w:rsidRDefault="0033549F" w:rsidP="005A0887">
            <w:pPr>
              <w:rPr>
                <w:rFonts w:ascii="Calibri" w:hAnsi="Calibri" w:cs="Calibri"/>
                <w:sz w:val="22"/>
                <w:szCs w:val="22"/>
                <w:lang w:eastAsia="en-US"/>
              </w:rPr>
            </w:pPr>
          </w:p>
        </w:tc>
        <w:tc>
          <w:tcPr>
            <w:tcW w:w="6095" w:type="dxa"/>
            <w:vMerge/>
          </w:tcPr>
          <w:p w14:paraId="50FE07D6" w14:textId="77777777" w:rsidR="0033549F" w:rsidRDefault="0033549F" w:rsidP="005A0887">
            <w:pPr>
              <w:rPr>
                <w:rFonts w:ascii="Calibri" w:eastAsia="Calibri" w:hAnsi="Calibri" w:cs="Calibri"/>
                <w:sz w:val="22"/>
                <w:szCs w:val="22"/>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3C7F8365" w14:textId="77777777" w:rsidR="0033549F" w:rsidRDefault="0033549F" w:rsidP="005A0887">
            <w:pPr>
              <w:rPr>
                <w:rFonts w:ascii="Calibri" w:hAnsi="Calibri" w:cs="Calibri"/>
                <w:sz w:val="22"/>
                <w:szCs w:val="22"/>
              </w:rPr>
            </w:pPr>
          </w:p>
        </w:tc>
      </w:tr>
    </w:tbl>
    <w:p w14:paraId="04BA8223" w14:textId="51E8D7FB" w:rsidR="0033549F" w:rsidRDefault="0033549F" w:rsidP="007E3F70">
      <w:pPr>
        <w:spacing w:line="259" w:lineRule="auto"/>
        <w:jc w:val="both"/>
        <w:rPr>
          <w:rFonts w:ascii="Calibri" w:hAnsi="Calibri" w:cs="Calibri"/>
          <w:color w:val="000000" w:themeColor="text1"/>
        </w:rPr>
        <w:sectPr w:rsidR="0033549F" w:rsidSect="00EC6D9F">
          <w:endnotePr>
            <w:numFmt w:val="decimal"/>
          </w:endnotePr>
          <w:pgSz w:w="16840" w:h="11900" w:orient="landscape"/>
          <w:pgMar w:top="1440" w:right="1440" w:bottom="1440" w:left="1440" w:header="720" w:footer="720" w:gutter="0"/>
          <w:cols w:space="720"/>
          <w:titlePg/>
          <w:docGrid w:linePitch="360"/>
        </w:sectPr>
      </w:pPr>
    </w:p>
    <w:p w14:paraId="658CDAEE" w14:textId="77777777" w:rsidR="00E35550" w:rsidRDefault="00E35550" w:rsidP="007E3F70">
      <w:pPr>
        <w:spacing w:line="259" w:lineRule="auto"/>
        <w:jc w:val="both"/>
        <w:rPr>
          <w:rFonts w:ascii="Calibri" w:hAnsi="Calibri" w:cs="Calibri"/>
          <w:color w:val="000000" w:themeColor="text1"/>
        </w:rPr>
      </w:pPr>
    </w:p>
    <w:p w14:paraId="38439E61" w14:textId="46A93CC3" w:rsidR="00773F7C" w:rsidRDefault="00F91E9E" w:rsidP="00E652E0">
      <w:pPr>
        <w:pStyle w:val="Heading1"/>
      </w:pPr>
      <w:bookmarkStart w:id="120" w:name="_Toc190939442"/>
      <w:bookmarkStart w:id="121" w:name="_Toc202627125"/>
      <w:r>
        <w:t>Bibliography</w:t>
      </w:r>
      <w:bookmarkEnd w:id="120"/>
      <w:bookmarkEnd w:id="121"/>
    </w:p>
    <w:p w14:paraId="0F1C3D28" w14:textId="77777777" w:rsidR="00F91E9E" w:rsidRDefault="00F91E9E" w:rsidP="007E3F70">
      <w:pPr>
        <w:spacing w:line="259" w:lineRule="auto"/>
        <w:jc w:val="both"/>
        <w:rPr>
          <w:rFonts w:ascii="Calibri" w:hAnsi="Calibri" w:cs="Calibri"/>
          <w:color w:val="000000" w:themeColor="text1"/>
        </w:rPr>
      </w:pPr>
    </w:p>
    <w:p w14:paraId="7ED6AA9B"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‘A Skull Collection Revisited: From Colonial Resistance to Repatriation’, https://exhibitions.ed.ac.uk/exhibitions/mind-shift/colonial-resistance-to-repatriation.</w:t>
      </w:r>
    </w:p>
    <w:p w14:paraId="0C5BF28D"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Abdo-Zubi, Nahla and Nur Masalha (editors), </w:t>
      </w:r>
      <w:r w:rsidRPr="009E1F40">
        <w:rPr>
          <w:rFonts w:cs="Calibri"/>
          <w:i/>
          <w:iCs/>
          <w:sz w:val="22"/>
          <w:szCs w:val="22"/>
        </w:rPr>
        <w:t>An Oral History of the Palestinian Nakba</w:t>
      </w:r>
      <w:r w:rsidRPr="009E1F40">
        <w:rPr>
          <w:rFonts w:cs="Calibri"/>
          <w:sz w:val="22"/>
          <w:szCs w:val="22"/>
        </w:rPr>
        <w:t xml:space="preserve"> (Chicago: University of Chicago Press, 2018).</w:t>
      </w:r>
    </w:p>
    <w:p w14:paraId="3E74B076" w14:textId="77777777" w:rsidR="00F91E9E" w:rsidRPr="009E1F40" w:rsidRDefault="00F91E9E" w:rsidP="00057638">
      <w:pPr>
        <w:pStyle w:val="FootnoteText"/>
        <w:spacing w:line="259" w:lineRule="auto"/>
        <w:ind w:left="720" w:hanging="720"/>
        <w:jc w:val="left"/>
        <w:rPr>
          <w:rFonts w:eastAsia="Calibri" w:cs="Calibri"/>
          <w:sz w:val="22"/>
          <w:szCs w:val="22"/>
        </w:rPr>
      </w:pPr>
      <w:r w:rsidRPr="009E1F40">
        <w:rPr>
          <w:rFonts w:eastAsia="Calibri" w:cs="Calibri"/>
          <w:sz w:val="22"/>
          <w:szCs w:val="22"/>
        </w:rPr>
        <w:t>Adams, Michael, ‘What Went Wrong in Palestine?’,</w:t>
      </w:r>
      <w:r w:rsidRPr="009E1F40">
        <w:rPr>
          <w:rFonts w:eastAsia="Calibri" w:cs="Calibri"/>
          <w:i/>
          <w:iCs/>
          <w:sz w:val="22"/>
          <w:szCs w:val="22"/>
        </w:rPr>
        <w:t xml:space="preserve"> Journal of Palestine Studies</w:t>
      </w:r>
      <w:r w:rsidRPr="009E1F40">
        <w:rPr>
          <w:rFonts w:eastAsia="Calibri" w:cs="Calibri"/>
          <w:sz w:val="22"/>
          <w:szCs w:val="22"/>
        </w:rPr>
        <w:t xml:space="preserve">, 18 (1988), 71–82. </w:t>
      </w:r>
    </w:p>
    <w:p w14:paraId="1DA28346"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Adeate, Tosin and Anusharani Sewchurran, ‘African Epistemologies and the Decolonial Curriculum’, </w:t>
      </w:r>
      <w:r w:rsidRPr="009E1F40">
        <w:rPr>
          <w:rFonts w:cs="Calibri"/>
          <w:i/>
          <w:iCs/>
          <w:sz w:val="22"/>
          <w:szCs w:val="22"/>
        </w:rPr>
        <w:t>Acta Academica Critical Views on Society Culture and Politics</w:t>
      </w:r>
      <w:r w:rsidRPr="009E1F40">
        <w:rPr>
          <w:rFonts w:cs="Calibri"/>
          <w:sz w:val="22"/>
          <w:szCs w:val="22"/>
        </w:rPr>
        <w:t xml:space="preserve">, 55 (2023), 1–18. </w:t>
      </w:r>
    </w:p>
    <w:p w14:paraId="7E92D730" w14:textId="1AE13E8B" w:rsidR="00F91E9E" w:rsidRPr="009E1F40" w:rsidRDefault="00F91E9E" w:rsidP="00057638">
      <w:pPr>
        <w:pStyle w:val="FootnoteText"/>
        <w:spacing w:line="259" w:lineRule="auto"/>
        <w:ind w:left="720" w:hanging="720"/>
        <w:jc w:val="left"/>
        <w:rPr>
          <w:rFonts w:cs="Calibri"/>
          <w:sz w:val="22"/>
          <w:szCs w:val="22"/>
        </w:rPr>
      </w:pPr>
      <w:r w:rsidRPr="06D755CD">
        <w:rPr>
          <w:rFonts w:cs="Calibri"/>
          <w:sz w:val="22"/>
          <w:szCs w:val="22"/>
        </w:rPr>
        <w:t xml:space="preserve">Advisory Group, ‘Legacies of Enslavement: Final Report’, University of Cambridge (2022), </w:t>
      </w:r>
      <w:hyperlink r:id="rId166">
        <w:r w:rsidRPr="06D755CD">
          <w:rPr>
            <w:rStyle w:val="Hyperlink"/>
            <w:rFonts w:cs="Calibri"/>
            <w:sz w:val="22"/>
            <w:szCs w:val="22"/>
          </w:rPr>
          <w:t>https://www.cam.ac.uk/about-the-university/advisory-group-on-legacies-of-enslavement-final-report</w:t>
        </w:r>
      </w:hyperlink>
      <w:r w:rsidRPr="06D755CD">
        <w:rPr>
          <w:rFonts w:cs="Calibri"/>
          <w:sz w:val="22"/>
          <w:szCs w:val="22"/>
        </w:rPr>
        <w:t xml:space="preserve">. </w:t>
      </w:r>
    </w:p>
    <w:p w14:paraId="62564692" w14:textId="040D917C" w:rsidR="00F91E9E" w:rsidRPr="009E1F40" w:rsidRDefault="00F91E9E" w:rsidP="00057638">
      <w:pPr>
        <w:pStyle w:val="FootnoteText"/>
        <w:spacing w:line="259" w:lineRule="auto"/>
        <w:ind w:left="720" w:hanging="720"/>
        <w:jc w:val="left"/>
        <w:rPr>
          <w:rFonts w:cs="Calibri"/>
          <w:sz w:val="22"/>
          <w:szCs w:val="22"/>
          <w:shd w:val="clear" w:color="auto" w:fill="FFFFFF"/>
        </w:rPr>
      </w:pPr>
      <w:r w:rsidRPr="009E1F40">
        <w:rPr>
          <w:rFonts w:cs="Calibri"/>
          <w:sz w:val="22"/>
          <w:szCs w:val="22"/>
          <w:shd w:val="clear" w:color="auto" w:fill="FFFFFF"/>
        </w:rPr>
        <w:t>Alexander,</w:t>
      </w:r>
      <w:r w:rsidRPr="009E1F40">
        <w:rPr>
          <w:rFonts w:cs="Calibri"/>
          <w:sz w:val="22"/>
          <w:szCs w:val="22"/>
        </w:rPr>
        <w:t xml:space="preserve"> Claire</w:t>
      </w:r>
      <w:r w:rsidRPr="009E1F40">
        <w:rPr>
          <w:rFonts w:cs="Calibri"/>
          <w:sz w:val="22"/>
          <w:szCs w:val="22"/>
          <w:shd w:val="clear" w:color="auto" w:fill="FFFFFF"/>
        </w:rPr>
        <w:t xml:space="preserve"> and William Shankley, ‘Ethnic Inequalities in the State Education System in England’, in </w:t>
      </w:r>
      <w:r w:rsidRPr="009E1F40">
        <w:rPr>
          <w:rStyle w:val="Emphasis"/>
          <w:rFonts w:cs="Calibri"/>
          <w:sz w:val="22"/>
          <w:szCs w:val="22"/>
          <w:shd w:val="clear" w:color="auto" w:fill="FFFFFF"/>
        </w:rPr>
        <w:t>Ethnicity, Race and Inequality in the UK: State of the Nation</w:t>
      </w:r>
      <w:r w:rsidRPr="009E1F40">
        <w:rPr>
          <w:rStyle w:val="Emphasis"/>
          <w:rFonts w:cs="Calibri"/>
          <w:i w:val="0"/>
          <w:iCs w:val="0"/>
          <w:sz w:val="22"/>
          <w:szCs w:val="22"/>
          <w:shd w:val="clear" w:color="auto" w:fill="FFFFFF"/>
        </w:rPr>
        <w:t>, ed. by</w:t>
      </w:r>
      <w:r w:rsidRPr="009E1F40">
        <w:rPr>
          <w:rStyle w:val="Emphasis"/>
          <w:rFonts w:cs="Calibri"/>
          <w:sz w:val="22"/>
          <w:szCs w:val="22"/>
          <w:shd w:val="clear" w:color="auto" w:fill="FFFFFF"/>
        </w:rPr>
        <w:t> </w:t>
      </w:r>
      <w:r w:rsidRPr="009E1F40">
        <w:rPr>
          <w:rFonts w:cs="Calibri"/>
          <w:sz w:val="22"/>
          <w:szCs w:val="22"/>
          <w:shd w:val="clear" w:color="auto" w:fill="FFFFFF"/>
        </w:rPr>
        <w:t>Bridget Byrne, Claire Alexander, Omar Khan et al.</w:t>
      </w:r>
      <w:r w:rsidRPr="009E1F40">
        <w:rPr>
          <w:rStyle w:val="Emphasis"/>
          <w:rFonts w:cs="Calibri"/>
          <w:i w:val="0"/>
          <w:iCs w:val="0"/>
          <w:sz w:val="22"/>
          <w:szCs w:val="22"/>
          <w:shd w:val="clear" w:color="auto" w:fill="FFFFFF"/>
        </w:rPr>
        <w:t xml:space="preserve"> (Bristol: </w:t>
      </w:r>
      <w:r w:rsidRPr="009E1F40">
        <w:rPr>
          <w:rFonts w:cs="Calibri"/>
          <w:sz w:val="22"/>
          <w:szCs w:val="22"/>
          <w:shd w:val="clear" w:color="auto" w:fill="FFFFFF"/>
        </w:rPr>
        <w:t>Bristol University Press, 2020), pp. 93–126.</w:t>
      </w:r>
    </w:p>
    <w:p w14:paraId="22DE2BBA" w14:textId="77777777" w:rsidR="00F91E9E" w:rsidRPr="009E1F40" w:rsidRDefault="00F91E9E" w:rsidP="00057638">
      <w:pPr>
        <w:pStyle w:val="FootnoteText"/>
        <w:spacing w:line="259" w:lineRule="auto"/>
        <w:ind w:left="720" w:hanging="720"/>
        <w:jc w:val="left"/>
        <w:rPr>
          <w:rFonts w:cs="Calibri"/>
          <w:b/>
          <w:sz w:val="22"/>
          <w:szCs w:val="22"/>
        </w:rPr>
      </w:pPr>
      <w:r w:rsidRPr="009E1F40">
        <w:rPr>
          <w:rFonts w:cs="Calibri"/>
          <w:sz w:val="22"/>
          <w:szCs w:val="22"/>
        </w:rPr>
        <w:t>Alqaisiyaa, Wala and Nicola Perugini, ‘The Academic Question of Palestine’, </w:t>
      </w:r>
      <w:r w:rsidRPr="009E1F40">
        <w:rPr>
          <w:rFonts w:cs="Calibri"/>
          <w:i/>
          <w:sz w:val="22"/>
          <w:szCs w:val="22"/>
        </w:rPr>
        <w:t>Middle East Critique</w:t>
      </w:r>
      <w:r w:rsidRPr="009E1F40">
        <w:rPr>
          <w:rFonts w:cs="Calibri"/>
          <w:sz w:val="22"/>
          <w:szCs w:val="22"/>
        </w:rPr>
        <w:t>, 33 (2024), 299–311.</w:t>
      </w:r>
    </w:p>
    <w:p w14:paraId="40404C7F" w14:textId="77777777" w:rsidR="00F91E9E" w:rsidRPr="009E1F40" w:rsidRDefault="00F91E9E" w:rsidP="00057638">
      <w:pPr>
        <w:spacing w:line="259" w:lineRule="auto"/>
        <w:ind w:left="720" w:hanging="720"/>
        <w:rPr>
          <w:rFonts w:ascii="Calibri" w:hAnsi="Calibri" w:cs="Calibri"/>
          <w:sz w:val="22"/>
          <w:szCs w:val="22"/>
        </w:rPr>
      </w:pPr>
      <w:r w:rsidRPr="009E1F40">
        <w:rPr>
          <w:rFonts w:ascii="Calibri" w:hAnsi="Calibri" w:cs="Calibri"/>
          <w:sz w:val="22"/>
          <w:szCs w:val="22"/>
        </w:rPr>
        <w:t xml:space="preserve">Amos, Valerie and Amatey Doku, </w:t>
      </w:r>
      <w:r w:rsidRPr="009E1F40">
        <w:rPr>
          <w:rFonts w:ascii="Calibri" w:hAnsi="Calibri" w:cs="Calibri"/>
          <w:i/>
          <w:iCs/>
          <w:sz w:val="22"/>
          <w:szCs w:val="22"/>
        </w:rPr>
        <w:t>Black, Asian and minority ethnic student attainment at UK Universities: Closing the Gap</w:t>
      </w:r>
      <w:r w:rsidRPr="009E1F40">
        <w:rPr>
          <w:rFonts w:ascii="Calibri" w:hAnsi="Calibri" w:cs="Calibri"/>
          <w:sz w:val="22"/>
          <w:szCs w:val="22"/>
        </w:rPr>
        <w:t xml:space="preserve"> (London: National Union of Students, 2019).</w:t>
      </w:r>
    </w:p>
    <w:p w14:paraId="7DC37A60" w14:textId="77777777" w:rsidR="00F91E9E" w:rsidRPr="009E1F40" w:rsidRDefault="00F91E9E" w:rsidP="00057638">
      <w:pPr>
        <w:pStyle w:val="FootnoteText"/>
        <w:spacing w:line="259" w:lineRule="auto"/>
        <w:ind w:left="720" w:hanging="720"/>
        <w:jc w:val="left"/>
        <w:rPr>
          <w:rFonts w:cs="Calibri"/>
          <w:i/>
          <w:iCs/>
          <w:sz w:val="22"/>
          <w:szCs w:val="22"/>
        </w:rPr>
      </w:pPr>
      <w:r w:rsidRPr="009E1F40">
        <w:rPr>
          <w:rFonts w:cs="Calibri"/>
          <w:sz w:val="22"/>
          <w:szCs w:val="22"/>
        </w:rPr>
        <w:t>An Edinburgh Students Notebook, Lectures on Anatomy and Surgery by Alex Munro (Secundus) and possibly by Alexander Tertius (Edinburgh: Royal College of Surgeons Edinburgh), p. 31.</w:t>
      </w:r>
    </w:p>
    <w:p w14:paraId="4F3AB7B3"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[Anonymous], ‘Hebrew University. Distinguished Visitors to Jerusalem’, </w:t>
      </w:r>
      <w:r w:rsidRPr="009E1F40">
        <w:rPr>
          <w:rFonts w:cs="Calibri"/>
          <w:i/>
          <w:iCs/>
          <w:sz w:val="22"/>
          <w:szCs w:val="22"/>
        </w:rPr>
        <w:t>The Scotsman</w:t>
      </w:r>
      <w:r w:rsidRPr="009E1F40">
        <w:rPr>
          <w:rFonts w:cs="Calibri"/>
          <w:sz w:val="22"/>
          <w:szCs w:val="22"/>
        </w:rPr>
        <w:t>, 18 March 1925, p. 10.</w:t>
      </w:r>
    </w:p>
    <w:p w14:paraId="1AA62D6A"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Arday, Jason and Heidi Safia Mirza (editors), </w:t>
      </w:r>
      <w:r w:rsidRPr="009E1F40">
        <w:rPr>
          <w:rFonts w:cs="Calibri"/>
          <w:i/>
          <w:iCs/>
          <w:sz w:val="22"/>
          <w:szCs w:val="22"/>
        </w:rPr>
        <w:t xml:space="preserve">Dismantling Race in Higher Education </w:t>
      </w:r>
      <w:r w:rsidRPr="009E1F40">
        <w:rPr>
          <w:rFonts w:cs="Calibri"/>
          <w:sz w:val="22"/>
          <w:szCs w:val="22"/>
        </w:rPr>
        <w:t xml:space="preserve">(Cham: Palgrave Macmillan, 2018). </w:t>
      </w:r>
    </w:p>
    <w:p w14:paraId="7428F7BF" w14:textId="4E292580"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Arshad, Rowena, ‘Thematic Review 2018–19: Black and Minority Ethnic Students. </w:t>
      </w:r>
      <w:r w:rsidRPr="06D755CD">
        <w:rPr>
          <w:rFonts w:cs="Calibri"/>
          <w:sz w:val="22"/>
          <w:szCs w:val="22"/>
        </w:rPr>
        <w:t xml:space="preserve">Final Report’, University of Edinburgh (2019), </w:t>
      </w:r>
      <w:hyperlink r:id="rId167">
        <w:r w:rsidRPr="06D755CD">
          <w:rPr>
            <w:rStyle w:val="Hyperlink"/>
            <w:rFonts w:cs="Calibri"/>
            <w:sz w:val="22"/>
            <w:szCs w:val="22"/>
          </w:rPr>
          <w:t>https://edwebcontent.ed.ac.uk/sites/default/files/atoms/files/thematicreview2018-19-bme-students-finalreport.pdf</w:t>
        </w:r>
      </w:hyperlink>
      <w:r w:rsidRPr="06D755CD">
        <w:rPr>
          <w:rFonts w:cs="Calibri"/>
          <w:sz w:val="22"/>
          <w:szCs w:val="22"/>
        </w:rPr>
        <w:t>.</w:t>
      </w:r>
    </w:p>
    <w:p w14:paraId="62B55C16" w14:textId="77777777" w:rsidR="00F91E9E" w:rsidRPr="009E1F40" w:rsidRDefault="00F91E9E" w:rsidP="00057638">
      <w:pPr>
        <w:spacing w:line="259" w:lineRule="auto"/>
        <w:ind w:left="720" w:hanging="720"/>
        <w:rPr>
          <w:rFonts w:ascii="Calibri" w:hAnsi="Calibri" w:cs="Calibri"/>
          <w:sz w:val="22"/>
          <w:szCs w:val="22"/>
        </w:rPr>
      </w:pPr>
      <w:r w:rsidRPr="009E1F40">
        <w:rPr>
          <w:rFonts w:ascii="Calibri" w:hAnsi="Calibri" w:cs="Calibri"/>
          <w:sz w:val="22"/>
          <w:szCs w:val="22"/>
        </w:rPr>
        <w:t xml:space="preserve">Balfour, Arthur James, </w:t>
      </w:r>
      <w:r w:rsidRPr="009E1F40">
        <w:rPr>
          <w:rFonts w:ascii="Calibri" w:hAnsi="Calibri" w:cs="Calibri"/>
          <w:i/>
          <w:sz w:val="22"/>
          <w:szCs w:val="22"/>
        </w:rPr>
        <w:t xml:space="preserve">Speeches on Zionism </w:t>
      </w:r>
      <w:r w:rsidRPr="009E1F40">
        <w:rPr>
          <w:rFonts w:ascii="Calibri" w:hAnsi="Calibri" w:cs="Calibri"/>
          <w:sz w:val="22"/>
          <w:szCs w:val="22"/>
        </w:rPr>
        <w:t>(London: Arrowsmith, 1928).</w:t>
      </w:r>
    </w:p>
    <w:p w14:paraId="629AA204"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w:t>
      </w:r>
      <w:r w:rsidRPr="009E1F40">
        <w:rPr>
          <w:rFonts w:cs="Calibri"/>
          <w:i/>
          <w:iCs/>
          <w:sz w:val="22"/>
          <w:szCs w:val="22"/>
        </w:rPr>
        <w:t>Decadence</w:t>
      </w:r>
      <w:r w:rsidRPr="009E1F40">
        <w:rPr>
          <w:rFonts w:cs="Calibri"/>
          <w:sz w:val="22"/>
          <w:szCs w:val="22"/>
        </w:rPr>
        <w:t xml:space="preserve"> (Cambridge: Cambridge University Press, 1908).</w:t>
      </w:r>
    </w:p>
    <w:p w14:paraId="61464E1D" w14:textId="1B907286"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Bennett, Michael D. and R. J. Knight, ‘Report on Sheffield, Slavery and its Legacies’, University of Sheffield (2021), </w:t>
      </w:r>
      <w:hyperlink r:id="rId168">
        <w:r w:rsidRPr="06D755CD">
          <w:rPr>
            <w:rStyle w:val="Hyperlink"/>
            <w:rFonts w:cs="Calibri"/>
            <w:sz w:val="22"/>
            <w:szCs w:val="22"/>
          </w:rPr>
          <w:t>https://sheffieldandslavery.wordpress.com/report/</w:t>
        </w:r>
      </w:hyperlink>
    </w:p>
    <w:p w14:paraId="612FA67E"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Berenstein, Moïse, ‘Jewish Colonisation in Palestine: II’, </w:t>
      </w:r>
      <w:r w:rsidRPr="009E1F40">
        <w:rPr>
          <w:rFonts w:cs="Calibri"/>
          <w:i/>
          <w:iCs/>
          <w:sz w:val="22"/>
          <w:szCs w:val="22"/>
        </w:rPr>
        <w:t>International Labour Review</w:t>
      </w:r>
      <w:r w:rsidRPr="009E1F40">
        <w:rPr>
          <w:rFonts w:cs="Calibri"/>
          <w:sz w:val="22"/>
          <w:szCs w:val="22"/>
        </w:rPr>
        <w:t>,</w:t>
      </w:r>
      <w:r w:rsidRPr="009E1F40">
        <w:rPr>
          <w:rFonts w:cs="Calibri"/>
          <w:i/>
          <w:iCs/>
          <w:sz w:val="22"/>
          <w:szCs w:val="22"/>
        </w:rPr>
        <w:t xml:space="preserve"> </w:t>
      </w:r>
      <w:r w:rsidRPr="009E1F40">
        <w:rPr>
          <w:rFonts w:cs="Calibri"/>
          <w:sz w:val="22"/>
          <w:szCs w:val="22"/>
        </w:rPr>
        <w:t xml:space="preserve">30 (1934), 797–819. </w:t>
      </w:r>
    </w:p>
    <w:p w14:paraId="7C13288E" w14:textId="77777777" w:rsidR="00F91E9E" w:rsidRPr="009E1F40" w:rsidRDefault="00F91E9E" w:rsidP="00057638">
      <w:pPr>
        <w:pStyle w:val="FootnoteText"/>
        <w:spacing w:line="259" w:lineRule="auto"/>
        <w:ind w:left="720" w:hanging="720"/>
        <w:jc w:val="left"/>
        <w:rPr>
          <w:rFonts w:cs="Calibri"/>
          <w:sz w:val="22"/>
          <w:szCs w:val="22"/>
          <w:shd w:val="clear" w:color="auto" w:fill="FFFFFF"/>
        </w:rPr>
      </w:pPr>
      <w:r w:rsidRPr="009E1F40">
        <w:rPr>
          <w:rFonts w:cs="Calibri"/>
          <w:sz w:val="22"/>
          <w:szCs w:val="22"/>
          <w:shd w:val="clear" w:color="auto" w:fill="FFFFFF"/>
        </w:rPr>
        <w:t xml:space="preserve">Bhopal, </w:t>
      </w:r>
      <w:r w:rsidRPr="009E1F40">
        <w:rPr>
          <w:rFonts w:cs="Calibri"/>
          <w:sz w:val="22"/>
          <w:szCs w:val="22"/>
        </w:rPr>
        <w:t xml:space="preserve">Kalwant, </w:t>
      </w:r>
      <w:r w:rsidRPr="009E1F40">
        <w:rPr>
          <w:rFonts w:cs="Calibri"/>
          <w:sz w:val="22"/>
          <w:szCs w:val="22"/>
          <w:shd w:val="clear" w:color="auto" w:fill="FFFFFF"/>
        </w:rPr>
        <w:t>‘Academics of Colour in Elite Universities in the UK and the USA: The “Unspoken System of Exclusion”’, </w:t>
      </w:r>
      <w:r w:rsidRPr="009E1F40">
        <w:rPr>
          <w:rFonts w:cs="Calibri"/>
          <w:i/>
          <w:iCs/>
          <w:sz w:val="22"/>
          <w:szCs w:val="22"/>
          <w:shd w:val="clear" w:color="auto" w:fill="FFFFFF"/>
        </w:rPr>
        <w:t>Studies in Higher Education</w:t>
      </w:r>
      <w:r w:rsidRPr="009E1F40">
        <w:rPr>
          <w:rFonts w:cs="Calibri"/>
          <w:sz w:val="22"/>
          <w:szCs w:val="22"/>
          <w:shd w:val="clear" w:color="auto" w:fill="FFFFFF"/>
        </w:rPr>
        <w:t>, 47 (2022), 2127–37.</w:t>
      </w:r>
    </w:p>
    <w:p w14:paraId="0607C84D"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Bhopal, Kalwant, </w:t>
      </w:r>
      <w:r w:rsidRPr="009E1F40">
        <w:rPr>
          <w:rFonts w:cs="Calibri"/>
          <w:i/>
          <w:iCs/>
          <w:sz w:val="22"/>
          <w:szCs w:val="22"/>
        </w:rPr>
        <w:t>White Privilege: The Myth of a Post-Racial Society</w:t>
      </w:r>
      <w:r w:rsidRPr="009E1F40">
        <w:rPr>
          <w:rFonts w:cs="Calibri"/>
          <w:sz w:val="22"/>
          <w:szCs w:val="22"/>
        </w:rPr>
        <w:t xml:space="preserve"> (Bristol: Bristol University Press, 2018).</w:t>
      </w:r>
    </w:p>
    <w:p w14:paraId="739BD70F"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Bonilla-Silva, Eduardo, </w:t>
      </w:r>
      <w:r w:rsidRPr="009E1F40">
        <w:rPr>
          <w:rFonts w:cs="Calibri"/>
          <w:i/>
          <w:iCs/>
          <w:sz w:val="22"/>
          <w:szCs w:val="22"/>
        </w:rPr>
        <w:t xml:space="preserve">Racism without Racists: Color-Blind Racism and the Persistance of Racial Inequality in America </w:t>
      </w:r>
      <w:r w:rsidRPr="009E1F40">
        <w:rPr>
          <w:rFonts w:cs="Calibri"/>
          <w:sz w:val="22"/>
          <w:szCs w:val="22"/>
        </w:rPr>
        <w:t>(Lanham, MD: Rowman and Littlefield, 2017; first publ. 2003).</w:t>
      </w:r>
    </w:p>
    <w:p w14:paraId="3C965748"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British Society for Middle Eastern Studies and the European Legal Support Centre, ‘Freedom of Speech and Academic Freedom in UK Higher Education: The Adverse Impact of the IHRA Definition of Antisemitism’ (September 2023).</w:t>
      </w:r>
    </w:p>
    <w:p w14:paraId="6E9F3028"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lastRenderedPageBreak/>
        <w:t xml:space="preserve">Buchan, Bruce and Silvia Sebastiani, ‘“No distinction of Black or Fair”: The Natural History of Race in Adam Ferguson’s Lectures on Moral Philosophy’, </w:t>
      </w:r>
      <w:r w:rsidRPr="009E1F40">
        <w:rPr>
          <w:rFonts w:cs="Calibri"/>
          <w:i/>
          <w:iCs/>
          <w:sz w:val="22"/>
          <w:szCs w:val="22"/>
        </w:rPr>
        <w:t>Journal of the History of Ideas</w:t>
      </w:r>
      <w:r w:rsidRPr="009E1F40">
        <w:rPr>
          <w:rFonts w:cs="Calibri"/>
          <w:sz w:val="22"/>
          <w:szCs w:val="22"/>
        </w:rPr>
        <w:t>, 82 (2021), 207–29.</w:t>
      </w:r>
    </w:p>
    <w:p w14:paraId="6C0767EA" w14:textId="77777777" w:rsidR="00F91E9E" w:rsidRPr="009E1F40" w:rsidRDefault="00F91E9E" w:rsidP="00057638">
      <w:pPr>
        <w:spacing w:line="259" w:lineRule="auto"/>
        <w:ind w:left="720" w:hanging="720"/>
        <w:rPr>
          <w:rFonts w:ascii="Calibri" w:hAnsi="Calibri" w:cs="Calibri"/>
          <w:sz w:val="22"/>
          <w:szCs w:val="22"/>
        </w:rPr>
      </w:pPr>
      <w:r w:rsidRPr="009E1F40">
        <w:rPr>
          <w:rFonts w:ascii="Calibri" w:hAnsi="Calibri" w:cs="Calibri"/>
          <w:sz w:val="22"/>
          <w:szCs w:val="22"/>
        </w:rPr>
        <w:t xml:space="preserve">Buchan, James, ‘Whether are Moral and Physical causes sufficient to account for the varieties which occur in the Human Species?’, Royal Medical Society Dissertations, Vol. 26 (1790–91). </w:t>
      </w:r>
    </w:p>
    <w:p w14:paraId="732A5FBC" w14:textId="0F863C0D"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Buck, Simon and Ian Stewart, ‘Race, Empire, and the Edinburgh Medical School: Conference Review’, </w:t>
      </w:r>
      <w:r w:rsidRPr="009E1F40">
        <w:rPr>
          <w:rFonts w:cs="Calibri"/>
          <w:i/>
          <w:iCs/>
          <w:sz w:val="22"/>
          <w:szCs w:val="22"/>
        </w:rPr>
        <w:t>The Polyphony</w:t>
      </w:r>
      <w:r w:rsidRPr="009E1F40">
        <w:rPr>
          <w:rFonts w:cs="Calibri"/>
          <w:sz w:val="22"/>
          <w:szCs w:val="22"/>
        </w:rPr>
        <w:t>,</w:t>
      </w:r>
      <w:r w:rsidRPr="009E1F40">
        <w:rPr>
          <w:rFonts w:cs="Calibri"/>
          <w:i/>
          <w:iCs/>
          <w:sz w:val="22"/>
          <w:szCs w:val="22"/>
        </w:rPr>
        <w:t xml:space="preserve"> </w:t>
      </w:r>
      <w:hyperlink r:id="rId169">
        <w:r w:rsidRPr="06D755CD">
          <w:rPr>
            <w:rStyle w:val="Hyperlink"/>
            <w:rFonts w:cs="Calibri"/>
            <w:sz w:val="22"/>
            <w:szCs w:val="22"/>
          </w:rPr>
          <w:t>https://thepolyphony.org/2024/08/27/race-empire-uoe-conference-review/</w:t>
        </w:r>
      </w:hyperlink>
      <w:r w:rsidRPr="009E1F40">
        <w:rPr>
          <w:rFonts w:cs="Calibri"/>
          <w:sz w:val="22"/>
          <w:szCs w:val="22"/>
        </w:rPr>
        <w:t xml:space="preserve">. </w:t>
      </w:r>
    </w:p>
    <w:p w14:paraId="3BA7A682"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Buck, Simon, ‘Debates on Slavery and Abolition held by Student Debating Societies at the University of Edinburgh, 1765–1870’ (2024), dataset, University of Edinburgh. Institute for Advanced Studies in the Humanities, https://doi.org/10.7488/ds/7841.</w:t>
      </w:r>
    </w:p>
    <w:p w14:paraId="29ABA2C4"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‘Dreams of Darien at the University of Edinburgh’, in </w:t>
      </w:r>
      <w:r w:rsidRPr="009E1F40">
        <w:rPr>
          <w:rFonts w:cs="Calibri"/>
          <w:i/>
          <w:iCs/>
          <w:sz w:val="22"/>
          <w:szCs w:val="22"/>
        </w:rPr>
        <w:t>Essays on Decoloniality: Volume 2</w:t>
      </w:r>
      <w:r w:rsidRPr="009E1F40">
        <w:rPr>
          <w:rFonts w:cs="Calibri"/>
          <w:sz w:val="22"/>
          <w:szCs w:val="22"/>
        </w:rPr>
        <w:t>, ed. by Ben Fletcher-Watson, Lesley McAra and Désha Osborne (Edinburgh: IASH, University of Edinburgh, forthcoming 2025).</w:t>
      </w:r>
    </w:p>
    <w:p w14:paraId="3890155E" w14:textId="6D56B9C7" w:rsidR="00F91E9E"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‘Subscriptions towards the University of Edinburgh’s Old College (1789–1794) and Old Medical School (1873–1887), 1789–1887’, dataset, Institute for Advanced Studies in the Humanities, University of Edinburgh, 2024, </w:t>
      </w:r>
      <w:hyperlink r:id="rId170" w:history="1">
        <w:r w:rsidRPr="009E1F40">
          <w:rPr>
            <w:rStyle w:val="Hyperlink"/>
            <w:rFonts w:cs="Calibri"/>
            <w:sz w:val="22"/>
            <w:szCs w:val="22"/>
          </w:rPr>
          <w:t>https://doi.org/10.7488/ds/7844</w:t>
        </w:r>
      </w:hyperlink>
      <w:r w:rsidRPr="009E1F40">
        <w:rPr>
          <w:rFonts w:cs="Calibri"/>
          <w:sz w:val="22"/>
          <w:szCs w:val="22"/>
        </w:rPr>
        <w:t>.</w:t>
      </w:r>
    </w:p>
    <w:p w14:paraId="332209BF" w14:textId="61CB333F" w:rsidR="00590999" w:rsidRPr="009E1F40" w:rsidRDefault="00590999" w:rsidP="00057638">
      <w:pPr>
        <w:pStyle w:val="FootnoteText"/>
        <w:spacing w:line="259" w:lineRule="auto"/>
        <w:ind w:left="720" w:hanging="720"/>
        <w:jc w:val="left"/>
        <w:rPr>
          <w:rFonts w:cs="Calibri"/>
          <w:sz w:val="22"/>
          <w:szCs w:val="22"/>
        </w:rPr>
      </w:pPr>
      <w:r>
        <w:rPr>
          <w:rFonts w:cs="Calibri"/>
          <w:sz w:val="22"/>
          <w:szCs w:val="22"/>
        </w:rPr>
        <w:t>______</w:t>
      </w:r>
      <w:r w:rsidR="00D9372B">
        <w:rPr>
          <w:rFonts w:cs="Calibri"/>
          <w:sz w:val="22"/>
          <w:szCs w:val="22"/>
        </w:rPr>
        <w:t>_</w:t>
      </w:r>
      <w:r>
        <w:rPr>
          <w:rFonts w:cs="Calibri"/>
          <w:sz w:val="22"/>
          <w:szCs w:val="22"/>
        </w:rPr>
        <w:t xml:space="preserve">_, ‘The skulls of two students of African descent in the University of Edinburgh’s Anatomical Museum’, </w:t>
      </w:r>
      <w:r w:rsidRPr="00590999">
        <w:rPr>
          <w:rFonts w:cs="Calibri"/>
          <w:i/>
          <w:iCs/>
          <w:sz w:val="22"/>
          <w:szCs w:val="22"/>
        </w:rPr>
        <w:t>Journal of the Royal College of Physicians of Edinburgh</w:t>
      </w:r>
      <w:r>
        <w:rPr>
          <w:rFonts w:cs="Calibri"/>
          <w:sz w:val="22"/>
          <w:szCs w:val="22"/>
        </w:rPr>
        <w:t>, 55 (2025), 114-22.</w:t>
      </w:r>
    </w:p>
    <w:p w14:paraId="0A907AAA"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Campbell Fraser, Alexander, ‘Professor Campbell Fraser’s speech on the occasion of the University of Edinburgh’s election of Balfour’, </w:t>
      </w:r>
      <w:r w:rsidRPr="009E1F40">
        <w:rPr>
          <w:rFonts w:cs="Calibri"/>
          <w:i/>
          <w:iCs/>
          <w:sz w:val="22"/>
          <w:szCs w:val="22"/>
        </w:rPr>
        <w:t>The Scotsman</w:t>
      </w:r>
      <w:r w:rsidRPr="009E1F40">
        <w:rPr>
          <w:rFonts w:cs="Calibri"/>
          <w:sz w:val="22"/>
          <w:szCs w:val="22"/>
        </w:rPr>
        <w:t>, Edinburgh University General Council, 31 October 1891.</w:t>
      </w:r>
    </w:p>
    <w:p w14:paraId="63BE721F" w14:textId="77777777" w:rsidR="00F91E9E" w:rsidRPr="009E1F40" w:rsidRDefault="00F91E9E" w:rsidP="00057638">
      <w:pPr>
        <w:spacing w:line="259" w:lineRule="auto"/>
        <w:ind w:left="720" w:hanging="720"/>
        <w:rPr>
          <w:rFonts w:ascii="Calibri" w:hAnsi="Calibri" w:cs="Calibri"/>
          <w:sz w:val="22"/>
          <w:szCs w:val="22"/>
        </w:rPr>
      </w:pPr>
      <w:r w:rsidRPr="009E1F40">
        <w:rPr>
          <w:rFonts w:ascii="Calibri" w:hAnsi="Calibri" w:cs="Calibri"/>
          <w:sz w:val="22"/>
          <w:szCs w:val="22"/>
        </w:rPr>
        <w:t xml:space="preserve">Campbell, Paul Ian, </w:t>
      </w:r>
      <w:r w:rsidRPr="009E1F40">
        <w:rPr>
          <w:rFonts w:ascii="Calibri" w:hAnsi="Calibri" w:cs="Calibri"/>
          <w:i/>
          <w:iCs/>
          <w:sz w:val="22"/>
          <w:szCs w:val="22"/>
        </w:rPr>
        <w:t>Race and Assessment in Higher Education: From Conceptualising Barriers to Making Measurable Change</w:t>
      </w:r>
      <w:r w:rsidRPr="009E1F40">
        <w:rPr>
          <w:rFonts w:ascii="Calibri" w:hAnsi="Calibri" w:cs="Calibri"/>
          <w:sz w:val="22"/>
          <w:szCs w:val="22"/>
        </w:rPr>
        <w:t xml:space="preserve"> (Leeds: Emerald Publishing Company, 2024).</w:t>
      </w:r>
    </w:p>
    <w:p w14:paraId="1C2CE91A" w14:textId="2BBA6922" w:rsidR="00F91E9E" w:rsidRPr="009E1F40" w:rsidRDefault="00F91E9E" w:rsidP="00057638">
      <w:pPr>
        <w:pStyle w:val="FootnoteText"/>
        <w:spacing w:line="259" w:lineRule="auto"/>
        <w:ind w:left="720" w:hanging="720"/>
        <w:jc w:val="left"/>
        <w:rPr>
          <w:rFonts w:cs="Calibri"/>
          <w:i/>
          <w:iCs/>
          <w:sz w:val="22"/>
          <w:szCs w:val="22"/>
        </w:rPr>
      </w:pPr>
      <w:r w:rsidRPr="06D755CD">
        <w:rPr>
          <w:rFonts w:cs="Calibri"/>
          <w:sz w:val="22"/>
          <w:szCs w:val="22"/>
        </w:rPr>
        <w:t xml:space="preserve">Chamberlain, Daisy, ‘Collections Uncovered: Omdurman Battlefield Skulls’, 25 May 2021, </w:t>
      </w:r>
      <w:hyperlink r:id="rId171">
        <w:r w:rsidRPr="06D755CD">
          <w:rPr>
            <w:rStyle w:val="Hyperlink"/>
            <w:rFonts w:cs="Calibri"/>
            <w:sz w:val="22"/>
            <w:szCs w:val="22"/>
          </w:rPr>
          <w:t>https://anatomicalmuseum.wordpress.com/2021/05/25/collections-uncovered-omdurman-battlefield-skulls/</w:t>
        </w:r>
      </w:hyperlink>
      <w:r w:rsidRPr="06D755CD">
        <w:rPr>
          <w:rFonts w:cs="Calibri"/>
          <w:sz w:val="22"/>
          <w:szCs w:val="22"/>
        </w:rPr>
        <w:t xml:space="preserve"> (accessed 9 January 2025). </w:t>
      </w:r>
    </w:p>
    <w:p w14:paraId="01F75C1F" w14:textId="29600FD9" w:rsidR="00F91E9E" w:rsidRPr="009E1F40" w:rsidRDefault="00F91E9E" w:rsidP="00057638">
      <w:pPr>
        <w:pStyle w:val="FootnoteText"/>
        <w:spacing w:line="259" w:lineRule="auto"/>
        <w:ind w:left="720" w:hanging="720"/>
        <w:jc w:val="left"/>
        <w:rPr>
          <w:rFonts w:cs="Calibri"/>
          <w:sz w:val="22"/>
          <w:szCs w:val="22"/>
        </w:rPr>
      </w:pPr>
      <w:r w:rsidRPr="06D755CD">
        <w:rPr>
          <w:rFonts w:cs="Calibri"/>
          <w:sz w:val="22"/>
          <w:szCs w:val="22"/>
        </w:rPr>
        <w:t xml:space="preserve">Chioti, Mary, ‘Exploring the Legacies of Slavery and Colonialism at The University of Manchester’, 18 August 2021, </w:t>
      </w:r>
      <w:hyperlink r:id="rId172">
        <w:r w:rsidRPr="06D755CD">
          <w:rPr>
            <w:rStyle w:val="Hyperlink"/>
            <w:rFonts w:cs="Calibri"/>
            <w:color w:val="auto"/>
            <w:sz w:val="22"/>
            <w:szCs w:val="22"/>
          </w:rPr>
          <w:t>https://sites.manchester.ac.uk/salc-making-a-difference/2021/08/18/exploring-the-legacies-of-slavery-and-colonialism-at-the-university-of-manchester/</w:t>
        </w:r>
      </w:hyperlink>
      <w:r w:rsidRPr="06D755CD">
        <w:rPr>
          <w:rFonts w:cs="Calibri"/>
          <w:sz w:val="22"/>
          <w:szCs w:val="22"/>
        </w:rPr>
        <w:t>.</w:t>
      </w:r>
    </w:p>
    <w:p w14:paraId="0995C44B"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‘Congress of the Universities of the British Empire, Report of Proceedings’ (London: University of London Press, Hodder &amp; Stoughton, 1912).</w:t>
      </w:r>
    </w:p>
    <w:p w14:paraId="5198191C" w14:textId="77777777" w:rsidR="00F91E9E" w:rsidRPr="009E1F40" w:rsidRDefault="00F91E9E" w:rsidP="00057638">
      <w:pPr>
        <w:spacing w:line="259" w:lineRule="auto"/>
        <w:ind w:left="720" w:hanging="720"/>
        <w:rPr>
          <w:rFonts w:ascii="Calibri" w:hAnsi="Calibri" w:cs="Calibri"/>
          <w:sz w:val="22"/>
          <w:szCs w:val="22"/>
        </w:rPr>
      </w:pPr>
      <w:r w:rsidRPr="009E1F40">
        <w:rPr>
          <w:rFonts w:ascii="Calibri" w:hAnsi="Calibri" w:cs="Calibri"/>
          <w:sz w:val="22"/>
          <w:szCs w:val="22"/>
        </w:rPr>
        <w:t xml:space="preserve">Cramer, Louise, ‘Alternative Strategies for Closing the Award Gap between White and Minority Ethnic Students’, </w:t>
      </w:r>
      <w:r w:rsidRPr="009E1F40">
        <w:rPr>
          <w:rFonts w:ascii="Calibri" w:hAnsi="Calibri" w:cs="Calibri"/>
          <w:i/>
          <w:iCs/>
          <w:sz w:val="22"/>
          <w:szCs w:val="22"/>
        </w:rPr>
        <w:t>Elife</w:t>
      </w:r>
      <w:r w:rsidRPr="009E1F40">
        <w:rPr>
          <w:rFonts w:ascii="Calibri" w:hAnsi="Calibri" w:cs="Calibri"/>
          <w:sz w:val="22"/>
          <w:szCs w:val="22"/>
        </w:rPr>
        <w:t>, 10 (2021).</w:t>
      </w:r>
    </w:p>
    <w:p w14:paraId="530829EB"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Cramer, Samuel, ‘What Influence has Climate on the Human Constitution?’, Royal Physical Society Dissertations, EUL DA.67 Phys, Vol. 19 (1798–1800).</w:t>
      </w:r>
    </w:p>
    <w:p w14:paraId="7B3CF65B"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Crawfurd, John, </w:t>
      </w:r>
      <w:r w:rsidRPr="009E1F40">
        <w:rPr>
          <w:rFonts w:cs="Calibri"/>
          <w:i/>
          <w:iCs/>
          <w:sz w:val="22"/>
          <w:szCs w:val="22"/>
        </w:rPr>
        <w:t>History of the Indian Archipelago</w:t>
      </w:r>
      <w:r w:rsidRPr="009E1F40">
        <w:rPr>
          <w:rFonts w:cs="Calibri"/>
          <w:sz w:val="22"/>
          <w:szCs w:val="22"/>
        </w:rPr>
        <w:t>, 3 vols.</w:t>
      </w:r>
      <w:r w:rsidRPr="009E1F40">
        <w:rPr>
          <w:rFonts w:cs="Calibri"/>
          <w:i/>
          <w:iCs/>
          <w:sz w:val="22"/>
          <w:szCs w:val="22"/>
        </w:rPr>
        <w:t xml:space="preserve"> </w:t>
      </w:r>
      <w:r w:rsidRPr="009E1F40">
        <w:rPr>
          <w:rFonts w:cs="Calibri"/>
          <w:sz w:val="22"/>
          <w:szCs w:val="22"/>
        </w:rPr>
        <w:t>(London, 1820).</w:t>
      </w:r>
    </w:p>
    <w:p w14:paraId="6CC40707" w14:textId="77777777" w:rsidR="00F91E9E" w:rsidRPr="009E1F40" w:rsidRDefault="00F91E9E" w:rsidP="00057638">
      <w:pPr>
        <w:pStyle w:val="FootnoteText"/>
        <w:spacing w:line="259" w:lineRule="auto"/>
        <w:ind w:left="720" w:hanging="720"/>
        <w:jc w:val="left"/>
        <w:rPr>
          <w:rFonts w:cs="Calibri"/>
          <w:sz w:val="22"/>
          <w:szCs w:val="22"/>
          <w:shd w:val="clear" w:color="auto" w:fill="FFFFFF"/>
        </w:rPr>
      </w:pPr>
      <w:r w:rsidRPr="009E1F40">
        <w:rPr>
          <w:rFonts w:cs="Calibri"/>
          <w:sz w:val="22"/>
          <w:szCs w:val="22"/>
          <w:shd w:val="clear" w:color="auto" w:fill="FFFFFF"/>
        </w:rPr>
        <w:t>Crystal,</w:t>
      </w:r>
      <w:r w:rsidRPr="009E1F40">
        <w:rPr>
          <w:rFonts w:cs="Calibri"/>
          <w:sz w:val="22"/>
          <w:szCs w:val="22"/>
        </w:rPr>
        <w:t xml:space="preserve"> David S.,</w:t>
      </w:r>
      <w:r w:rsidRPr="009E1F40">
        <w:rPr>
          <w:rFonts w:cs="Calibri"/>
          <w:sz w:val="22"/>
          <w:szCs w:val="22"/>
          <w:shd w:val="clear" w:color="auto" w:fill="FFFFFF"/>
        </w:rPr>
        <w:t xml:space="preserve"> Melanie Killen and Martin Ruck, ‘It is Who You Know That Counts: Intergroup Contact and Judgments about Race-Based Exclusion’, </w:t>
      </w:r>
      <w:r w:rsidRPr="009E1F40">
        <w:rPr>
          <w:rFonts w:cs="Calibri"/>
          <w:i/>
          <w:iCs/>
          <w:sz w:val="22"/>
          <w:szCs w:val="22"/>
          <w:shd w:val="clear" w:color="auto" w:fill="FFFFFF"/>
        </w:rPr>
        <w:t>The British Journal of Developmental Psychology</w:t>
      </w:r>
      <w:r w:rsidRPr="009E1F40">
        <w:rPr>
          <w:rFonts w:cs="Calibri"/>
          <w:sz w:val="22"/>
          <w:szCs w:val="22"/>
          <w:shd w:val="clear" w:color="auto" w:fill="FFFFFF"/>
        </w:rPr>
        <w:t>, 26 (2008), 51–70.</w:t>
      </w:r>
    </w:p>
    <w:p w14:paraId="374E8F0E"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Curry, Tommy J. and Gwenetta Curry, ‘On the Perils of Race Neutrality and Anti-Blackness: Philosophy as an Irreconcilable Obstacle to (Black) Thought’, </w:t>
      </w:r>
      <w:r w:rsidRPr="009E1F40">
        <w:rPr>
          <w:rFonts w:cs="Calibri"/>
          <w:i/>
          <w:iCs/>
          <w:sz w:val="22"/>
          <w:szCs w:val="22"/>
        </w:rPr>
        <w:t>American Journal of Economics and Sociology</w:t>
      </w:r>
      <w:r w:rsidRPr="009E1F40">
        <w:rPr>
          <w:rFonts w:cs="Calibri"/>
          <w:sz w:val="22"/>
          <w:szCs w:val="22"/>
        </w:rPr>
        <w:t xml:space="preserve">, 77 (2018), 657–87. </w:t>
      </w:r>
    </w:p>
    <w:p w14:paraId="5BD2DB22"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color w:val="212121"/>
          <w:sz w:val="22"/>
          <w:szCs w:val="22"/>
        </w:rPr>
        <w:t>Decolonised Transformations: Confronting the UoE's Legacies of Enslavement and Colonialism, PPLS Research Ethics, 346-2223/3.</w:t>
      </w:r>
    </w:p>
    <w:p w14:paraId="432D9964"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Decolonising the Archive, ‘About Us’, https://www.decolonisingthearchive.com/about.</w:t>
      </w:r>
    </w:p>
    <w:p w14:paraId="47627CB3"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lastRenderedPageBreak/>
        <w:t>________</w:t>
      </w:r>
      <w:r w:rsidRPr="009E1F40">
        <w:rPr>
          <w:rFonts w:cs="Calibri"/>
          <w:sz w:val="22"/>
          <w:szCs w:val="22"/>
        </w:rPr>
        <w:t xml:space="preserve">, ‘Correcting our Collecting: An Introduction to African-Centred Archiving (Bespoke Programme)’, September 2024, https://blogs.ed.ac.uk/decolonise/wp-content/uploads/sites/7804/2025/02/DTA_Correcting-Our-Collecting-Bespoke-Edinburgh-Group.pdf. </w:t>
      </w:r>
    </w:p>
    <w:p w14:paraId="2856C408"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i/>
          <w:iCs/>
          <w:sz w:val="22"/>
          <w:szCs w:val="22"/>
        </w:rPr>
        <w:t>Dreams of Darien</w:t>
      </w:r>
      <w:r w:rsidRPr="009E1F40">
        <w:rPr>
          <w:rFonts w:cs="Calibri"/>
          <w:sz w:val="22"/>
          <w:szCs w:val="22"/>
        </w:rPr>
        <w:t xml:space="preserve">, online exhibition, University of Edinburgh Library, </w:t>
      </w:r>
      <w:hyperlink r:id="rId173" w:history="1">
        <w:r w:rsidRPr="009E1F40">
          <w:rPr>
            <w:rStyle w:val="Hyperlink"/>
            <w:rFonts w:cs="Calibri"/>
            <w:sz w:val="22"/>
            <w:szCs w:val="22"/>
          </w:rPr>
          <w:t>https://exhibitions.ed.ac.uk/exhibitions/dreams-of-darien/</w:t>
        </w:r>
      </w:hyperlink>
      <w:r w:rsidRPr="009E1F40">
        <w:rPr>
          <w:rFonts w:cs="Calibri"/>
          <w:sz w:val="22"/>
          <w:szCs w:val="22"/>
        </w:rPr>
        <w:t xml:space="preserve">. </w:t>
      </w:r>
    </w:p>
    <w:p w14:paraId="23AB3B0E"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Duffill, Mark, ‘The Africa Trade from the Ports of Scotland, 1706–66’, </w:t>
      </w:r>
      <w:r w:rsidRPr="009E1F40">
        <w:rPr>
          <w:rFonts w:cs="Calibri"/>
          <w:i/>
          <w:iCs/>
          <w:sz w:val="22"/>
          <w:szCs w:val="22"/>
        </w:rPr>
        <w:t>Slavery &amp; Abolition</w:t>
      </w:r>
      <w:r w:rsidRPr="009E1F40">
        <w:rPr>
          <w:rFonts w:cs="Calibri"/>
          <w:sz w:val="22"/>
          <w:szCs w:val="22"/>
        </w:rPr>
        <w:t xml:space="preserve"> 25 (2004). </w:t>
      </w:r>
    </w:p>
    <w:p w14:paraId="7B053AE2"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Dunton, Bridgit C. and Russell. H. Fazio, ‘An Individual Difference Measure of Motivation to Control Prejudiced Reactions’, </w:t>
      </w:r>
      <w:r w:rsidRPr="009E1F40">
        <w:rPr>
          <w:rFonts w:cs="Calibri"/>
          <w:i/>
          <w:iCs/>
          <w:sz w:val="22"/>
          <w:szCs w:val="22"/>
        </w:rPr>
        <w:t>Personality and Social Psychology Bulletin</w:t>
      </w:r>
      <w:r w:rsidRPr="009E1F40">
        <w:rPr>
          <w:rFonts w:cs="Calibri"/>
          <w:sz w:val="22"/>
          <w:szCs w:val="22"/>
        </w:rPr>
        <w:t>, 23 (1997), 316–26.</w:t>
      </w:r>
    </w:p>
    <w:p w14:paraId="12B0F627"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Dyett, Richard H., ‘Is there any original difference of Intellectual Ability amongst Mankind?’, RMS Dissertations, Vol. 58 (1807–07).</w:t>
      </w:r>
    </w:p>
    <w:p w14:paraId="29DFE7FF"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Edinburgh Slavery and Colonialism Legacy Review, https://www.edinburgh.gov.uk/edinburghslaverycolonialism</w:t>
      </w:r>
    </w:p>
    <w:p w14:paraId="0DD3F376"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Edinburgh Subscription Book, 1696, Adv. MS 83.1.1, Subscription Books of the Darien Company, Accounts and Papers of the Company of Scotland Trading to Africa and the Indies (Darien Company), National Library of Scotland.</w:t>
      </w:r>
    </w:p>
    <w:p w14:paraId="172FB6D5" w14:textId="77777777" w:rsidR="00F91E9E" w:rsidRPr="009E1F40" w:rsidRDefault="00F91E9E" w:rsidP="00057638">
      <w:pPr>
        <w:pStyle w:val="FootnoteText"/>
        <w:spacing w:line="259" w:lineRule="auto"/>
        <w:ind w:left="720" w:hanging="720"/>
        <w:jc w:val="left"/>
        <w:rPr>
          <w:rFonts w:cs="Calibri"/>
          <w:sz w:val="22"/>
          <w:szCs w:val="22"/>
          <w:shd w:val="clear" w:color="auto" w:fill="FFFFFF"/>
        </w:rPr>
      </w:pPr>
      <w:r w:rsidRPr="009E1F40">
        <w:rPr>
          <w:rFonts w:cs="Calibri"/>
          <w:sz w:val="22"/>
          <w:szCs w:val="22"/>
          <w:shd w:val="clear" w:color="auto" w:fill="FFFFFF"/>
        </w:rPr>
        <w:t xml:space="preserve">Elhinnawy, </w:t>
      </w:r>
      <w:r w:rsidRPr="009E1F40">
        <w:rPr>
          <w:rFonts w:cs="Calibri"/>
          <w:sz w:val="22"/>
          <w:szCs w:val="22"/>
        </w:rPr>
        <w:t xml:space="preserve">Hind, </w:t>
      </w:r>
      <w:r w:rsidRPr="009E1F40">
        <w:rPr>
          <w:rFonts w:cs="Calibri"/>
          <w:sz w:val="22"/>
          <w:szCs w:val="22"/>
          <w:shd w:val="clear" w:color="auto" w:fill="FFFFFF"/>
        </w:rPr>
        <w:t xml:space="preserve">‘Decolonising the Curriculum: Students’ Perspectives in Criminology’, </w:t>
      </w:r>
      <w:r w:rsidRPr="009E1F40">
        <w:rPr>
          <w:rFonts w:cs="Calibri"/>
          <w:i/>
          <w:iCs/>
          <w:sz w:val="22"/>
          <w:szCs w:val="22"/>
          <w:shd w:val="clear" w:color="auto" w:fill="FFFFFF"/>
        </w:rPr>
        <w:t>Race Ethnicity and Education</w:t>
      </w:r>
      <w:r w:rsidRPr="009E1F40">
        <w:rPr>
          <w:rFonts w:cs="Calibri"/>
          <w:sz w:val="22"/>
          <w:szCs w:val="22"/>
          <w:shd w:val="clear" w:color="auto" w:fill="FFFFFF"/>
        </w:rPr>
        <w:t>, 26 (2023), 663–79.</w:t>
      </w:r>
    </w:p>
    <w:p w14:paraId="1C85CF5D"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Englander, David (editor), </w:t>
      </w:r>
      <w:r w:rsidRPr="009E1F40">
        <w:rPr>
          <w:rFonts w:cs="Calibri"/>
          <w:i/>
          <w:iCs/>
          <w:sz w:val="22"/>
          <w:szCs w:val="22"/>
        </w:rPr>
        <w:t>A Documentary History of Jewish Immigrants in Britain 1840–1920</w:t>
      </w:r>
      <w:r w:rsidRPr="009E1F40">
        <w:rPr>
          <w:rFonts w:cs="Calibri"/>
          <w:sz w:val="22"/>
          <w:szCs w:val="22"/>
        </w:rPr>
        <w:t xml:space="preserve"> (London: Leicester University Press, 1994).</w:t>
      </w:r>
    </w:p>
    <w:p w14:paraId="5470EF49"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Equality and Human Rights Commission, </w:t>
      </w:r>
      <w:r w:rsidRPr="009E1F40">
        <w:rPr>
          <w:rFonts w:cs="Calibri"/>
          <w:i/>
          <w:iCs/>
          <w:sz w:val="22"/>
          <w:szCs w:val="22"/>
        </w:rPr>
        <w:t>Racial Harassment in British Universities: Qualitative Research Findings</w:t>
      </w:r>
      <w:r w:rsidRPr="009E1F40">
        <w:rPr>
          <w:rFonts w:cs="Calibri"/>
          <w:sz w:val="22"/>
          <w:szCs w:val="22"/>
        </w:rPr>
        <w:t>,</w:t>
      </w:r>
      <w:r w:rsidRPr="009E1F40">
        <w:rPr>
          <w:rFonts w:cs="Calibri"/>
          <w:i/>
          <w:iCs/>
          <w:sz w:val="22"/>
          <w:szCs w:val="22"/>
        </w:rPr>
        <w:t xml:space="preserve"> </w:t>
      </w:r>
      <w:r w:rsidRPr="009E1F40">
        <w:rPr>
          <w:rFonts w:cs="Calibri"/>
          <w:sz w:val="22"/>
          <w:szCs w:val="22"/>
        </w:rPr>
        <w:t xml:space="preserve">October 2019, https://www.equalityhumanrights.com/sites/default/files/racial-harassment-in-british-universities-qualitative-research-findings.pdf. </w:t>
      </w:r>
    </w:p>
    <w:p w14:paraId="0B98AED2"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w:t>
      </w:r>
      <w:r w:rsidRPr="009E1F40">
        <w:rPr>
          <w:rFonts w:cs="Calibri"/>
          <w:i/>
          <w:iCs/>
          <w:sz w:val="22"/>
          <w:szCs w:val="22"/>
        </w:rPr>
        <w:t>Racial Harassment Inquiry: Survey of Universities</w:t>
      </w:r>
      <w:r w:rsidRPr="009E1F40">
        <w:rPr>
          <w:rFonts w:cs="Calibri"/>
          <w:sz w:val="22"/>
          <w:szCs w:val="22"/>
        </w:rPr>
        <w:t xml:space="preserve">, October 2019, </w:t>
      </w:r>
      <w:hyperlink r:id="rId174" w:history="1">
        <w:r w:rsidRPr="009E1F40">
          <w:rPr>
            <w:rStyle w:val="Hyperlink"/>
            <w:rFonts w:cs="Calibri"/>
            <w:sz w:val="22"/>
            <w:szCs w:val="22"/>
          </w:rPr>
          <w:t>https://www.equalityhumanrights.com/sites/default/files/racial-harassment-inquiry-survey-of-university-students.pdf</w:t>
        </w:r>
      </w:hyperlink>
      <w:r w:rsidRPr="009E1F40">
        <w:rPr>
          <w:rFonts w:cs="Calibri"/>
          <w:sz w:val="22"/>
          <w:szCs w:val="22"/>
        </w:rPr>
        <w:t>.</w:t>
      </w:r>
    </w:p>
    <w:p w14:paraId="7B7765F5"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w:t>
      </w:r>
      <w:r w:rsidRPr="009E1F40">
        <w:rPr>
          <w:rFonts w:cs="Calibri"/>
          <w:i/>
          <w:iCs/>
          <w:sz w:val="22"/>
          <w:szCs w:val="22"/>
        </w:rPr>
        <w:t>Tackling Racial Harassment: Universities Challenged</w:t>
      </w:r>
      <w:r w:rsidRPr="009E1F40">
        <w:rPr>
          <w:rFonts w:cs="Calibri"/>
          <w:sz w:val="22"/>
          <w:szCs w:val="22"/>
        </w:rPr>
        <w:t xml:space="preserve">, October 2019, https://www.equalityhumanrights.com/sites/default/files/tackling-racial-harassment-universities-challenged.pdf. </w:t>
      </w:r>
    </w:p>
    <w:p w14:paraId="2E8F66A2"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Exeter College Oxford, </w:t>
      </w:r>
      <w:r w:rsidRPr="009E1F40">
        <w:rPr>
          <w:rFonts w:cs="Calibri"/>
          <w:i/>
          <w:iCs/>
          <w:sz w:val="22"/>
          <w:szCs w:val="22"/>
        </w:rPr>
        <w:t>Exeter College and Legacies of Slavery</w:t>
      </w:r>
      <w:r w:rsidRPr="009E1F40">
        <w:rPr>
          <w:rFonts w:cs="Calibri"/>
          <w:sz w:val="22"/>
          <w:szCs w:val="22"/>
        </w:rPr>
        <w:t xml:space="preserve"> (2023), https://www.exeter.ox.ac.uk/documents/Exeter-College-and-the-Legacies-of-Slavery-Report.pdf. </w:t>
      </w:r>
    </w:p>
    <w:p w14:paraId="4E612DA4"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Eze, Emmanuel Chukwudi, </w:t>
      </w:r>
      <w:r w:rsidRPr="009E1F40">
        <w:rPr>
          <w:rFonts w:cs="Calibri"/>
          <w:i/>
          <w:iCs/>
          <w:sz w:val="22"/>
          <w:szCs w:val="22"/>
        </w:rPr>
        <w:t>Race and the Enlightenment: A Reader</w:t>
      </w:r>
      <w:r w:rsidRPr="009E1F40">
        <w:rPr>
          <w:rFonts w:cs="Calibri"/>
          <w:sz w:val="22"/>
          <w:szCs w:val="22"/>
        </w:rPr>
        <w:t xml:space="preserve"> (Oxford: Oxford University Press, 1997).</w:t>
      </w:r>
    </w:p>
    <w:p w14:paraId="0DD9C051" w14:textId="055A49E5" w:rsidR="00B318AF" w:rsidRPr="00B318AF" w:rsidRDefault="00B318AF" w:rsidP="00057638">
      <w:pPr>
        <w:pStyle w:val="FootnoteText"/>
        <w:spacing w:line="259" w:lineRule="auto"/>
        <w:ind w:left="720" w:hanging="720"/>
        <w:jc w:val="left"/>
        <w:rPr>
          <w:rFonts w:cs="Calibri"/>
          <w:sz w:val="22"/>
          <w:szCs w:val="22"/>
        </w:rPr>
      </w:pPr>
      <w:r w:rsidRPr="00B318AF">
        <w:rPr>
          <w:sz w:val="22"/>
          <w:szCs w:val="22"/>
        </w:rPr>
        <w:t xml:space="preserve">Fakunle, Omolabake, Charlie Bevan, Sharon Boateng and Megan Douglas, ‘Decolonising the Curriculum: A Conversation with Dr Omolabake Fakunle’, </w:t>
      </w:r>
      <w:r w:rsidRPr="00B318AF">
        <w:rPr>
          <w:i/>
          <w:iCs/>
          <w:sz w:val="22"/>
          <w:szCs w:val="22"/>
        </w:rPr>
        <w:t>Teaching Matters</w:t>
      </w:r>
      <w:r w:rsidRPr="00B318AF">
        <w:rPr>
          <w:sz w:val="22"/>
          <w:szCs w:val="22"/>
        </w:rPr>
        <w:t>, 1 July 2024, https://blogs.ed.ac.uk/teaching-matters/decolonising-the-curriculum-a-conversation-with-dr-omolabake-fakunle/.</w:t>
      </w:r>
    </w:p>
    <w:p w14:paraId="0120CFCA" w14:textId="690F5FC4"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Fakunle, Omolabake, Yifang Xu, Mariel Deluna, ‘Exploring the intersection of inclusion and internationalisation at the University of Edinburgh. </w:t>
      </w:r>
      <w:r w:rsidRPr="06D755CD">
        <w:rPr>
          <w:rFonts w:cs="Calibri"/>
          <w:sz w:val="22"/>
          <w:szCs w:val="22"/>
        </w:rPr>
        <w:t xml:space="preserve">Final Report: Scoping Study (2022)’, PTAS Project Report (2022), </w:t>
      </w:r>
      <w:hyperlink r:id="rId175">
        <w:r w:rsidRPr="06D755CD">
          <w:rPr>
            <w:rStyle w:val="Hyperlink"/>
            <w:rFonts w:cs="Calibri"/>
            <w:sz w:val="22"/>
            <w:szCs w:val="22"/>
          </w:rPr>
          <w:t>https://institute-academic-development.ed.ac.uk/learning-teaching/funding/funding/previous-projects/year/march-2021/inclusiveness-in-internationalisation</w:t>
        </w:r>
      </w:hyperlink>
      <w:r w:rsidRPr="06D755CD">
        <w:rPr>
          <w:rFonts w:cs="Calibri"/>
          <w:sz w:val="22"/>
          <w:szCs w:val="22"/>
        </w:rPr>
        <w:t xml:space="preserve">.  </w:t>
      </w:r>
    </w:p>
    <w:p w14:paraId="62D01860"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[Ferguson, Adam], ‘Heads of Lectures’, EUL Coll-1848/20-0060. </w:t>
      </w:r>
    </w:p>
    <w:p w14:paraId="64440A38"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‘Lectures on Moral Philosophy’, EUL, Dc.1.84, Vol. 1, 30 November 1780, F. 127v. </w:t>
      </w:r>
    </w:p>
    <w:p w14:paraId="2148E881"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Fforde, Cressida, ‘Controlling the Dead: An Analysis of the Collecting and Repatriation of Aboriginal Human Remains’, 2 vols (unpublished doctoral thesis, University of Southampton, 1997). </w:t>
      </w:r>
    </w:p>
    <w:p w14:paraId="050C4E65"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lastRenderedPageBreak/>
        <w:t>________</w:t>
      </w:r>
      <w:r w:rsidRPr="009E1F40">
        <w:rPr>
          <w:rFonts w:cs="Calibri"/>
          <w:sz w:val="22"/>
          <w:szCs w:val="22"/>
        </w:rPr>
        <w:t xml:space="preserve">, </w:t>
      </w:r>
      <w:r w:rsidRPr="009E1F40">
        <w:rPr>
          <w:rFonts w:cs="Calibri"/>
          <w:i/>
          <w:iCs/>
          <w:sz w:val="22"/>
          <w:szCs w:val="22"/>
        </w:rPr>
        <w:t xml:space="preserve">Collecting the Dead: Archaeology and the Reburial Issue </w:t>
      </w:r>
      <w:r w:rsidRPr="009E1F40">
        <w:rPr>
          <w:rFonts w:cs="Calibri"/>
          <w:sz w:val="22"/>
          <w:szCs w:val="22"/>
        </w:rPr>
        <w:t>(London: Duckworth, 2004).</w:t>
      </w:r>
    </w:p>
    <w:p w14:paraId="44282EA4"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Francis Irvine Papers, NLS, MS 11727, 18r.</w:t>
      </w:r>
    </w:p>
    <w:p w14:paraId="54921B06" w14:textId="77777777" w:rsidR="00F91E9E" w:rsidRPr="009E1F40" w:rsidRDefault="00F91E9E" w:rsidP="00057638">
      <w:pPr>
        <w:pStyle w:val="FootnoteText"/>
        <w:spacing w:line="259" w:lineRule="auto"/>
        <w:ind w:left="720" w:hanging="720"/>
        <w:jc w:val="left"/>
        <w:rPr>
          <w:rFonts w:cs="Calibri"/>
          <w:sz w:val="22"/>
          <w:szCs w:val="22"/>
        </w:rPr>
      </w:pPr>
      <w:bookmarkStart w:id="122" w:name="_Hlk201811441"/>
      <w:r w:rsidRPr="009E1F40">
        <w:rPr>
          <w:rFonts w:cs="Calibri"/>
          <w:sz w:val="22"/>
          <w:szCs w:val="22"/>
        </w:rPr>
        <w:t>Franssen</w:t>
      </w:r>
      <w:bookmarkEnd w:id="122"/>
      <w:r w:rsidRPr="009E1F40">
        <w:rPr>
          <w:rFonts w:cs="Calibri"/>
          <w:sz w:val="22"/>
          <w:szCs w:val="22"/>
        </w:rPr>
        <w:t xml:space="preserve">, Becca, </w:t>
      </w:r>
      <w:bookmarkStart w:id="123" w:name="_Hlk201811507"/>
      <w:r w:rsidRPr="009E1F40">
        <w:rPr>
          <w:rFonts w:cs="Calibri"/>
          <w:i/>
          <w:iCs/>
          <w:sz w:val="22"/>
          <w:szCs w:val="22"/>
        </w:rPr>
        <w:t>Unblocking the Pipeline</w:t>
      </w:r>
      <w:bookmarkEnd w:id="123"/>
      <w:r w:rsidRPr="009E1F40">
        <w:rPr>
          <w:rFonts w:cs="Calibri"/>
          <w:i/>
          <w:iCs/>
          <w:sz w:val="22"/>
          <w:szCs w:val="22"/>
        </w:rPr>
        <w:t>: Supporting the Retention, Progression and Promotion of Black Early-Career Academics</w:t>
      </w:r>
      <w:r w:rsidRPr="009E1F40">
        <w:rPr>
          <w:rFonts w:cs="Calibri"/>
          <w:sz w:val="22"/>
          <w:szCs w:val="22"/>
        </w:rPr>
        <w:t xml:space="preserve"> (Oxford: Higher Education Policy Institute, 2024).</w:t>
      </w:r>
    </w:p>
    <w:p w14:paraId="0423A008"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Gallagher, Jock, </w:t>
      </w:r>
      <w:r w:rsidRPr="009E1F40">
        <w:rPr>
          <w:rFonts w:cs="Calibri"/>
          <w:i/>
          <w:iCs/>
          <w:sz w:val="22"/>
          <w:szCs w:val="22"/>
        </w:rPr>
        <w:t>Scotland’s Global Empire: A Chronicle of Great Scots</w:t>
      </w:r>
      <w:r w:rsidRPr="009E1F40">
        <w:rPr>
          <w:rFonts w:cs="Calibri"/>
          <w:sz w:val="22"/>
          <w:szCs w:val="22"/>
        </w:rPr>
        <w:t xml:space="preserve"> (Dunbeath: Whittles Publishing, 2013). </w:t>
      </w:r>
    </w:p>
    <w:p w14:paraId="65BF0721"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Garrett, Aaron and Silvia Sebastiani, ’David Hume on Race’, in </w:t>
      </w:r>
      <w:r w:rsidRPr="009E1F40">
        <w:rPr>
          <w:rFonts w:cs="Calibri"/>
          <w:i/>
          <w:iCs/>
          <w:sz w:val="22"/>
          <w:szCs w:val="22"/>
        </w:rPr>
        <w:t>The Oxford Handbook of Philosophy and Race</w:t>
      </w:r>
      <w:r w:rsidRPr="009E1F40">
        <w:rPr>
          <w:rFonts w:cs="Calibri"/>
          <w:sz w:val="22"/>
          <w:szCs w:val="22"/>
        </w:rPr>
        <w:t>, ed. by Naomi Zack (Oxford, 2017), pp. 31</w:t>
      </w:r>
      <w:r w:rsidRPr="009E1F40">
        <w:rPr>
          <w:rFonts w:cs="Calibri"/>
          <w:i/>
          <w:iCs/>
          <w:sz w:val="22"/>
          <w:szCs w:val="22"/>
        </w:rPr>
        <w:t>–</w:t>
      </w:r>
      <w:r w:rsidRPr="009E1F40">
        <w:rPr>
          <w:rFonts w:cs="Calibri"/>
          <w:sz w:val="22"/>
          <w:szCs w:val="22"/>
        </w:rPr>
        <w:t>43.</w:t>
      </w:r>
    </w:p>
    <w:p w14:paraId="6C816DFA" w14:textId="77777777" w:rsidR="00F91E9E" w:rsidRPr="009E1F40" w:rsidRDefault="00F91E9E" w:rsidP="00057638">
      <w:pPr>
        <w:pStyle w:val="FootnoteText"/>
        <w:spacing w:line="259" w:lineRule="auto"/>
        <w:ind w:left="720" w:hanging="720"/>
        <w:jc w:val="left"/>
        <w:rPr>
          <w:rStyle w:val="normaltextrun"/>
          <w:rFonts w:cs="Calibri"/>
          <w:color w:val="000000"/>
          <w:sz w:val="22"/>
          <w:szCs w:val="22"/>
          <w:shd w:val="clear" w:color="auto" w:fill="FFFFFF"/>
        </w:rPr>
      </w:pPr>
      <w:r w:rsidRPr="009E1F40">
        <w:rPr>
          <w:rStyle w:val="normaltextrun"/>
          <w:rFonts w:cs="Calibri"/>
          <w:color w:val="000000"/>
          <w:sz w:val="22"/>
          <w:szCs w:val="22"/>
          <w:shd w:val="clear" w:color="auto" w:fill="FFFFFF"/>
        </w:rPr>
        <w:t>Gerbner, Katharine, ‘Archival Violence, Archival Capital: Ethics, Inheritance, and Reparations in the Thistlewood Diaries’, </w:t>
      </w:r>
      <w:r w:rsidRPr="009E1F40">
        <w:rPr>
          <w:rStyle w:val="normaltextrun"/>
          <w:rFonts w:cs="Calibri"/>
          <w:i/>
          <w:iCs/>
          <w:color w:val="000000"/>
          <w:sz w:val="22"/>
          <w:szCs w:val="22"/>
          <w:shd w:val="clear" w:color="auto" w:fill="FFFFFF"/>
        </w:rPr>
        <w:t>The William and Mary Quarterly</w:t>
      </w:r>
      <w:r w:rsidRPr="009E1F40">
        <w:rPr>
          <w:rStyle w:val="normaltextrun"/>
          <w:rFonts w:cs="Calibri"/>
          <w:color w:val="000000"/>
          <w:sz w:val="22"/>
          <w:szCs w:val="22"/>
          <w:shd w:val="clear" w:color="auto" w:fill="FFFFFF"/>
        </w:rPr>
        <w:t>, 79 (2022), 595–624.</w:t>
      </w:r>
    </w:p>
    <w:p w14:paraId="3C650CBA" w14:textId="4F006610" w:rsidR="00F91E9E" w:rsidRPr="009E1F40" w:rsidRDefault="00F91E9E" w:rsidP="00057638">
      <w:pPr>
        <w:pStyle w:val="FootnoteText"/>
        <w:spacing w:line="259" w:lineRule="auto"/>
        <w:ind w:left="720" w:hanging="720"/>
        <w:jc w:val="left"/>
        <w:rPr>
          <w:rFonts w:cs="Calibri"/>
          <w:sz w:val="22"/>
          <w:szCs w:val="22"/>
        </w:rPr>
      </w:pPr>
      <w:r w:rsidRPr="06D755CD">
        <w:rPr>
          <w:rFonts w:cs="Calibri"/>
          <w:sz w:val="22"/>
          <w:szCs w:val="22"/>
        </w:rPr>
        <w:t xml:space="preserve">Goopta, Cassandra, ‘University of Dundee Founders Project: Final Report’, University of Dundee, October 2022, </w:t>
      </w:r>
      <w:hyperlink r:id="rId176">
        <w:r w:rsidRPr="06D755CD">
          <w:rPr>
            <w:rStyle w:val="Hyperlink"/>
            <w:rFonts w:cs="Calibri"/>
            <w:sz w:val="22"/>
            <w:szCs w:val="22"/>
          </w:rPr>
          <w:t>https://www.dundee.ac.uk/corporate-information/founders-project-final-report</w:t>
        </w:r>
      </w:hyperlink>
      <w:r w:rsidRPr="06D755CD">
        <w:rPr>
          <w:rFonts w:cs="Calibri"/>
          <w:sz w:val="22"/>
          <w:szCs w:val="22"/>
        </w:rPr>
        <w:t>.</w:t>
      </w:r>
    </w:p>
    <w:p w14:paraId="0BA60D9F"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Gregory, David, ‘A project for a Navigation school presented to the E: India company of Scotland’, 10 April 1696, Coll-33/Folio C [217], Papers of David Gregory, Coll-33, EUL, https://images.is.ed.ac.uk/luna/servlet/s/4edxm8. </w:t>
      </w:r>
    </w:p>
    <w:p w14:paraId="7C653C43"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Gust, Onni, </w:t>
      </w:r>
      <w:r w:rsidRPr="009E1F40">
        <w:rPr>
          <w:rFonts w:cs="Calibri"/>
          <w:i/>
          <w:iCs/>
          <w:sz w:val="22"/>
          <w:szCs w:val="22"/>
        </w:rPr>
        <w:t>Unhomely Empire: Whiteness and Belonging, c.1760–1830</w:t>
      </w:r>
      <w:r w:rsidRPr="009E1F40">
        <w:rPr>
          <w:rFonts w:cs="Calibri"/>
          <w:sz w:val="22"/>
          <w:szCs w:val="22"/>
        </w:rPr>
        <w:t xml:space="preserve"> (London, 2021). </w:t>
      </w:r>
    </w:p>
    <w:p w14:paraId="52C5DCAF" w14:textId="77777777" w:rsidR="00F91E9E" w:rsidRPr="009E1F40" w:rsidRDefault="00F91E9E" w:rsidP="00057638">
      <w:pPr>
        <w:spacing w:line="259" w:lineRule="auto"/>
        <w:ind w:left="720" w:hanging="720"/>
        <w:rPr>
          <w:rFonts w:ascii="Calibri" w:hAnsi="Calibri" w:cs="Calibri"/>
          <w:sz w:val="22"/>
          <w:szCs w:val="22"/>
          <w:shd w:val="clear" w:color="auto" w:fill="FFFFFF"/>
        </w:rPr>
      </w:pPr>
      <w:r w:rsidRPr="009E1F40">
        <w:rPr>
          <w:rFonts w:ascii="Calibri" w:hAnsi="Calibri" w:cs="Calibri"/>
          <w:sz w:val="22"/>
          <w:szCs w:val="22"/>
          <w:shd w:val="clear" w:color="auto" w:fill="FFFFFF"/>
        </w:rPr>
        <w:t xml:space="preserve">Hall, Budd L. and Rajesh Tandon, ‘Decolonization of Knowledge, Epistemicide, Participatory Research and Higher Education’, </w:t>
      </w:r>
      <w:r w:rsidRPr="009E1F40">
        <w:rPr>
          <w:rFonts w:ascii="Calibri" w:hAnsi="Calibri" w:cs="Calibri"/>
          <w:i/>
          <w:iCs/>
          <w:sz w:val="22"/>
          <w:szCs w:val="22"/>
          <w:shd w:val="clear" w:color="auto" w:fill="FFFFFF"/>
        </w:rPr>
        <w:t>Research for All</w:t>
      </w:r>
      <w:r w:rsidRPr="009E1F40">
        <w:rPr>
          <w:rFonts w:ascii="Calibri" w:hAnsi="Calibri" w:cs="Calibri"/>
          <w:sz w:val="22"/>
          <w:szCs w:val="22"/>
          <w:shd w:val="clear" w:color="auto" w:fill="FFFFFF"/>
        </w:rPr>
        <w:t>, 1 (2017), 6–19.</w:t>
      </w:r>
    </w:p>
    <w:p w14:paraId="0BB019A4"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Hall, Catherine, ‘Racial Capitalism: What’s in a Name?’, </w:t>
      </w:r>
      <w:r w:rsidRPr="009E1F40">
        <w:rPr>
          <w:rFonts w:cs="Calibri"/>
          <w:i/>
          <w:iCs/>
          <w:sz w:val="22"/>
          <w:szCs w:val="22"/>
        </w:rPr>
        <w:t>History Workshop Journal</w:t>
      </w:r>
      <w:r w:rsidRPr="009E1F40">
        <w:rPr>
          <w:rFonts w:cs="Calibri"/>
          <w:sz w:val="22"/>
          <w:szCs w:val="22"/>
        </w:rPr>
        <w:t>, 94 (2022), 5–21.</w:t>
      </w:r>
    </w:p>
    <w:p w14:paraId="37B7B520" w14:textId="652708EA" w:rsidR="004F1F9A" w:rsidRPr="004F1F9A" w:rsidRDefault="004F1F9A" w:rsidP="00057638">
      <w:pPr>
        <w:pStyle w:val="FootnoteText"/>
        <w:spacing w:line="259" w:lineRule="auto"/>
        <w:ind w:left="720" w:hanging="720"/>
        <w:jc w:val="left"/>
        <w:rPr>
          <w:rFonts w:asciiTheme="minorHAnsi" w:hAnsiTheme="minorHAnsi" w:cstheme="minorHAnsi"/>
          <w:color w:val="262626"/>
          <w:sz w:val="22"/>
          <w:szCs w:val="22"/>
        </w:rPr>
      </w:pPr>
      <w:r w:rsidRPr="06D755CD">
        <w:rPr>
          <w:rFonts w:asciiTheme="minorHAnsi" w:hAnsiTheme="minorHAnsi"/>
          <w:color w:val="262626" w:themeColor="text1" w:themeTint="D9"/>
          <w:sz w:val="22"/>
          <w:szCs w:val="22"/>
        </w:rPr>
        <w:t xml:space="preserve">Hart, </w:t>
      </w:r>
      <w:r w:rsidRPr="004F1F9A">
        <w:rPr>
          <w:rFonts w:asciiTheme="minorHAnsi" w:hAnsiTheme="minorHAnsi" w:cstheme="minorHAnsi"/>
          <w:sz w:val="22"/>
          <w:szCs w:val="22"/>
        </w:rPr>
        <w:t xml:space="preserve">Jeni </w:t>
      </w:r>
      <w:r w:rsidRPr="06D755CD">
        <w:rPr>
          <w:rFonts w:asciiTheme="minorHAnsi" w:hAnsiTheme="minorHAnsi"/>
          <w:color w:val="262626" w:themeColor="text1" w:themeTint="D9"/>
          <w:sz w:val="22"/>
          <w:szCs w:val="22"/>
        </w:rPr>
        <w:t>and Jennifer Fellabaum, ‘Analyzing Campus Climate Studies: Seeking to Define and Understand’, </w:t>
      </w:r>
      <w:r w:rsidRPr="06D755CD">
        <w:rPr>
          <w:rFonts w:asciiTheme="minorHAnsi" w:hAnsiTheme="minorHAnsi"/>
          <w:i/>
          <w:color w:val="262626" w:themeColor="text1" w:themeTint="D9"/>
          <w:sz w:val="22"/>
          <w:szCs w:val="22"/>
        </w:rPr>
        <w:t>Journal of Diversity in Higher Education</w:t>
      </w:r>
      <w:r w:rsidRPr="06D755CD">
        <w:rPr>
          <w:rFonts w:asciiTheme="minorHAnsi" w:hAnsiTheme="minorHAnsi"/>
          <w:color w:val="262626" w:themeColor="text1" w:themeTint="D9"/>
          <w:sz w:val="22"/>
          <w:szCs w:val="22"/>
        </w:rPr>
        <w:t>, 1 (2008), 222–34.</w:t>
      </w:r>
    </w:p>
    <w:p w14:paraId="7DD469EA" w14:textId="18029FC3"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Harvard University, </w:t>
      </w:r>
      <w:r w:rsidRPr="009E1F40">
        <w:rPr>
          <w:rFonts w:cs="Calibri"/>
          <w:i/>
          <w:iCs/>
          <w:sz w:val="22"/>
          <w:szCs w:val="22"/>
        </w:rPr>
        <w:t>Harvard &amp; the Legacy of Slavery</w:t>
      </w:r>
      <w:r w:rsidRPr="009E1F40">
        <w:rPr>
          <w:rFonts w:cs="Calibri"/>
          <w:sz w:val="22"/>
          <w:szCs w:val="22"/>
        </w:rPr>
        <w:t xml:space="preserve"> (2022), </w:t>
      </w:r>
      <w:hyperlink r:id="rId177" w:history="1">
        <w:r w:rsidRPr="009E1F40">
          <w:rPr>
            <w:rStyle w:val="Hyperlink"/>
            <w:rFonts w:cs="Calibri"/>
            <w:sz w:val="22"/>
            <w:szCs w:val="22"/>
          </w:rPr>
          <w:t>https://legacyofslavery.harvard.edu/report/legacies-of-slavery-in-scholarship-race-science</w:t>
        </w:r>
      </w:hyperlink>
      <w:r w:rsidRPr="009E1F40">
        <w:rPr>
          <w:rFonts w:cs="Calibri"/>
          <w:sz w:val="22"/>
          <w:szCs w:val="22"/>
        </w:rPr>
        <w:t xml:space="preserve">.  </w:t>
      </w:r>
    </w:p>
    <w:p w14:paraId="58F01ED5"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Hirsch, Lioba, ‘LSHTM and Colonialism: A Report on the Colonial History of the London School of Hygiene &amp; Tropical Medicine (1899–c.1960)’, London School of Hygiene &amp; Tropical Medicine (2022), </w:t>
      </w:r>
      <w:hyperlink r:id="rId178" w:history="1">
        <w:r w:rsidRPr="009E1F40">
          <w:rPr>
            <w:rStyle w:val="Hyperlink"/>
            <w:rFonts w:cs="Calibri"/>
            <w:sz w:val="22"/>
            <w:szCs w:val="22"/>
          </w:rPr>
          <w:t>https://researchonline.lshtm.ac.uk/id/eprint/4666958/</w:t>
        </w:r>
      </w:hyperlink>
      <w:r w:rsidRPr="009E1F40">
        <w:rPr>
          <w:rFonts w:cs="Calibri"/>
          <w:sz w:val="22"/>
          <w:szCs w:val="22"/>
        </w:rPr>
        <w:t xml:space="preserve">. </w:t>
      </w:r>
    </w:p>
    <w:p w14:paraId="0EDBAFB8"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Historic Environment Scotland, ‘Surveying and Analysing Connections between Properties in Care and the British Empire, c.1600–1997’, 19 February 2024, </w:t>
      </w:r>
      <w:hyperlink r:id="rId179" w:history="1">
        <w:r w:rsidRPr="009E1F40">
          <w:rPr>
            <w:rStyle w:val="Hyperlink"/>
            <w:rFonts w:cs="Calibri"/>
            <w:sz w:val="22"/>
            <w:szCs w:val="22"/>
          </w:rPr>
          <w:t>https://www.historicenvironment.scot/archives-and-research/publications/publication/?publicationId=e192ea9f-0d7e-4745-b499-b0fb010a167a</w:t>
        </w:r>
      </w:hyperlink>
      <w:r w:rsidRPr="009E1F40">
        <w:rPr>
          <w:rFonts w:cs="Calibri"/>
          <w:sz w:val="22"/>
          <w:szCs w:val="22"/>
        </w:rPr>
        <w:t>.</w:t>
      </w:r>
    </w:p>
    <w:p w14:paraId="1CF0CD42"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i/>
          <w:iCs/>
          <w:sz w:val="22"/>
          <w:szCs w:val="22"/>
        </w:rPr>
        <w:t>History of the Dialectic Society</w:t>
      </w:r>
      <w:r w:rsidRPr="009E1F40">
        <w:rPr>
          <w:rFonts w:cs="Calibri"/>
          <w:sz w:val="22"/>
          <w:szCs w:val="22"/>
        </w:rPr>
        <w:t xml:space="preserve"> (Edinburgh: T. &amp; A. Constable, 1887). </w:t>
      </w:r>
    </w:p>
    <w:p w14:paraId="5CFF2548"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i/>
          <w:iCs/>
          <w:sz w:val="22"/>
          <w:szCs w:val="22"/>
        </w:rPr>
        <w:t>History of the Speculative Society of Edinburgh from its Institution in 1764</w:t>
      </w:r>
      <w:r w:rsidRPr="009E1F40">
        <w:rPr>
          <w:rFonts w:cs="Calibri"/>
          <w:sz w:val="22"/>
          <w:szCs w:val="22"/>
        </w:rPr>
        <w:t xml:space="preserve"> (Edinburgh: Printed for the Society, 1845).</w:t>
      </w:r>
    </w:p>
    <w:p w14:paraId="43461FDC"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Horkheimer, Max and Theodor Adorno, </w:t>
      </w:r>
      <w:r w:rsidRPr="009E1F40">
        <w:rPr>
          <w:rFonts w:cs="Calibri"/>
          <w:i/>
          <w:iCs/>
          <w:sz w:val="22"/>
          <w:szCs w:val="22"/>
        </w:rPr>
        <w:t>Dialectic of Enlightenment</w:t>
      </w:r>
      <w:r w:rsidRPr="009E1F40">
        <w:rPr>
          <w:rFonts w:cs="Calibri"/>
          <w:sz w:val="22"/>
          <w:szCs w:val="22"/>
        </w:rPr>
        <w:t>, trans. by John Cumming (London: Verso, 2016; first publ. in 1944).</w:t>
      </w:r>
    </w:p>
    <w:p w14:paraId="7441198E" w14:textId="77777777" w:rsidR="00F91E9E" w:rsidRPr="009E1F40" w:rsidRDefault="00F91E9E" w:rsidP="00057638">
      <w:pPr>
        <w:spacing w:line="259" w:lineRule="auto"/>
        <w:ind w:left="720" w:hanging="720"/>
        <w:rPr>
          <w:rFonts w:ascii="Calibri" w:hAnsi="Calibri" w:cs="Calibri"/>
          <w:sz w:val="22"/>
          <w:szCs w:val="22"/>
        </w:rPr>
      </w:pPr>
      <w:r w:rsidRPr="009E1F40">
        <w:rPr>
          <w:rFonts w:ascii="Calibri" w:hAnsi="Calibri" w:cs="Calibri"/>
          <w:sz w:val="22"/>
          <w:szCs w:val="22"/>
        </w:rPr>
        <w:t xml:space="preserve">Hume, David, ‘Of National Characters’, in </w:t>
      </w:r>
      <w:r w:rsidRPr="009E1F40">
        <w:rPr>
          <w:rFonts w:ascii="Calibri" w:hAnsi="Calibri" w:cs="Calibri"/>
          <w:i/>
          <w:iCs/>
          <w:sz w:val="22"/>
          <w:szCs w:val="22"/>
        </w:rPr>
        <w:t>Essays and Treatises on Several Subjects</w:t>
      </w:r>
      <w:r w:rsidRPr="009E1F40">
        <w:rPr>
          <w:rFonts w:ascii="Calibri" w:hAnsi="Calibri" w:cs="Calibri"/>
          <w:sz w:val="22"/>
          <w:szCs w:val="22"/>
        </w:rPr>
        <w:t xml:space="preserve"> 4 vols. (London, 1753), I, 291n.</w:t>
      </w:r>
    </w:p>
    <w:p w14:paraId="007E463D"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Insh, George,</w:t>
      </w:r>
      <w:r w:rsidRPr="009E1F40">
        <w:rPr>
          <w:rFonts w:cs="Calibri"/>
          <w:i/>
          <w:iCs/>
          <w:sz w:val="22"/>
          <w:szCs w:val="22"/>
        </w:rPr>
        <w:t xml:space="preserve"> Papers Relating to the Ships and Voyages of the Company of Scotland Trading to Africa and the Indies, 1696–1707</w:t>
      </w:r>
      <w:r w:rsidRPr="009E1F40">
        <w:rPr>
          <w:rFonts w:cs="Calibri"/>
          <w:sz w:val="22"/>
          <w:szCs w:val="22"/>
        </w:rPr>
        <w:t xml:space="preserve"> (Edinburgh: Scottish History Society, 1924).</w:t>
      </w:r>
    </w:p>
    <w:p w14:paraId="075949FC" w14:textId="5D5843AF"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International Court of Justice, ‘Situation in the State of Palestine: ICC Pre-Trial Chamber I rejects the State of Israel’s challenges to jurisdiction and issues warrants of arrest for Benjamin Netanyahu and Yoav Gallant’, </w:t>
      </w:r>
      <w:r w:rsidRPr="009E1F40">
        <w:rPr>
          <w:rFonts w:cs="Calibri"/>
          <w:i/>
          <w:iCs/>
          <w:sz w:val="22"/>
          <w:szCs w:val="22"/>
        </w:rPr>
        <w:t xml:space="preserve">International Criminal Court, </w:t>
      </w:r>
      <w:r w:rsidRPr="009E1F40">
        <w:rPr>
          <w:rFonts w:cs="Calibri"/>
          <w:sz w:val="22"/>
          <w:szCs w:val="22"/>
        </w:rPr>
        <w:t xml:space="preserve">21 November 2024, </w:t>
      </w:r>
      <w:hyperlink r:id="rId180">
        <w:r w:rsidRPr="06D755CD">
          <w:rPr>
            <w:rStyle w:val="Hyperlink"/>
            <w:rFonts w:cs="Calibri"/>
            <w:sz w:val="22"/>
            <w:szCs w:val="22"/>
          </w:rPr>
          <w:t>https://www.icc-cpi.int/news/situation-state-palestine-icc-pre-trial-chamber-i-rejects-state-israels-challenges</w:t>
        </w:r>
      </w:hyperlink>
      <w:r w:rsidRPr="009E1F40">
        <w:rPr>
          <w:rFonts w:cs="Calibri"/>
          <w:sz w:val="22"/>
          <w:szCs w:val="22"/>
        </w:rPr>
        <w:t>.</w:t>
      </w:r>
    </w:p>
    <w:p w14:paraId="07780864"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South Africa v Israel, Provisional Measures, 26 January 2024,</w:t>
      </w:r>
      <w:r w:rsidRPr="009E1F40">
        <w:rPr>
          <w:rStyle w:val="apple-converted-space"/>
          <w:rFonts w:cs="Calibri"/>
          <w:sz w:val="22"/>
          <w:szCs w:val="22"/>
        </w:rPr>
        <w:t> </w:t>
      </w:r>
      <w:hyperlink r:id="rId181" w:tooltip="Original URL: https://www.icj-cij.org/sites/default/files/case-related/192/192-20240126-ord-01-00-en.pdf  Click to follow link." w:history="1">
        <w:r w:rsidRPr="009E1F40">
          <w:rPr>
            <w:rStyle w:val="Hyperlink"/>
            <w:rFonts w:cs="Calibri"/>
            <w:color w:val="auto"/>
            <w:sz w:val="22"/>
            <w:szCs w:val="22"/>
          </w:rPr>
          <w:t>https://www.icj-cij.org/sites/default/files/case-related/192/192-20240126-ord-01-00-en.pdf</w:t>
        </w:r>
      </w:hyperlink>
      <w:r w:rsidRPr="009E1F40">
        <w:rPr>
          <w:rFonts w:cs="Calibri"/>
          <w:sz w:val="22"/>
          <w:szCs w:val="22"/>
        </w:rPr>
        <w:t>.</w:t>
      </w:r>
    </w:p>
    <w:p w14:paraId="22E69A04" w14:textId="1E29828B" w:rsidR="00F91E9E" w:rsidRPr="009E1F40" w:rsidRDefault="00F91E9E" w:rsidP="00057638">
      <w:pPr>
        <w:pStyle w:val="FootnoteText"/>
        <w:spacing w:line="259" w:lineRule="auto"/>
        <w:ind w:left="720" w:hanging="720"/>
        <w:jc w:val="left"/>
        <w:rPr>
          <w:rFonts w:cs="Calibri"/>
          <w:sz w:val="22"/>
          <w:szCs w:val="22"/>
        </w:rPr>
      </w:pPr>
      <w:r w:rsidRPr="06D755CD">
        <w:rPr>
          <w:rFonts w:cs="Calibri"/>
          <w:sz w:val="22"/>
          <w:szCs w:val="22"/>
        </w:rPr>
        <w:lastRenderedPageBreak/>
        <w:t xml:space="preserve">International Network of Scholars and Activists for Afrikan Reparations (INOSAAR), ‘Principles of Participation’, July 2021, </w:t>
      </w:r>
      <w:hyperlink r:id="rId182">
        <w:r w:rsidRPr="06D755CD">
          <w:rPr>
            <w:rStyle w:val="Hyperlink"/>
            <w:rFonts w:cs="Calibri"/>
            <w:sz w:val="22"/>
            <w:szCs w:val="22"/>
          </w:rPr>
          <w:t>https://www.inosaar.llc.ed.ac.uk/sites/default/files/atoms/files/principles_of_participation_jul_2021.pdf</w:t>
        </w:r>
      </w:hyperlink>
      <w:r w:rsidRPr="06D755CD">
        <w:rPr>
          <w:rFonts w:cs="Calibri"/>
          <w:sz w:val="22"/>
          <w:szCs w:val="22"/>
        </w:rPr>
        <w:t>.</w:t>
      </w:r>
    </w:p>
    <w:p w14:paraId="03AF57B2" w14:textId="3981CC8A" w:rsidR="00F91E9E" w:rsidRPr="009E1F40" w:rsidRDefault="00F91E9E" w:rsidP="00057638">
      <w:pPr>
        <w:pStyle w:val="FootnoteText"/>
        <w:spacing w:line="259" w:lineRule="auto"/>
        <w:ind w:left="720" w:hanging="720"/>
        <w:jc w:val="left"/>
        <w:rPr>
          <w:rFonts w:cs="Calibri"/>
          <w:sz w:val="22"/>
          <w:szCs w:val="22"/>
        </w:rPr>
      </w:pPr>
      <w:r w:rsidRPr="06D755CD">
        <w:rPr>
          <w:rFonts w:cs="Calibri"/>
          <w:sz w:val="22"/>
          <w:szCs w:val="22"/>
        </w:rPr>
        <w:t xml:space="preserve">Jabarin, Shawan and Ralph Wilde, ‘How Britain broke International Law to stop Palestinian independence 100 years ago’, </w:t>
      </w:r>
      <w:r w:rsidRPr="06D755CD">
        <w:rPr>
          <w:rFonts w:cs="Calibri"/>
          <w:i/>
          <w:iCs/>
          <w:sz w:val="22"/>
          <w:szCs w:val="22"/>
        </w:rPr>
        <w:t>Mondoweiss</w:t>
      </w:r>
      <w:r w:rsidRPr="06D755CD">
        <w:rPr>
          <w:rFonts w:cs="Calibri"/>
          <w:sz w:val="22"/>
          <w:szCs w:val="22"/>
        </w:rPr>
        <w:t xml:space="preserve">, 29 September 2023 </w:t>
      </w:r>
      <w:hyperlink r:id="rId183">
        <w:r w:rsidRPr="06D755CD">
          <w:rPr>
            <w:rStyle w:val="Hyperlink"/>
            <w:rFonts w:cs="Calibri"/>
            <w:sz w:val="22"/>
            <w:szCs w:val="22"/>
          </w:rPr>
          <w:t>https://mondoweiss.net/2023/09/how-britain-broke-international-law-to-stop-palestinian-independence-100-years-ago/</w:t>
        </w:r>
      </w:hyperlink>
      <w:r w:rsidRPr="06D755CD">
        <w:rPr>
          <w:rFonts w:cs="Calibri"/>
          <w:sz w:val="22"/>
          <w:szCs w:val="22"/>
        </w:rPr>
        <w:t>.</w:t>
      </w:r>
    </w:p>
    <w:p w14:paraId="78C40763"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[Jameson, Robert], ‘Notes from Lectures on Natural History delivered in the Edinburgh University by Professor James during the winter of 1830–31’, Wellcome Collection, MS. 3358.</w:t>
      </w:r>
    </w:p>
    <w:p w14:paraId="135C609C"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‘Sketches of Lectures on Natural History’, EUL MS Dc.10.32.</w:t>
      </w:r>
    </w:p>
    <w:p w14:paraId="59F2F14D" w14:textId="77777777" w:rsidR="00F91E9E" w:rsidRPr="009E1F40" w:rsidRDefault="00F91E9E" w:rsidP="00057638">
      <w:pPr>
        <w:spacing w:line="259" w:lineRule="auto"/>
        <w:ind w:left="720" w:hanging="720"/>
        <w:rPr>
          <w:rFonts w:ascii="Calibri" w:hAnsi="Calibri" w:cs="Calibri"/>
          <w:sz w:val="22"/>
          <w:szCs w:val="22"/>
        </w:rPr>
      </w:pPr>
      <w:r w:rsidRPr="009E1F40">
        <w:rPr>
          <w:rFonts w:ascii="Calibri" w:hAnsi="Calibri" w:cs="Calibri"/>
          <w:sz w:val="22"/>
          <w:szCs w:val="22"/>
        </w:rPr>
        <w:t xml:space="preserve">Jaycna, L. S., ‘Science and Social Order in the Thought of A. J. Balfour’, </w:t>
      </w:r>
      <w:r w:rsidRPr="009E1F40">
        <w:rPr>
          <w:rFonts w:ascii="Calibri" w:hAnsi="Calibri" w:cs="Calibri"/>
          <w:i/>
          <w:sz w:val="22"/>
          <w:szCs w:val="22"/>
        </w:rPr>
        <w:t>Isis</w:t>
      </w:r>
      <w:r w:rsidRPr="009E1F40">
        <w:rPr>
          <w:rFonts w:ascii="Calibri" w:hAnsi="Calibri" w:cs="Calibri"/>
          <w:sz w:val="22"/>
          <w:szCs w:val="22"/>
        </w:rPr>
        <w:t>, 71 (1980), 11–34.</w:t>
      </w:r>
    </w:p>
    <w:p w14:paraId="581FEC64" w14:textId="77777777" w:rsidR="00F91E9E" w:rsidRPr="009E1F40" w:rsidRDefault="00F91E9E" w:rsidP="00057638">
      <w:pPr>
        <w:spacing w:line="259" w:lineRule="auto"/>
        <w:ind w:left="720" w:hanging="720"/>
        <w:rPr>
          <w:rFonts w:ascii="Calibri" w:hAnsi="Calibri" w:cs="Calibri"/>
          <w:sz w:val="22"/>
          <w:szCs w:val="22"/>
        </w:rPr>
      </w:pPr>
      <w:r w:rsidRPr="009E1F40">
        <w:rPr>
          <w:rFonts w:ascii="Calibri" w:hAnsi="Calibri" w:cs="Calibri"/>
          <w:sz w:val="22"/>
          <w:szCs w:val="22"/>
        </w:rPr>
        <w:t xml:space="preserve">Jenkins, Bill, ‘Race before Darwin: Variation, Adaptation and the Natural History of Man in Post-Enlightenment Edinburgh, 1790–1835’, </w:t>
      </w:r>
      <w:r w:rsidRPr="009E1F40">
        <w:rPr>
          <w:rFonts w:ascii="Calibri" w:hAnsi="Calibri" w:cs="Calibri"/>
          <w:i/>
          <w:iCs/>
          <w:sz w:val="22"/>
          <w:szCs w:val="22"/>
        </w:rPr>
        <w:t>British Journal for the History of Science</w:t>
      </w:r>
      <w:r w:rsidRPr="009E1F40">
        <w:rPr>
          <w:rFonts w:ascii="Calibri" w:hAnsi="Calibri" w:cs="Calibri"/>
          <w:sz w:val="22"/>
          <w:szCs w:val="22"/>
        </w:rPr>
        <w:t>, 53 (2020), 333–50.</w:t>
      </w:r>
    </w:p>
    <w:p w14:paraId="5BBC94DD"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J</w:t>
      </w:r>
      <w:r w:rsidRPr="009E1F40">
        <w:rPr>
          <w:rFonts w:cs="Calibri"/>
          <w:sz w:val="22"/>
          <w:szCs w:val="22"/>
          <w:shd w:val="clear" w:color="auto" w:fill="FFFFFF"/>
        </w:rPr>
        <w:t xml:space="preserve">ohnson, </w:t>
      </w:r>
      <w:r w:rsidRPr="009E1F40">
        <w:rPr>
          <w:rFonts w:cs="Calibri"/>
          <w:sz w:val="22"/>
          <w:szCs w:val="22"/>
        </w:rPr>
        <w:t>Azeezat</w:t>
      </w:r>
      <w:r w:rsidRPr="009E1F40">
        <w:rPr>
          <w:rFonts w:cs="Calibri"/>
          <w:sz w:val="22"/>
          <w:szCs w:val="22"/>
          <w:shd w:val="clear" w:color="auto" w:fill="FFFFFF"/>
        </w:rPr>
        <w:t xml:space="preserve"> and Remi Joseph-Salisbury, ‘“Are You Supposed to Be in Here?” Racial Microaggressions and Knowledge Production in Higher Education’, in </w:t>
      </w:r>
      <w:r w:rsidRPr="009E1F40">
        <w:rPr>
          <w:rFonts w:cs="Calibri"/>
          <w:sz w:val="22"/>
          <w:szCs w:val="22"/>
        </w:rPr>
        <w:t xml:space="preserve">Jason Arday and Heidi Safia Mirza (editors), </w:t>
      </w:r>
      <w:r w:rsidRPr="009E1F40">
        <w:rPr>
          <w:rFonts w:cs="Calibri"/>
          <w:i/>
          <w:iCs/>
          <w:sz w:val="22"/>
          <w:szCs w:val="22"/>
        </w:rPr>
        <w:t xml:space="preserve">Dismantling Race in Higher Education </w:t>
      </w:r>
      <w:r w:rsidRPr="009E1F40">
        <w:rPr>
          <w:rFonts w:cs="Calibri"/>
          <w:sz w:val="22"/>
          <w:szCs w:val="22"/>
        </w:rPr>
        <w:t xml:space="preserve">(Cham: Palgrave Macmillan, 2018), </w:t>
      </w:r>
      <w:r w:rsidRPr="009E1F40">
        <w:rPr>
          <w:rFonts w:cs="Calibri"/>
          <w:sz w:val="22"/>
          <w:szCs w:val="22"/>
          <w:shd w:val="clear" w:color="auto" w:fill="FFFFFF"/>
        </w:rPr>
        <w:t>pp. 143–60.</w:t>
      </w:r>
    </w:p>
    <w:p w14:paraId="6CA7C8A3"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Jones, Cecily, ‘Falling between the Cracks: What Diversity Means for Black Women in Higher Education’, </w:t>
      </w:r>
      <w:r w:rsidRPr="009E1F40">
        <w:rPr>
          <w:rFonts w:cs="Calibri"/>
          <w:i/>
          <w:iCs/>
          <w:sz w:val="22"/>
          <w:szCs w:val="22"/>
        </w:rPr>
        <w:t>Policy Futures in Education</w:t>
      </w:r>
      <w:r w:rsidRPr="009E1F40">
        <w:rPr>
          <w:rFonts w:cs="Calibri"/>
          <w:sz w:val="22"/>
          <w:szCs w:val="22"/>
        </w:rPr>
        <w:t>, 4 (2006), 145–59.</w:t>
      </w:r>
    </w:p>
    <w:p w14:paraId="7BC8F3B2"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Jubeh, Nazmi, ‘Patrick Geddes: Luminary or Prophet of Demonic Planning’, </w:t>
      </w:r>
      <w:r w:rsidRPr="009E1F40">
        <w:rPr>
          <w:rFonts w:cs="Calibri"/>
          <w:i/>
          <w:iCs/>
          <w:sz w:val="22"/>
          <w:szCs w:val="22"/>
        </w:rPr>
        <w:t>Jerusalem Quarterly</w:t>
      </w:r>
      <w:r w:rsidRPr="009E1F40">
        <w:rPr>
          <w:rFonts w:cs="Calibri"/>
          <w:sz w:val="22"/>
          <w:szCs w:val="22"/>
        </w:rPr>
        <w:t>, 80 (2019), 23–40.</w:t>
      </w:r>
    </w:p>
    <w:p w14:paraId="6739F5D0"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Khalidi, Rashid I. and Sherene Seikaly, ‘From the Editors’, </w:t>
      </w:r>
      <w:r w:rsidRPr="009E1F40">
        <w:rPr>
          <w:rFonts w:cs="Calibri"/>
          <w:i/>
          <w:iCs/>
          <w:sz w:val="22"/>
          <w:szCs w:val="22"/>
        </w:rPr>
        <w:t>Journal of Palestine Studies</w:t>
      </w:r>
      <w:r w:rsidRPr="009E1F40">
        <w:rPr>
          <w:rFonts w:cs="Calibri"/>
          <w:sz w:val="22"/>
          <w:szCs w:val="22"/>
        </w:rPr>
        <w:t>, 50 (2021), 1–4.</w:t>
      </w:r>
    </w:p>
    <w:p w14:paraId="35981A09" w14:textId="77777777" w:rsidR="00F91E9E" w:rsidRPr="009E1F40" w:rsidRDefault="00F91E9E" w:rsidP="00057638">
      <w:pPr>
        <w:spacing w:line="259" w:lineRule="auto"/>
        <w:ind w:left="720" w:hanging="720"/>
        <w:rPr>
          <w:rFonts w:ascii="Calibri" w:hAnsi="Calibri" w:cs="Calibri"/>
          <w:sz w:val="22"/>
          <w:szCs w:val="22"/>
        </w:rPr>
      </w:pPr>
      <w:r>
        <w:rPr>
          <w:rFonts w:cs="Calibri"/>
          <w:sz w:val="22"/>
          <w:szCs w:val="22"/>
        </w:rPr>
        <w:t>________</w:t>
      </w:r>
      <w:r w:rsidRPr="009E1F40">
        <w:rPr>
          <w:rFonts w:ascii="Calibri" w:hAnsi="Calibri" w:cs="Calibri"/>
          <w:sz w:val="22"/>
          <w:szCs w:val="22"/>
        </w:rPr>
        <w:t xml:space="preserve">, </w:t>
      </w:r>
      <w:r w:rsidRPr="009E1F40">
        <w:rPr>
          <w:rFonts w:ascii="Calibri" w:hAnsi="Calibri" w:cs="Calibri"/>
          <w:i/>
          <w:sz w:val="22"/>
          <w:szCs w:val="22"/>
        </w:rPr>
        <w:t>The Hundred Years’ War on Palestine: A History of Settler Colonialism and Resistance, 1917–2017</w:t>
      </w:r>
      <w:r w:rsidRPr="009E1F40">
        <w:rPr>
          <w:rFonts w:ascii="Calibri" w:hAnsi="Calibri" w:cs="Calibri"/>
          <w:sz w:val="22"/>
          <w:szCs w:val="22"/>
        </w:rPr>
        <w:t xml:space="preserve"> (New York: Metropolitan Books, 2020).</w:t>
      </w:r>
    </w:p>
    <w:p w14:paraId="272B8D35"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Khalidi, Walid, </w:t>
      </w:r>
      <w:r w:rsidRPr="009E1F40">
        <w:rPr>
          <w:rFonts w:cs="Calibri"/>
          <w:i/>
          <w:iCs/>
          <w:sz w:val="22"/>
          <w:szCs w:val="22"/>
        </w:rPr>
        <w:t>All That Remains: The Palestinian Villages Occupied and Depopulated by Israel in 1948</w:t>
      </w:r>
      <w:r w:rsidRPr="009E1F40">
        <w:rPr>
          <w:rFonts w:cs="Calibri"/>
          <w:sz w:val="22"/>
          <w:szCs w:val="22"/>
        </w:rPr>
        <w:t xml:space="preserve"> (Washington, DC: Institute for Palestine Studies, 1992).</w:t>
      </w:r>
    </w:p>
    <w:p w14:paraId="4CD4FE19" w14:textId="77777777" w:rsidR="00F91E9E" w:rsidRPr="009E1F40" w:rsidRDefault="00F91E9E" w:rsidP="00057638">
      <w:pPr>
        <w:spacing w:line="259" w:lineRule="auto"/>
        <w:ind w:left="720" w:hanging="720"/>
        <w:rPr>
          <w:rFonts w:ascii="Calibri" w:hAnsi="Calibri" w:cs="Calibri"/>
          <w:sz w:val="22"/>
          <w:szCs w:val="22"/>
        </w:rPr>
      </w:pPr>
      <w:r w:rsidRPr="009E1F40">
        <w:rPr>
          <w:rFonts w:ascii="Calibri" w:hAnsi="Calibri" w:cs="Calibri"/>
          <w:sz w:val="22"/>
          <w:szCs w:val="22"/>
        </w:rPr>
        <w:t xml:space="preserve">Kidd, Colin, ‘Medicine, Race, and Radicalism in the Later Scottish Enlightenment’, in </w:t>
      </w:r>
      <w:r w:rsidRPr="009E1F40">
        <w:rPr>
          <w:rFonts w:ascii="Calibri" w:hAnsi="Calibri" w:cs="Calibri"/>
          <w:i/>
          <w:iCs/>
          <w:sz w:val="22"/>
          <w:szCs w:val="22"/>
        </w:rPr>
        <w:t>The Practice of Reform in Health, Medicine, and Science, 1500–2000</w:t>
      </w:r>
      <w:r w:rsidRPr="009E1F40">
        <w:rPr>
          <w:rFonts w:ascii="Calibri" w:hAnsi="Calibri" w:cs="Calibri"/>
          <w:sz w:val="22"/>
          <w:szCs w:val="22"/>
        </w:rPr>
        <w:t>, ed. by Margaret Pelling and Scott Mandelbrote (Aldershot: Ashgate, 2005).</w:t>
      </w:r>
    </w:p>
    <w:p w14:paraId="2224E8BD" w14:textId="77777777" w:rsidR="00F91E9E" w:rsidRPr="009E1F40" w:rsidRDefault="00F91E9E" w:rsidP="00057638">
      <w:pPr>
        <w:spacing w:line="259" w:lineRule="auto"/>
        <w:ind w:left="720" w:hanging="720"/>
        <w:rPr>
          <w:rFonts w:ascii="Calibri" w:hAnsi="Calibri" w:cs="Calibri"/>
          <w:sz w:val="22"/>
          <w:szCs w:val="22"/>
        </w:rPr>
      </w:pPr>
      <w:r>
        <w:rPr>
          <w:rFonts w:cs="Calibri"/>
          <w:sz w:val="22"/>
          <w:szCs w:val="22"/>
        </w:rPr>
        <w:t>________</w:t>
      </w:r>
      <w:r w:rsidRPr="009E1F40">
        <w:rPr>
          <w:rFonts w:ascii="Calibri" w:hAnsi="Calibri" w:cs="Calibri"/>
          <w:sz w:val="22"/>
          <w:szCs w:val="22"/>
        </w:rPr>
        <w:t xml:space="preserve">, </w:t>
      </w:r>
      <w:r w:rsidRPr="009E1F40">
        <w:rPr>
          <w:rFonts w:ascii="Calibri" w:hAnsi="Calibri" w:cs="Calibri"/>
          <w:i/>
          <w:iCs/>
          <w:sz w:val="22"/>
          <w:szCs w:val="22"/>
        </w:rPr>
        <w:t>The Forging of Races: Race and Scripture in the Protestant Atlantic World, 1600–2000</w:t>
      </w:r>
      <w:r w:rsidRPr="009E1F40">
        <w:rPr>
          <w:rFonts w:ascii="Calibri" w:hAnsi="Calibri" w:cs="Calibri"/>
          <w:sz w:val="22"/>
          <w:szCs w:val="22"/>
        </w:rPr>
        <w:t xml:space="preserve"> (Cambridge: Cambridge University Press, 2006).</w:t>
      </w:r>
    </w:p>
    <w:p w14:paraId="7D016476"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Kim, Terri and Wilson Ng, ‘Ticking the “Other” Box: Positional Identities of East Asian Academics in UK Universities, Internationalisation and Diversification’, </w:t>
      </w:r>
      <w:r w:rsidRPr="009E1F40">
        <w:rPr>
          <w:rFonts w:cs="Calibri"/>
          <w:i/>
          <w:iCs/>
          <w:sz w:val="22"/>
          <w:szCs w:val="22"/>
        </w:rPr>
        <w:t>Policy Reviews in Higher Education</w:t>
      </w:r>
      <w:r w:rsidRPr="009E1F40">
        <w:rPr>
          <w:rFonts w:cs="Calibri"/>
          <w:sz w:val="22"/>
          <w:szCs w:val="22"/>
        </w:rPr>
        <w:t>, 3 (2019), 94–119.</w:t>
      </w:r>
    </w:p>
    <w:p w14:paraId="3977FFD9" w14:textId="43908CE5" w:rsidR="00F91E9E" w:rsidRPr="009E1F40" w:rsidRDefault="00F91E9E" w:rsidP="00057638">
      <w:pPr>
        <w:pStyle w:val="FootnoteText"/>
        <w:spacing w:line="259" w:lineRule="auto"/>
        <w:ind w:left="720" w:hanging="720"/>
        <w:jc w:val="left"/>
        <w:rPr>
          <w:rFonts w:cs="Calibri"/>
          <w:sz w:val="22"/>
          <w:szCs w:val="22"/>
        </w:rPr>
      </w:pPr>
      <w:r w:rsidRPr="06D755CD">
        <w:rPr>
          <w:rFonts w:cs="Calibri"/>
          <w:sz w:val="22"/>
          <w:szCs w:val="22"/>
        </w:rPr>
        <w:t xml:space="preserve">King’s College Cambridge, ‘King’s College Research into Slavery, Past, and Present’, 28 May 2019, </w:t>
      </w:r>
      <w:hyperlink r:id="rId184">
        <w:r w:rsidRPr="06D755CD">
          <w:rPr>
            <w:rStyle w:val="Hyperlink"/>
            <w:rFonts w:cs="Calibri"/>
            <w:color w:val="auto"/>
            <w:sz w:val="22"/>
            <w:szCs w:val="22"/>
          </w:rPr>
          <w:t>https://www.kings.cam.ac.uk/news/2019/kings-college-research-slavery-past-and-present</w:t>
        </w:r>
      </w:hyperlink>
      <w:r w:rsidRPr="06D755CD">
        <w:rPr>
          <w:rFonts w:cs="Calibri"/>
          <w:sz w:val="22"/>
          <w:szCs w:val="22"/>
        </w:rPr>
        <w:t>.</w:t>
      </w:r>
    </w:p>
    <w:p w14:paraId="4B9F00C6"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Knox, Robert, </w:t>
      </w:r>
      <w:r w:rsidRPr="009E1F40">
        <w:rPr>
          <w:rFonts w:cs="Calibri"/>
          <w:i/>
          <w:iCs/>
          <w:sz w:val="22"/>
          <w:szCs w:val="22"/>
        </w:rPr>
        <w:t>The Races of Man: A Fragment</w:t>
      </w:r>
      <w:r w:rsidRPr="009E1F40">
        <w:rPr>
          <w:rFonts w:cs="Calibri"/>
          <w:sz w:val="22"/>
          <w:szCs w:val="22"/>
        </w:rPr>
        <w:t xml:space="preserve"> (Philadelphia: Lea &amp; Blanchard, 1850).</w:t>
      </w:r>
    </w:p>
    <w:p w14:paraId="2DED76B6"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Koutsouris, George, Lauren Stentiford and Brahm Norwich, ‘A Critical Exploration of Inclusion Policies of Elite UK Universities’, </w:t>
      </w:r>
      <w:r w:rsidRPr="009E1F40">
        <w:rPr>
          <w:rFonts w:cs="Calibri"/>
          <w:i/>
          <w:iCs/>
          <w:sz w:val="22"/>
          <w:szCs w:val="22"/>
        </w:rPr>
        <w:t>British Educational Research</w:t>
      </w:r>
      <w:r w:rsidRPr="009E1F40">
        <w:rPr>
          <w:rFonts w:cs="Calibri"/>
          <w:sz w:val="22"/>
          <w:szCs w:val="22"/>
        </w:rPr>
        <w:t xml:space="preserve"> </w:t>
      </w:r>
      <w:r w:rsidRPr="009E1F40">
        <w:rPr>
          <w:rFonts w:cs="Calibri"/>
          <w:i/>
          <w:iCs/>
          <w:sz w:val="22"/>
          <w:szCs w:val="22"/>
        </w:rPr>
        <w:t>Journal</w:t>
      </w:r>
      <w:r w:rsidRPr="009E1F40">
        <w:rPr>
          <w:rFonts w:cs="Calibri"/>
          <w:sz w:val="22"/>
          <w:szCs w:val="22"/>
        </w:rPr>
        <w:t>, 48 (2022), 878–95.</w:t>
      </w:r>
    </w:p>
    <w:p w14:paraId="09EFE23D" w14:textId="77777777" w:rsidR="00F91E9E" w:rsidRPr="009E1F40" w:rsidRDefault="00F91E9E" w:rsidP="00057638">
      <w:pPr>
        <w:spacing w:line="259" w:lineRule="auto"/>
        <w:ind w:left="720" w:hanging="720"/>
        <w:rPr>
          <w:rFonts w:ascii="Calibri" w:hAnsi="Calibri" w:cs="Calibri"/>
          <w:sz w:val="22"/>
          <w:szCs w:val="22"/>
        </w:rPr>
      </w:pPr>
      <w:r w:rsidRPr="009E1F40">
        <w:rPr>
          <w:rFonts w:ascii="Calibri" w:hAnsi="Calibri" w:cs="Calibri"/>
          <w:sz w:val="22"/>
          <w:szCs w:val="22"/>
        </w:rPr>
        <w:t xml:space="preserve">Kuhl, Stefan, </w:t>
      </w:r>
      <w:r w:rsidRPr="009E1F40">
        <w:rPr>
          <w:rFonts w:ascii="Calibri" w:hAnsi="Calibri" w:cs="Calibri"/>
          <w:i/>
          <w:sz w:val="22"/>
          <w:szCs w:val="22"/>
        </w:rPr>
        <w:t>For the Betterment of the Race: The Rise and Fall of the International Movement for Eugenics and Racial Hygiene</w:t>
      </w:r>
      <w:r w:rsidRPr="009E1F40">
        <w:rPr>
          <w:rFonts w:ascii="Calibri" w:hAnsi="Calibri" w:cs="Calibri"/>
          <w:sz w:val="22"/>
          <w:szCs w:val="22"/>
        </w:rPr>
        <w:t xml:space="preserve"> (New York: Macmillan, 2013).</w:t>
      </w:r>
    </w:p>
    <w:p w14:paraId="52C6E187"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Leathwood, Carole, Uvanney Maylor and Marie-Pierre Moreau, </w:t>
      </w:r>
      <w:r w:rsidRPr="009E1F40">
        <w:rPr>
          <w:rFonts w:cs="Calibri"/>
          <w:i/>
          <w:iCs/>
          <w:sz w:val="22"/>
          <w:szCs w:val="22"/>
        </w:rPr>
        <w:t>The Experience of Black and Minority Ethnic Staff Working in Higher Education: Literature Review 2009</w:t>
      </w:r>
      <w:r w:rsidRPr="009E1F40">
        <w:rPr>
          <w:rFonts w:cs="Calibri"/>
          <w:sz w:val="22"/>
          <w:szCs w:val="22"/>
        </w:rPr>
        <w:t xml:space="preserve"> (York: Equality Challenge Unit, 2009).</w:t>
      </w:r>
    </w:p>
    <w:p w14:paraId="32C6C7B1"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Lehn, Walter, ‘The Jewish National Fund’, </w:t>
      </w:r>
      <w:r w:rsidRPr="009E1F40">
        <w:rPr>
          <w:rFonts w:cs="Calibri"/>
          <w:i/>
          <w:iCs/>
          <w:sz w:val="22"/>
          <w:szCs w:val="22"/>
        </w:rPr>
        <w:t>Journal of Palestine Studies</w:t>
      </w:r>
      <w:r w:rsidRPr="009E1F40">
        <w:rPr>
          <w:rFonts w:cs="Calibri"/>
          <w:sz w:val="22"/>
          <w:szCs w:val="22"/>
        </w:rPr>
        <w:t>, 3 (1974), 74–96.</w:t>
      </w:r>
    </w:p>
    <w:p w14:paraId="0EE7AE5D"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i/>
          <w:iCs/>
          <w:sz w:val="22"/>
          <w:szCs w:val="22"/>
        </w:rPr>
        <w:lastRenderedPageBreak/>
        <w:t>List of Deeds of Foundation of Bursaries, Scholarships, Fellowships, etc., in the University of Edinburgh</w:t>
      </w:r>
      <w:r w:rsidRPr="009E1F40">
        <w:rPr>
          <w:rFonts w:cs="Calibri"/>
          <w:sz w:val="22"/>
          <w:szCs w:val="22"/>
        </w:rPr>
        <w:t xml:space="preserve"> (Edinburgh: Neil and Company, 1891).</w:t>
      </w:r>
    </w:p>
    <w:p w14:paraId="6918F030" w14:textId="77777777" w:rsidR="00F91E9E" w:rsidRPr="009E1F40" w:rsidRDefault="00F91E9E" w:rsidP="00057638">
      <w:pPr>
        <w:spacing w:line="259" w:lineRule="auto"/>
        <w:ind w:left="720" w:hanging="720"/>
        <w:rPr>
          <w:rFonts w:ascii="Calibri" w:hAnsi="Calibri" w:cs="Calibri"/>
          <w:sz w:val="22"/>
          <w:szCs w:val="22"/>
          <w:shd w:val="clear" w:color="auto" w:fill="FFFFFF"/>
        </w:rPr>
      </w:pPr>
      <w:r w:rsidRPr="009E1F40">
        <w:rPr>
          <w:rFonts w:ascii="Calibri" w:hAnsi="Calibri" w:cs="Calibri"/>
          <w:sz w:val="22"/>
          <w:szCs w:val="22"/>
          <w:shd w:val="clear" w:color="auto" w:fill="FFFFFF"/>
        </w:rPr>
        <w:t xml:space="preserve">Loke, </w:t>
      </w:r>
      <w:r w:rsidRPr="009E1F40">
        <w:rPr>
          <w:rFonts w:ascii="Calibri" w:hAnsi="Calibri" w:cs="Calibri"/>
          <w:sz w:val="22"/>
          <w:szCs w:val="22"/>
        </w:rPr>
        <w:t xml:space="preserve">Gary, </w:t>
      </w:r>
      <w:r w:rsidRPr="009E1F40">
        <w:rPr>
          <w:rFonts w:ascii="Calibri" w:hAnsi="Calibri" w:cs="Calibri"/>
          <w:sz w:val="22"/>
          <w:szCs w:val="22"/>
          <w:shd w:val="clear" w:color="auto" w:fill="FFFFFF"/>
        </w:rPr>
        <w:t xml:space="preserve">‘So What Next? A Policy Response’, in </w:t>
      </w:r>
      <w:r w:rsidRPr="009E1F40">
        <w:rPr>
          <w:rFonts w:ascii="Calibri" w:hAnsi="Calibri" w:cs="Calibri"/>
          <w:sz w:val="22"/>
          <w:szCs w:val="22"/>
        </w:rPr>
        <w:t xml:space="preserve">Jason Arday and Heidi Safia Mirza (editors), </w:t>
      </w:r>
      <w:r w:rsidRPr="009E1F40">
        <w:rPr>
          <w:rFonts w:ascii="Calibri" w:hAnsi="Calibri" w:cs="Calibri"/>
          <w:i/>
          <w:iCs/>
          <w:sz w:val="22"/>
          <w:szCs w:val="22"/>
        </w:rPr>
        <w:t xml:space="preserve">Dismantling Race in Higher Education </w:t>
      </w:r>
      <w:r w:rsidRPr="009E1F40">
        <w:rPr>
          <w:rFonts w:ascii="Calibri" w:hAnsi="Calibri" w:cs="Calibri"/>
          <w:sz w:val="22"/>
          <w:szCs w:val="22"/>
        </w:rPr>
        <w:t>(Cham: Palgrave Macmillan, 2018), pp. 383</w:t>
      </w:r>
      <w:r w:rsidRPr="009E1F40">
        <w:rPr>
          <w:rFonts w:ascii="Calibri" w:hAnsi="Calibri" w:cs="Calibri"/>
          <w:sz w:val="22"/>
          <w:szCs w:val="22"/>
          <w:shd w:val="clear" w:color="auto" w:fill="FFFFFF"/>
        </w:rPr>
        <w:t>–90.</w:t>
      </w:r>
    </w:p>
    <w:p w14:paraId="7CC3496F" w14:textId="77777777" w:rsidR="00F91E9E" w:rsidRPr="009E1F40" w:rsidRDefault="00F91E9E" w:rsidP="00057638">
      <w:pPr>
        <w:pStyle w:val="FootnoteText"/>
        <w:spacing w:line="259" w:lineRule="auto"/>
        <w:ind w:left="720" w:hanging="720"/>
        <w:jc w:val="left"/>
        <w:rPr>
          <w:rFonts w:cs="Calibri"/>
          <w:sz w:val="22"/>
          <w:szCs w:val="22"/>
        </w:rPr>
      </w:pPr>
      <w:r w:rsidRPr="009E1F40">
        <w:rPr>
          <w:rStyle w:val="normaltextrun"/>
          <w:rFonts w:cs="Calibri"/>
          <w:color w:val="000000"/>
          <w:sz w:val="22"/>
          <w:szCs w:val="22"/>
          <w:shd w:val="clear" w:color="auto" w:fill="FFFFFF"/>
        </w:rPr>
        <w:t xml:space="preserve">Lund, Elizabeth, ‘Petition to Rename David Hume Tower at UoE’, 29 June 2020, </w:t>
      </w:r>
      <w:hyperlink r:id="rId185" w:history="1">
        <w:r w:rsidRPr="009E1F40">
          <w:rPr>
            <w:rStyle w:val="Hyperlink"/>
            <w:rFonts w:cs="Calibri"/>
            <w:sz w:val="22"/>
            <w:szCs w:val="22"/>
            <w:shd w:val="clear" w:color="auto" w:fill="FFFFFF"/>
          </w:rPr>
          <w:t>https://www.change.org/p/university-of-edinburgh-rename-david-hume-tower-at-uoe</w:t>
        </w:r>
      </w:hyperlink>
      <w:r w:rsidRPr="009E1F40">
        <w:rPr>
          <w:rStyle w:val="normaltextrun"/>
          <w:rFonts w:cs="Calibri"/>
          <w:color w:val="000000"/>
          <w:sz w:val="22"/>
          <w:szCs w:val="22"/>
          <w:shd w:val="clear" w:color="auto" w:fill="FFFFFF"/>
        </w:rPr>
        <w:t xml:space="preserve">. </w:t>
      </w:r>
    </w:p>
    <w:p w14:paraId="6AE52C05"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Macleod, Roy, ‘Balfour’s Mission to Palestine: Science, Strategy, and the Inauguration of the Hebrew University in Jerusalem’, </w:t>
      </w:r>
      <w:r w:rsidRPr="009E1F40">
        <w:rPr>
          <w:rFonts w:cs="Calibri"/>
          <w:i/>
          <w:iCs/>
          <w:sz w:val="22"/>
          <w:szCs w:val="22"/>
        </w:rPr>
        <w:t>Minerva (London)</w:t>
      </w:r>
      <w:r w:rsidRPr="009E1F40">
        <w:rPr>
          <w:rFonts w:cs="Calibri"/>
          <w:sz w:val="22"/>
          <w:szCs w:val="22"/>
        </w:rPr>
        <w:t>,</w:t>
      </w:r>
      <w:r w:rsidRPr="009E1F40">
        <w:rPr>
          <w:rFonts w:cs="Calibri"/>
          <w:i/>
          <w:iCs/>
          <w:sz w:val="22"/>
          <w:szCs w:val="22"/>
        </w:rPr>
        <w:t xml:space="preserve"> </w:t>
      </w:r>
      <w:r w:rsidRPr="009E1F40">
        <w:rPr>
          <w:rFonts w:cs="Calibri"/>
          <w:sz w:val="22"/>
          <w:szCs w:val="22"/>
        </w:rPr>
        <w:t xml:space="preserve">46 (2008), 53–76. </w:t>
      </w:r>
    </w:p>
    <w:p w14:paraId="74D6B007"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Masalha, Nur,</w:t>
      </w:r>
      <w:r w:rsidRPr="009E1F40">
        <w:rPr>
          <w:rStyle w:val="apple-converted-space"/>
          <w:rFonts w:cs="Calibri"/>
          <w:sz w:val="22"/>
          <w:szCs w:val="22"/>
        </w:rPr>
        <w:t> </w:t>
      </w:r>
      <w:r w:rsidRPr="009E1F40">
        <w:rPr>
          <w:rFonts w:cs="Calibri"/>
          <w:i/>
          <w:iCs/>
          <w:sz w:val="22"/>
          <w:szCs w:val="22"/>
        </w:rPr>
        <w:t>Expulsion of the Palestinians: The Concept of ‘Transfer’ in Zionist Political Thought, 1882–1948</w:t>
      </w:r>
      <w:r w:rsidRPr="009E1F40">
        <w:rPr>
          <w:rFonts w:cs="Calibri"/>
          <w:sz w:val="22"/>
          <w:szCs w:val="22"/>
        </w:rPr>
        <w:t xml:space="preserve"> (Washington, DC: Institute for Palestine Studies, 1992).</w:t>
      </w:r>
    </w:p>
    <w:p w14:paraId="6B2BF241" w14:textId="1B7A00F7" w:rsidR="00F91E9E" w:rsidRPr="009E1F40" w:rsidRDefault="00F91E9E" w:rsidP="00057638">
      <w:pPr>
        <w:pStyle w:val="FootnoteText"/>
        <w:spacing w:line="259" w:lineRule="auto"/>
        <w:ind w:left="720" w:hanging="720"/>
        <w:jc w:val="left"/>
        <w:rPr>
          <w:rFonts w:cs="Calibri"/>
          <w:sz w:val="22"/>
          <w:szCs w:val="22"/>
        </w:rPr>
      </w:pPr>
      <w:r w:rsidRPr="06D755CD">
        <w:rPr>
          <w:rFonts w:cs="Calibri"/>
          <w:sz w:val="22"/>
          <w:szCs w:val="22"/>
        </w:rPr>
        <w:t xml:space="preserve">Mathieson, Peter, ‘Statement from the Principal’, 20 January 2021, </w:t>
      </w:r>
      <w:hyperlink r:id="rId186">
        <w:r w:rsidRPr="06D755CD">
          <w:rPr>
            <w:rStyle w:val="Hyperlink"/>
            <w:rFonts w:cs="Calibri"/>
            <w:color w:val="auto"/>
            <w:sz w:val="22"/>
            <w:szCs w:val="22"/>
          </w:rPr>
          <w:t>https://www.ed.ac.uk/news/2021/addressing-contemporary-and-historic-racism/statement-from-principal</w:t>
        </w:r>
      </w:hyperlink>
      <w:r w:rsidRPr="06D755CD">
        <w:rPr>
          <w:rFonts w:cs="Calibri"/>
          <w:sz w:val="22"/>
          <w:szCs w:val="22"/>
        </w:rPr>
        <w:t>.</w:t>
      </w:r>
    </w:p>
    <w:p w14:paraId="0FF98F3E" w14:textId="77777777" w:rsidR="00F91E9E" w:rsidRPr="009E1F40" w:rsidRDefault="00F91E9E" w:rsidP="00057638">
      <w:pPr>
        <w:spacing w:line="259" w:lineRule="auto"/>
        <w:ind w:left="720" w:hanging="720"/>
        <w:rPr>
          <w:rFonts w:ascii="Calibri" w:eastAsia="Times New Roman" w:hAnsi="Calibri" w:cs="Calibri"/>
          <w:sz w:val="22"/>
          <w:szCs w:val="22"/>
        </w:rPr>
      </w:pPr>
      <w:r w:rsidRPr="009E1F40">
        <w:rPr>
          <w:rFonts w:ascii="Calibri" w:eastAsia="Times New Roman" w:hAnsi="Calibri" w:cs="Calibri"/>
          <w:sz w:val="22"/>
          <w:szCs w:val="22"/>
        </w:rPr>
        <w:t>McNeilly,</w:t>
      </w:r>
      <w:r w:rsidRPr="009E1F40">
        <w:rPr>
          <w:rFonts w:ascii="Calibri" w:hAnsi="Calibri" w:cs="Calibri"/>
          <w:sz w:val="22"/>
          <w:szCs w:val="22"/>
        </w:rPr>
        <w:t xml:space="preserve"> Maya Dominguez,</w:t>
      </w:r>
      <w:r w:rsidRPr="009E1F40">
        <w:rPr>
          <w:rFonts w:ascii="Calibri" w:eastAsia="Times New Roman" w:hAnsi="Calibri" w:cs="Calibri"/>
          <w:sz w:val="22"/>
          <w:szCs w:val="22"/>
        </w:rPr>
        <w:t xml:space="preserve"> Norman B. Anderson, Cheryl A. Armstead et al., ‘The Perceived Racism Scale: A Multidimensional Assessment of The Experience of White Racism Among African Americans’, </w:t>
      </w:r>
      <w:r w:rsidRPr="009E1F40">
        <w:rPr>
          <w:rFonts w:ascii="Calibri" w:eastAsia="Times New Roman" w:hAnsi="Calibri" w:cs="Calibri"/>
          <w:i/>
          <w:iCs/>
          <w:sz w:val="22"/>
          <w:szCs w:val="22"/>
        </w:rPr>
        <w:t>Ethnicity &amp; Disease</w:t>
      </w:r>
      <w:r w:rsidRPr="009E1F40">
        <w:rPr>
          <w:rFonts w:ascii="Calibri" w:eastAsia="Times New Roman" w:hAnsi="Calibri" w:cs="Calibri"/>
          <w:sz w:val="22"/>
          <w:szCs w:val="22"/>
        </w:rPr>
        <w:t>, 6 (1996), 154–66.</w:t>
      </w:r>
    </w:p>
    <w:p w14:paraId="73F8F917"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Measuring Worth, </w:t>
      </w:r>
      <w:hyperlink r:id="rId187" w:history="1">
        <w:r w:rsidRPr="009E1F40">
          <w:rPr>
            <w:rStyle w:val="Hyperlink"/>
            <w:rFonts w:cs="Calibri"/>
            <w:sz w:val="22"/>
            <w:szCs w:val="22"/>
          </w:rPr>
          <w:t>https://www.measuringworth.com/calculators/ukcompare</w:t>
        </w:r>
      </w:hyperlink>
      <w:r w:rsidRPr="009E1F40">
        <w:rPr>
          <w:rFonts w:cs="Calibri"/>
          <w:sz w:val="22"/>
          <w:szCs w:val="22"/>
        </w:rPr>
        <w:t xml:space="preserve">. </w:t>
      </w:r>
    </w:p>
    <w:p w14:paraId="3178D0B5"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Meek, Ronald,</w:t>
      </w:r>
      <w:r w:rsidRPr="009E1F40">
        <w:rPr>
          <w:rFonts w:cs="Calibri"/>
          <w:i/>
          <w:iCs/>
          <w:sz w:val="22"/>
          <w:szCs w:val="22"/>
        </w:rPr>
        <w:t xml:space="preserve"> Social Science and the Ignoble Savage</w:t>
      </w:r>
      <w:r w:rsidRPr="009E1F40">
        <w:rPr>
          <w:rFonts w:cs="Calibri"/>
          <w:sz w:val="22"/>
          <w:szCs w:val="22"/>
        </w:rPr>
        <w:t xml:space="preserve"> (Cambridge: Cambridge University Press, 1976).</w:t>
      </w:r>
    </w:p>
    <w:p w14:paraId="02EB7212"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Mehta, Uday Singh, </w:t>
      </w:r>
      <w:r w:rsidRPr="009E1F40">
        <w:rPr>
          <w:rFonts w:cs="Calibri"/>
          <w:i/>
          <w:iCs/>
          <w:sz w:val="22"/>
          <w:szCs w:val="22"/>
        </w:rPr>
        <w:t>Liberalism and Empire: A Study in Nineteenth-Century British Liberal Thought</w:t>
      </w:r>
      <w:r w:rsidRPr="009E1F40">
        <w:rPr>
          <w:rFonts w:cs="Calibri"/>
          <w:sz w:val="22"/>
          <w:szCs w:val="22"/>
        </w:rPr>
        <w:t xml:space="preserve"> (Chicago, 1999). </w:t>
      </w:r>
    </w:p>
    <w:p w14:paraId="1D83C680" w14:textId="77777777" w:rsidR="00F91E9E" w:rsidRPr="009E1F40" w:rsidRDefault="00F91E9E" w:rsidP="00057638">
      <w:pPr>
        <w:spacing w:line="259" w:lineRule="auto"/>
        <w:ind w:left="720" w:hanging="720"/>
        <w:rPr>
          <w:rFonts w:ascii="Calibri" w:eastAsia="Calibri" w:hAnsi="Calibri" w:cs="Calibri"/>
          <w:sz w:val="22"/>
          <w:szCs w:val="22"/>
        </w:rPr>
      </w:pPr>
      <w:r w:rsidRPr="009E1F40">
        <w:rPr>
          <w:rFonts w:ascii="Calibri" w:eastAsia="Calibri" w:hAnsi="Calibri" w:cs="Calibri"/>
          <w:i/>
          <w:iCs/>
          <w:sz w:val="22"/>
          <w:szCs w:val="22"/>
        </w:rPr>
        <w:t>Military Operations: Egypt &amp; Palestine from the Outbreak of War with Germany to June 1917</w:t>
      </w:r>
      <w:r w:rsidRPr="009E1F40">
        <w:rPr>
          <w:rFonts w:ascii="Calibri" w:eastAsia="Calibri" w:hAnsi="Calibri" w:cs="Calibri"/>
          <w:sz w:val="22"/>
          <w:szCs w:val="22"/>
        </w:rPr>
        <w:t>. Official History of the Great War Based on Official Documents by Direction of the Historical Section of the Committee of Imperial Defence (London: HM Stationery Office).</w:t>
      </w:r>
    </w:p>
    <w:p w14:paraId="6362EB8D"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Mill, James, </w:t>
      </w:r>
      <w:r w:rsidRPr="009E1F40">
        <w:rPr>
          <w:rFonts w:cs="Calibri"/>
          <w:i/>
          <w:iCs/>
          <w:sz w:val="22"/>
          <w:szCs w:val="22"/>
        </w:rPr>
        <w:t>The History of British India</w:t>
      </w:r>
      <w:r w:rsidRPr="009E1F40">
        <w:rPr>
          <w:rFonts w:cs="Calibri"/>
          <w:sz w:val="22"/>
          <w:szCs w:val="22"/>
        </w:rPr>
        <w:t>, 3 vols. (London:</w:t>
      </w:r>
      <w:r w:rsidRPr="009E1F40">
        <w:rPr>
          <w:rFonts w:cs="Calibri"/>
          <w:sz w:val="22"/>
          <w:szCs w:val="22"/>
          <w:lang w:val="en-US"/>
        </w:rPr>
        <w:t xml:space="preserve"> [N.pub]</w:t>
      </w:r>
      <w:r w:rsidRPr="009E1F40">
        <w:rPr>
          <w:rFonts w:cs="Calibri"/>
          <w:sz w:val="22"/>
          <w:szCs w:val="22"/>
        </w:rPr>
        <w:t>, 1817).</w:t>
      </w:r>
    </w:p>
    <w:p w14:paraId="64F362E7"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[Mill, James], ‘On the Affairs of India’, </w:t>
      </w:r>
      <w:r w:rsidRPr="009E1F40">
        <w:rPr>
          <w:rFonts w:cs="Calibri"/>
          <w:i/>
          <w:iCs/>
          <w:sz w:val="22"/>
          <w:szCs w:val="22"/>
        </w:rPr>
        <w:t>Edinburgh Review</w:t>
      </w:r>
      <w:r w:rsidRPr="009E1F40">
        <w:rPr>
          <w:rFonts w:cs="Calibri"/>
          <w:sz w:val="22"/>
          <w:szCs w:val="22"/>
        </w:rPr>
        <w:t>, 6 (1810), pp. 127–57.</w:t>
      </w:r>
    </w:p>
    <w:p w14:paraId="68261A39" w14:textId="77777777" w:rsidR="00F91E9E" w:rsidRPr="009E1F40" w:rsidRDefault="00F91E9E" w:rsidP="00057638">
      <w:pPr>
        <w:pStyle w:val="FootnoteText"/>
        <w:spacing w:line="259" w:lineRule="auto"/>
        <w:ind w:left="720" w:hanging="720"/>
        <w:jc w:val="left"/>
        <w:rPr>
          <w:rFonts w:cs="Calibri"/>
          <w:sz w:val="22"/>
          <w:szCs w:val="22"/>
          <w:shd w:val="clear" w:color="auto" w:fill="FFFFFF"/>
        </w:rPr>
      </w:pPr>
      <w:r w:rsidRPr="009E1F40">
        <w:rPr>
          <w:rFonts w:cs="Calibri"/>
          <w:sz w:val="22"/>
          <w:szCs w:val="22"/>
          <w:shd w:val="clear" w:color="auto" w:fill="FFFFFF"/>
        </w:rPr>
        <w:t xml:space="preserve">Mirza, </w:t>
      </w:r>
      <w:r w:rsidRPr="009E1F40">
        <w:rPr>
          <w:rFonts w:cs="Calibri"/>
          <w:sz w:val="22"/>
          <w:szCs w:val="22"/>
        </w:rPr>
        <w:t xml:space="preserve">Heidi Safia, </w:t>
      </w:r>
      <w:r w:rsidRPr="009E1F40">
        <w:rPr>
          <w:rFonts w:cs="Calibri"/>
          <w:sz w:val="22"/>
          <w:szCs w:val="22"/>
          <w:shd w:val="clear" w:color="auto" w:fill="FFFFFF"/>
        </w:rPr>
        <w:t xml:space="preserve">‘Racism in Higher Education: “What Then, Can Be Done?”’, in </w:t>
      </w:r>
      <w:r w:rsidRPr="009E1F40">
        <w:rPr>
          <w:rFonts w:cs="Calibri"/>
          <w:sz w:val="22"/>
          <w:szCs w:val="22"/>
        </w:rPr>
        <w:t xml:space="preserve">Jason Arday and Heidi Safia Mirza (editors), </w:t>
      </w:r>
      <w:r w:rsidRPr="009E1F40">
        <w:rPr>
          <w:rFonts w:cs="Calibri"/>
          <w:i/>
          <w:iCs/>
          <w:sz w:val="22"/>
          <w:szCs w:val="22"/>
        </w:rPr>
        <w:t xml:space="preserve">Dismantling Race in Higher Education </w:t>
      </w:r>
      <w:r w:rsidRPr="009E1F40">
        <w:rPr>
          <w:rFonts w:cs="Calibri"/>
          <w:sz w:val="22"/>
          <w:szCs w:val="22"/>
        </w:rPr>
        <w:t>(Cham: Palgrave Macmillan, 2018), pp. 3</w:t>
      </w:r>
      <w:r w:rsidRPr="009E1F40">
        <w:rPr>
          <w:rFonts w:cs="Calibri"/>
          <w:sz w:val="22"/>
          <w:szCs w:val="22"/>
          <w:shd w:val="clear" w:color="auto" w:fill="FFFFFF"/>
        </w:rPr>
        <w:t>–23.</w:t>
      </w:r>
    </w:p>
    <w:p w14:paraId="18C8E28A" w14:textId="7E7916CF"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Monro, Alexander, ‘Memoir of Alexander Monro Secundus’, in Alexander Munro, </w:t>
      </w:r>
      <w:r w:rsidRPr="009E1F40">
        <w:rPr>
          <w:rFonts w:cs="Calibri"/>
          <w:i/>
          <w:iCs/>
          <w:sz w:val="22"/>
          <w:szCs w:val="22"/>
        </w:rPr>
        <w:t xml:space="preserve">Essays and Heads of Lectures on Anatomy, Physiology, Pathology, and Surgery </w:t>
      </w:r>
      <w:r w:rsidRPr="009E1F40">
        <w:rPr>
          <w:rFonts w:cs="Calibri"/>
          <w:sz w:val="22"/>
          <w:szCs w:val="22"/>
        </w:rPr>
        <w:t>(Edinburgh, 1840), c-ci.</w:t>
      </w:r>
    </w:p>
    <w:p w14:paraId="6DA775D6"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Morton, Samuel George, </w:t>
      </w:r>
      <w:r w:rsidRPr="009E1F40">
        <w:rPr>
          <w:rFonts w:cs="Calibri"/>
          <w:i/>
          <w:iCs/>
          <w:sz w:val="22"/>
          <w:szCs w:val="22"/>
        </w:rPr>
        <w:t>Crania Americana: or a Comparative View of the Skulls of Various Aboriginal Nations of North and South America</w:t>
      </w:r>
      <w:r w:rsidRPr="009E1F40">
        <w:rPr>
          <w:rFonts w:cs="Calibri"/>
          <w:sz w:val="22"/>
          <w:szCs w:val="22"/>
        </w:rPr>
        <w:t xml:space="preserve"> (1839).</w:t>
      </w:r>
    </w:p>
    <w:p w14:paraId="4C608B4D"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eastAsia="Calibri" w:cs="Calibri"/>
          <w:sz w:val="22"/>
          <w:szCs w:val="22"/>
        </w:rPr>
        <w:t>Mr. Balfour to Lord Curzon, 11 August 1919, Public Records Office, FO.371/4183.</w:t>
      </w:r>
    </w:p>
    <w:p w14:paraId="2ECCECDA" w14:textId="2D6367D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Mullen, Stephen, ‘Centring Transatlantic Slavery in Scottish Historiography’, </w:t>
      </w:r>
      <w:r w:rsidRPr="009E1F40">
        <w:rPr>
          <w:rFonts w:cs="Calibri"/>
          <w:i/>
          <w:iCs/>
          <w:sz w:val="22"/>
          <w:szCs w:val="22"/>
        </w:rPr>
        <w:t>History Compass</w:t>
      </w:r>
      <w:r w:rsidRPr="009E1F40">
        <w:rPr>
          <w:rFonts w:cs="Calibri"/>
          <w:sz w:val="22"/>
          <w:szCs w:val="22"/>
        </w:rPr>
        <w:t>, 20 (2022).</w:t>
      </w:r>
    </w:p>
    <w:p w14:paraId="06A745E9" w14:textId="50789301"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Mullen, Stephen and Simon Newman, </w:t>
      </w:r>
      <w:r w:rsidRPr="009E1F40">
        <w:rPr>
          <w:rFonts w:cs="Calibri"/>
          <w:i/>
          <w:iCs/>
          <w:sz w:val="22"/>
          <w:szCs w:val="22"/>
        </w:rPr>
        <w:t>Slavery, Abolition, and the University of Glasgow</w:t>
      </w:r>
      <w:r w:rsidRPr="009E1F40">
        <w:rPr>
          <w:rFonts w:cs="Calibri"/>
          <w:sz w:val="22"/>
          <w:szCs w:val="22"/>
        </w:rPr>
        <w:t>, University of Glasgow (2018), https://www.gla.ac.uk/media/Media_607547_smxx.pdf.</w:t>
      </w:r>
    </w:p>
    <w:p w14:paraId="5A319F89"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National Records of Scotland, AF51/1 Secretary of State for Scotland: Emigration Files.</w:t>
      </w:r>
    </w:p>
    <w:p w14:paraId="3CC224D5" w14:textId="11B7AB5A"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Neville, Helen A., Roderick L. Lilly, Georgia Duran et al., ‘Construction and Initial Validation of the Color-Blind Racial Attitudes Scale (CoBRAS)’,</w:t>
      </w:r>
      <w:r w:rsidRPr="009E1F40">
        <w:rPr>
          <w:rFonts w:cs="Calibri"/>
          <w:i/>
          <w:iCs/>
          <w:sz w:val="22"/>
          <w:szCs w:val="22"/>
        </w:rPr>
        <w:t xml:space="preserve"> Journal of Counselling Psychology</w:t>
      </w:r>
      <w:r w:rsidRPr="009E1F40">
        <w:rPr>
          <w:rFonts w:cs="Calibri"/>
          <w:sz w:val="22"/>
          <w:szCs w:val="22"/>
        </w:rPr>
        <w:t>, 47 (2000), 59–70.</w:t>
      </w:r>
    </w:p>
    <w:p w14:paraId="7F0BE5F4" w14:textId="1958CEF9"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Nicolaidis, Kalypso and Laura van Broekhoven, </w:t>
      </w:r>
      <w:r w:rsidRPr="009E1F40">
        <w:rPr>
          <w:rFonts w:cs="Calibri"/>
          <w:i/>
          <w:iCs/>
          <w:sz w:val="22"/>
          <w:szCs w:val="22"/>
        </w:rPr>
        <w:t>The Working Group on Oxford University and Colonialism</w:t>
      </w:r>
      <w:r w:rsidRPr="009E1F40">
        <w:rPr>
          <w:rFonts w:cs="Calibri"/>
          <w:sz w:val="22"/>
          <w:szCs w:val="22"/>
        </w:rPr>
        <w:t xml:space="preserve"> (Oxford: University of Oxford, 2017). </w:t>
      </w:r>
    </w:p>
    <w:p w14:paraId="0681B509" w14:textId="33A5C568" w:rsidR="00F91E9E" w:rsidRPr="009E1F40" w:rsidRDefault="00F91E9E" w:rsidP="00057638">
      <w:pPr>
        <w:pStyle w:val="FootnoteText"/>
        <w:spacing w:line="259" w:lineRule="auto"/>
        <w:ind w:left="720" w:hanging="720"/>
        <w:jc w:val="left"/>
        <w:rPr>
          <w:rStyle w:val="normaltextrun"/>
          <w:rFonts w:cs="Calibri"/>
          <w:color w:val="000000"/>
          <w:sz w:val="22"/>
          <w:szCs w:val="22"/>
          <w:shd w:val="clear" w:color="auto" w:fill="FFFFFF"/>
        </w:rPr>
      </w:pPr>
      <w:r w:rsidRPr="0CB5FF8F">
        <w:rPr>
          <w:rStyle w:val="normaltextrun"/>
          <w:rFonts w:cs="Calibri"/>
          <w:color w:val="000000" w:themeColor="text1"/>
          <w:sz w:val="22"/>
          <w:szCs w:val="22"/>
        </w:rPr>
        <w:t>Odumosu, Temi, ‘The Crying Child: On Colonial Archives, Digitization, and Ethics of Care in the Cultural Commons’, </w:t>
      </w:r>
      <w:r w:rsidRPr="0CB5FF8F">
        <w:rPr>
          <w:rStyle w:val="normaltextrun"/>
          <w:rFonts w:cs="Calibri"/>
          <w:i/>
          <w:color w:val="000000" w:themeColor="text1"/>
          <w:sz w:val="22"/>
          <w:szCs w:val="22"/>
        </w:rPr>
        <w:t>Current Anthropology</w:t>
      </w:r>
      <w:r w:rsidRPr="0CB5FF8F">
        <w:rPr>
          <w:rStyle w:val="normaltextrun"/>
          <w:rFonts w:cs="Calibri"/>
          <w:color w:val="000000" w:themeColor="text1"/>
          <w:sz w:val="22"/>
          <w:szCs w:val="22"/>
        </w:rPr>
        <w:t>, 61 (2020), S289-S302.</w:t>
      </w:r>
    </w:p>
    <w:p w14:paraId="390AC342" w14:textId="70AC7CD4"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‘Official Report of the Allied Colonial Universities’, in </w:t>
      </w:r>
      <w:r w:rsidRPr="009E1F40">
        <w:rPr>
          <w:rFonts w:cs="Calibri"/>
          <w:i/>
          <w:iCs/>
          <w:sz w:val="22"/>
          <w:szCs w:val="22"/>
        </w:rPr>
        <w:t>The Empire Review</w:t>
      </w:r>
      <w:r w:rsidRPr="009E1F40">
        <w:rPr>
          <w:rFonts w:cs="Calibri"/>
          <w:sz w:val="22"/>
          <w:szCs w:val="22"/>
        </w:rPr>
        <w:t xml:space="preserve">, </w:t>
      </w:r>
      <w:r w:rsidRPr="009E1F40">
        <w:rPr>
          <w:rFonts w:cs="Calibri"/>
          <w:smallCaps/>
          <w:sz w:val="22"/>
          <w:szCs w:val="22"/>
        </w:rPr>
        <w:t>VI</w:t>
      </w:r>
      <w:r w:rsidRPr="009E1F40">
        <w:rPr>
          <w:rFonts w:cs="Calibri"/>
          <w:sz w:val="22"/>
          <w:szCs w:val="22"/>
        </w:rPr>
        <w:t xml:space="preserve"> (London, 1904).</w:t>
      </w:r>
    </w:p>
    <w:p w14:paraId="6CF17C29" w14:textId="77777777" w:rsidR="00F91E9E" w:rsidRPr="009E1F40" w:rsidRDefault="00F91E9E" w:rsidP="00057638">
      <w:pPr>
        <w:pStyle w:val="FootnoteText"/>
        <w:spacing w:line="259" w:lineRule="auto"/>
        <w:ind w:left="720" w:hanging="720"/>
        <w:jc w:val="left"/>
        <w:rPr>
          <w:rFonts w:cs="Calibri"/>
          <w:sz w:val="22"/>
          <w:szCs w:val="22"/>
        </w:rPr>
      </w:pPr>
      <w:r w:rsidRPr="009E1F40">
        <w:rPr>
          <w:rStyle w:val="author"/>
          <w:rFonts w:cs="Calibri"/>
          <w:sz w:val="22"/>
          <w:szCs w:val="22"/>
          <w:shd w:val="clear" w:color="auto" w:fill="FFFFFF"/>
        </w:rPr>
        <w:lastRenderedPageBreak/>
        <w:t>Osbourne,</w:t>
      </w:r>
      <w:r w:rsidRPr="009E1F40">
        <w:rPr>
          <w:rFonts w:cs="Calibri"/>
          <w:sz w:val="22"/>
          <w:szCs w:val="22"/>
        </w:rPr>
        <w:t xml:space="preserve"> Lateesha,</w:t>
      </w:r>
      <w:r w:rsidRPr="009E1F40">
        <w:rPr>
          <w:rStyle w:val="author"/>
          <w:rFonts w:cs="Calibri"/>
          <w:sz w:val="22"/>
          <w:szCs w:val="22"/>
          <w:shd w:val="clear" w:color="auto" w:fill="FFFFFF"/>
        </w:rPr>
        <w:t xml:space="preserve"> Julie Barnett and Leda Blackwood,</w:t>
      </w:r>
      <w:r w:rsidRPr="009E1F40">
        <w:rPr>
          <w:rFonts w:cs="Calibri"/>
          <w:sz w:val="22"/>
          <w:szCs w:val="22"/>
          <w:shd w:val="clear" w:color="auto" w:fill="FFFFFF"/>
        </w:rPr>
        <w:t xml:space="preserve"> ‘</w:t>
      </w:r>
      <w:r w:rsidRPr="009E1F40">
        <w:rPr>
          <w:rStyle w:val="articletitle"/>
          <w:rFonts w:cs="Calibri"/>
          <w:sz w:val="22"/>
          <w:szCs w:val="22"/>
          <w:shd w:val="clear" w:color="auto" w:fill="FFFFFF"/>
        </w:rPr>
        <w:t>Black Students' Experiences of “Acceptable” Racism at a UK University’</w:t>
      </w:r>
      <w:r w:rsidRPr="009E1F40">
        <w:rPr>
          <w:rFonts w:cs="Calibri"/>
          <w:sz w:val="22"/>
          <w:szCs w:val="22"/>
          <w:shd w:val="clear" w:color="auto" w:fill="FFFFFF"/>
        </w:rPr>
        <w:t xml:space="preserve">, </w:t>
      </w:r>
      <w:r w:rsidRPr="009E1F40">
        <w:rPr>
          <w:rFonts w:cs="Calibri"/>
          <w:i/>
          <w:iCs/>
          <w:sz w:val="22"/>
          <w:szCs w:val="22"/>
          <w:shd w:val="clear" w:color="auto" w:fill="FFFFFF"/>
        </w:rPr>
        <w:t>Journal of Community &amp; Applied Social Psychology</w:t>
      </w:r>
      <w:r w:rsidRPr="009E1F40">
        <w:rPr>
          <w:rFonts w:cs="Calibri"/>
          <w:sz w:val="22"/>
          <w:szCs w:val="22"/>
          <w:shd w:val="clear" w:color="auto" w:fill="FFFFFF"/>
        </w:rPr>
        <w:t xml:space="preserve">, </w:t>
      </w:r>
      <w:r w:rsidRPr="009E1F40">
        <w:rPr>
          <w:rStyle w:val="vol"/>
          <w:rFonts w:cs="Calibri"/>
          <w:sz w:val="22"/>
          <w:szCs w:val="22"/>
          <w:shd w:val="clear" w:color="auto" w:fill="FFFFFF"/>
        </w:rPr>
        <w:t>33</w:t>
      </w:r>
      <w:r w:rsidRPr="009E1F40">
        <w:rPr>
          <w:rFonts w:cs="Calibri"/>
          <w:sz w:val="22"/>
          <w:szCs w:val="22"/>
          <w:shd w:val="clear" w:color="auto" w:fill="FFFFFF"/>
        </w:rPr>
        <w:t xml:space="preserve"> (2023), </w:t>
      </w:r>
      <w:r w:rsidRPr="009E1F40">
        <w:rPr>
          <w:rStyle w:val="pagefirst"/>
          <w:rFonts w:cs="Calibri"/>
          <w:sz w:val="22"/>
          <w:szCs w:val="22"/>
          <w:shd w:val="clear" w:color="auto" w:fill="FFFFFF"/>
        </w:rPr>
        <w:t>43</w:t>
      </w:r>
      <w:r w:rsidRPr="009E1F40">
        <w:rPr>
          <w:rFonts w:cs="Calibri"/>
          <w:sz w:val="22"/>
          <w:szCs w:val="22"/>
          <w:shd w:val="clear" w:color="auto" w:fill="FFFFFF"/>
        </w:rPr>
        <w:t>–</w:t>
      </w:r>
      <w:r w:rsidRPr="009E1F40">
        <w:rPr>
          <w:rStyle w:val="pagelast"/>
          <w:rFonts w:cs="Calibri"/>
          <w:sz w:val="22"/>
          <w:szCs w:val="22"/>
          <w:shd w:val="clear" w:color="auto" w:fill="FFFFFF"/>
        </w:rPr>
        <w:t>55</w:t>
      </w:r>
      <w:r w:rsidRPr="009E1F40">
        <w:rPr>
          <w:rFonts w:cs="Calibri"/>
          <w:sz w:val="22"/>
          <w:szCs w:val="22"/>
          <w:shd w:val="clear" w:color="auto" w:fill="FFFFFF"/>
        </w:rPr>
        <w:t>.</w:t>
      </w:r>
      <w:r w:rsidRPr="009E1F40">
        <w:rPr>
          <w:rFonts w:cs="Calibri"/>
          <w:sz w:val="22"/>
          <w:szCs w:val="22"/>
        </w:rPr>
        <w:t xml:space="preserve"> </w:t>
      </w:r>
    </w:p>
    <w:p w14:paraId="07353226" w14:textId="18C0E4AB" w:rsidR="00F91E9E" w:rsidRPr="009E1F40" w:rsidRDefault="00F91E9E" w:rsidP="00057638">
      <w:pPr>
        <w:pStyle w:val="FootnoteText"/>
        <w:spacing w:line="259" w:lineRule="auto"/>
        <w:ind w:left="720" w:hanging="720"/>
        <w:jc w:val="left"/>
        <w:rPr>
          <w:rFonts w:cs="Calibri"/>
          <w:sz w:val="22"/>
          <w:szCs w:val="22"/>
        </w:rPr>
      </w:pPr>
      <w:r w:rsidRPr="0CB5FF8F">
        <w:rPr>
          <w:rFonts w:cs="Calibri"/>
          <w:sz w:val="22"/>
          <w:szCs w:val="22"/>
        </w:rPr>
        <w:t xml:space="preserve">Otele, Olivette and Richard Stone, ‘The University of Bristol: Our History and the Legacies of Slavery’, University of Bristol (2022), </w:t>
      </w:r>
      <w:hyperlink r:id="rId188">
        <w:r w:rsidRPr="0CB5FF8F">
          <w:rPr>
            <w:rStyle w:val="Hyperlink"/>
            <w:rFonts w:cs="Calibri"/>
            <w:sz w:val="22"/>
            <w:szCs w:val="22"/>
          </w:rPr>
          <w:t>https://www.bristol.ac.uk/media-library/sites/university/documents/university-of-bristol-legacies-of-slavery-report.pdf</w:t>
        </w:r>
      </w:hyperlink>
      <w:r w:rsidRPr="0CB5FF8F">
        <w:rPr>
          <w:rFonts w:cs="Calibri"/>
          <w:sz w:val="22"/>
          <w:szCs w:val="22"/>
        </w:rPr>
        <w:t>.</w:t>
      </w:r>
    </w:p>
    <w:p w14:paraId="1ED19C05" w14:textId="34EBE08F"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Pagden, Anthony,</w:t>
      </w:r>
      <w:r w:rsidRPr="009E1F40">
        <w:rPr>
          <w:rFonts w:cs="Calibri"/>
          <w:i/>
          <w:iCs/>
          <w:sz w:val="22"/>
          <w:szCs w:val="22"/>
        </w:rPr>
        <w:t xml:space="preserve"> The Enlightenment and Why it Still Matters</w:t>
      </w:r>
      <w:r w:rsidRPr="009E1F40">
        <w:rPr>
          <w:rFonts w:cs="Calibri"/>
          <w:sz w:val="22"/>
          <w:szCs w:val="22"/>
        </w:rPr>
        <w:t xml:space="preserve"> (Oxford: Oxford University Press, 2013).</w:t>
      </w:r>
    </w:p>
    <w:p w14:paraId="6A5B38D7"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Pappe, Ilan, </w:t>
      </w:r>
      <w:r w:rsidRPr="009E1F40">
        <w:rPr>
          <w:rFonts w:cs="Calibri"/>
          <w:i/>
          <w:iCs/>
          <w:sz w:val="22"/>
          <w:szCs w:val="22"/>
        </w:rPr>
        <w:t>The Ethnic Cleansing of Palestine</w:t>
      </w:r>
      <w:r w:rsidRPr="009E1F40">
        <w:rPr>
          <w:rFonts w:cs="Calibri"/>
          <w:sz w:val="22"/>
          <w:szCs w:val="22"/>
        </w:rPr>
        <w:t xml:space="preserve"> (Oxford: One World, 2011). </w:t>
      </w:r>
    </w:p>
    <w:p w14:paraId="48A085D1" w14:textId="4F5C5FCB" w:rsidR="00F91E9E" w:rsidRPr="009E1F40" w:rsidRDefault="00F91E9E" w:rsidP="00057638">
      <w:pPr>
        <w:pStyle w:val="NormalWeb"/>
        <w:spacing w:before="0" w:beforeAutospacing="0" w:after="0" w:afterAutospacing="0" w:line="259" w:lineRule="auto"/>
        <w:ind w:left="720" w:hanging="720"/>
        <w:rPr>
          <w:rFonts w:ascii="Calibri" w:hAnsi="Calibri" w:cs="Calibri"/>
          <w:sz w:val="22"/>
          <w:szCs w:val="22"/>
        </w:rPr>
      </w:pPr>
      <w:r w:rsidRPr="009E1F40">
        <w:rPr>
          <w:rFonts w:ascii="Calibri" w:hAnsi="Calibri" w:cs="Calibri"/>
          <w:sz w:val="22"/>
          <w:szCs w:val="22"/>
        </w:rPr>
        <w:t xml:space="preserve">Pedersen, Susan, ‘Writing the Balfour Declaration into the Mandate for Palestine’, </w:t>
      </w:r>
      <w:r w:rsidRPr="009E1F40">
        <w:rPr>
          <w:rFonts w:ascii="Calibri" w:hAnsi="Calibri" w:cs="Calibri"/>
          <w:i/>
          <w:iCs/>
          <w:sz w:val="22"/>
          <w:szCs w:val="22"/>
        </w:rPr>
        <w:t>The International History Review</w:t>
      </w:r>
      <w:r w:rsidRPr="009E1F40">
        <w:rPr>
          <w:rFonts w:ascii="Calibri" w:hAnsi="Calibri" w:cs="Calibri"/>
          <w:sz w:val="22"/>
          <w:szCs w:val="22"/>
        </w:rPr>
        <w:t>, 45 (2023), 279–91.</w:t>
      </w:r>
    </w:p>
    <w:p w14:paraId="513A8A7A" w14:textId="7438DBBA"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Pender, Sebastian Raj, </w:t>
      </w:r>
      <w:r w:rsidRPr="009E1F40">
        <w:rPr>
          <w:rFonts w:cs="Calibri"/>
          <w:i/>
          <w:iCs/>
          <w:sz w:val="22"/>
          <w:szCs w:val="22"/>
        </w:rPr>
        <w:t xml:space="preserve">Balliol and the Proceeds of Slavery Project Report </w:t>
      </w:r>
      <w:r w:rsidRPr="009E1F40">
        <w:rPr>
          <w:rFonts w:cs="Calibri"/>
          <w:sz w:val="22"/>
          <w:szCs w:val="22"/>
        </w:rPr>
        <w:t xml:space="preserve">(2021), </w:t>
      </w:r>
      <w:hyperlink r:id="rId189">
        <w:r w:rsidRPr="009E1F40">
          <w:rPr>
            <w:rStyle w:val="Hyperlink"/>
            <w:rFonts w:cs="Calibri"/>
            <w:color w:val="auto"/>
            <w:sz w:val="22"/>
            <w:szCs w:val="22"/>
          </w:rPr>
          <w:t>https://www.balliol.ox.ac.uk/sites/default/files/balliol_and_the_proceeds_of_slavery_-_project_report.pdf</w:t>
        </w:r>
      </w:hyperlink>
      <w:r w:rsidRPr="009E1F40">
        <w:rPr>
          <w:rFonts w:cs="Calibri"/>
          <w:sz w:val="22"/>
          <w:szCs w:val="22"/>
        </w:rPr>
        <w:t xml:space="preserve">. </w:t>
      </w:r>
    </w:p>
    <w:p w14:paraId="4DDF4535" w14:textId="77777777" w:rsidR="00F91E9E" w:rsidRPr="009E1F40" w:rsidRDefault="00F91E9E" w:rsidP="00057638">
      <w:pPr>
        <w:pStyle w:val="FootnoteText"/>
        <w:spacing w:line="259" w:lineRule="auto"/>
        <w:ind w:left="720" w:hanging="720"/>
        <w:jc w:val="left"/>
        <w:rPr>
          <w:rFonts w:cs="Calibri"/>
          <w:sz w:val="22"/>
          <w:szCs w:val="22"/>
          <w:shd w:val="clear" w:color="auto" w:fill="FFFFFF"/>
        </w:rPr>
      </w:pPr>
      <w:r w:rsidRPr="009E1F40">
        <w:rPr>
          <w:rFonts w:cs="Calibri"/>
          <w:sz w:val="22"/>
          <w:szCs w:val="22"/>
          <w:shd w:val="clear" w:color="auto" w:fill="FFFFFF"/>
        </w:rPr>
        <w:t xml:space="preserve">Pettigrew, </w:t>
      </w:r>
      <w:r w:rsidRPr="009E1F40">
        <w:rPr>
          <w:rFonts w:cs="Calibri"/>
          <w:sz w:val="22"/>
          <w:szCs w:val="22"/>
        </w:rPr>
        <w:t xml:space="preserve">Thomas F., </w:t>
      </w:r>
      <w:r w:rsidRPr="009E1F40">
        <w:rPr>
          <w:rFonts w:cs="Calibri"/>
          <w:sz w:val="22"/>
          <w:szCs w:val="22"/>
          <w:shd w:val="clear" w:color="auto" w:fill="FFFFFF"/>
        </w:rPr>
        <w:t xml:space="preserve">Linda R. Tropp, Ulrich Wagner et al., ‘Recent Advances in Intergroup Contact Theory’, </w:t>
      </w:r>
      <w:r w:rsidRPr="009E1F40">
        <w:rPr>
          <w:rFonts w:cs="Calibri"/>
          <w:i/>
          <w:iCs/>
          <w:sz w:val="22"/>
          <w:szCs w:val="22"/>
          <w:shd w:val="clear" w:color="auto" w:fill="FFFFFF"/>
        </w:rPr>
        <w:t>International Journal of Intercultural Relations,</w:t>
      </w:r>
      <w:r w:rsidRPr="009E1F40">
        <w:rPr>
          <w:rFonts w:cs="Calibri"/>
          <w:sz w:val="22"/>
          <w:szCs w:val="22"/>
          <w:shd w:val="clear" w:color="auto" w:fill="FFFFFF"/>
        </w:rPr>
        <w:t xml:space="preserve"> 35 (2011), 271–80.</w:t>
      </w:r>
    </w:p>
    <w:p w14:paraId="096EE8C2" w14:textId="06075056"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Phrenological Society of Edinburgh, ‘Catalogue of the Phrenological Museum’, 1858, Records of the Phrenological Society of Edinburgh, Coll-227, EUL. </w:t>
      </w:r>
    </w:p>
    <w:p w14:paraId="7EE42088" w14:textId="03212389"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Pietsch, Tamson, </w:t>
      </w:r>
      <w:r w:rsidRPr="009E1F40">
        <w:rPr>
          <w:rFonts w:cs="Calibri"/>
          <w:i/>
          <w:iCs/>
          <w:sz w:val="22"/>
          <w:szCs w:val="22"/>
        </w:rPr>
        <w:t>Empire of Scholars: Universities, Networks and the British Academic World, 1850–1939</w:t>
      </w:r>
      <w:r w:rsidRPr="009E1F40">
        <w:rPr>
          <w:rFonts w:cs="Calibri"/>
          <w:sz w:val="22"/>
          <w:szCs w:val="22"/>
        </w:rPr>
        <w:t xml:space="preserve"> (Manchester: Manchester University Press, 2013).</w:t>
      </w:r>
    </w:p>
    <w:p w14:paraId="10C0FB3E" w14:textId="714044E8"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Pinker, Steven, </w:t>
      </w:r>
      <w:r w:rsidRPr="009E1F40">
        <w:rPr>
          <w:rFonts w:cs="Calibri"/>
          <w:i/>
          <w:iCs/>
          <w:sz w:val="22"/>
          <w:szCs w:val="22"/>
        </w:rPr>
        <w:t>Enlightenment Now: The Case for Reason, Science, Humanism, and Progress</w:t>
      </w:r>
      <w:r w:rsidRPr="009E1F40">
        <w:rPr>
          <w:rFonts w:cs="Calibri"/>
          <w:sz w:val="22"/>
          <w:szCs w:val="22"/>
        </w:rPr>
        <w:t xml:space="preserve"> (London: Vikinh, 2018). </w:t>
      </w:r>
    </w:p>
    <w:p w14:paraId="56733A56" w14:textId="6057F3F4"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Pitta, Nicholas, ‘What is the influence of climate on the human species? And what are the varieties of men which result from it?’, RMS Dissertations, Vol. 66 (1811–12), pp. 283–307.</w:t>
      </w:r>
    </w:p>
    <w:p w14:paraId="1D91D3A7"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w:t>
      </w:r>
      <w:r w:rsidRPr="009E1F40">
        <w:rPr>
          <w:rFonts w:cs="Calibri"/>
          <w:i/>
          <w:iCs/>
          <w:sz w:val="22"/>
          <w:szCs w:val="22"/>
        </w:rPr>
        <w:t>Treatise on the Influence of Climate on the Human Species</w:t>
      </w:r>
      <w:r w:rsidRPr="009E1F40">
        <w:rPr>
          <w:rFonts w:cs="Calibri"/>
          <w:sz w:val="22"/>
          <w:szCs w:val="22"/>
        </w:rPr>
        <w:t xml:space="preserve"> (London: [N.pub], 1812). </w:t>
      </w:r>
    </w:p>
    <w:p w14:paraId="7E718269"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Pocock, J.G.A., </w:t>
      </w:r>
      <w:r w:rsidRPr="009E1F40">
        <w:rPr>
          <w:rFonts w:cs="Calibri"/>
          <w:i/>
          <w:iCs/>
          <w:sz w:val="22"/>
          <w:szCs w:val="22"/>
        </w:rPr>
        <w:t>Barbarism and Religion</w:t>
      </w:r>
      <w:r w:rsidRPr="009E1F40">
        <w:rPr>
          <w:rFonts w:cs="Calibri"/>
          <w:sz w:val="22"/>
          <w:szCs w:val="22"/>
        </w:rPr>
        <w:t xml:space="preserve">, 6 vols (Cambridge: Cambridge University Press, 1999–2015). </w:t>
      </w:r>
    </w:p>
    <w:p w14:paraId="63A4E0B1" w14:textId="5EFF91A9"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Popkin, Richard H., ‘The Philosophical Basis of Modern Racism’, in </w:t>
      </w:r>
      <w:r w:rsidRPr="009E1F40">
        <w:rPr>
          <w:rFonts w:cs="Calibri"/>
          <w:i/>
          <w:iCs/>
          <w:sz w:val="22"/>
          <w:szCs w:val="22"/>
        </w:rPr>
        <w:t>Racism in the Eighteenth Century</w:t>
      </w:r>
      <w:r w:rsidRPr="009E1F40">
        <w:rPr>
          <w:rFonts w:cs="Calibri"/>
          <w:sz w:val="22"/>
          <w:szCs w:val="22"/>
        </w:rPr>
        <w:t>, ed. by Harold E. Pagliaro (Cleveland: Case Western Reserve University Press, 1973), pp. 245–62.</w:t>
      </w:r>
    </w:p>
    <w:p w14:paraId="474CCB61" w14:textId="6F52148F"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Poskett, James, </w:t>
      </w:r>
      <w:r w:rsidRPr="009E1F40">
        <w:rPr>
          <w:rFonts w:cs="Calibri"/>
          <w:i/>
          <w:iCs/>
          <w:sz w:val="22"/>
          <w:szCs w:val="22"/>
        </w:rPr>
        <w:t xml:space="preserve">Materials of the Mind: Phrenology, Race, and the Global History of Science, 1815–1920 </w:t>
      </w:r>
      <w:r w:rsidRPr="009E1F40">
        <w:rPr>
          <w:rFonts w:cs="Calibri"/>
          <w:sz w:val="22"/>
          <w:szCs w:val="22"/>
        </w:rPr>
        <w:t>(Chicago: University of Chicago Press, 2020).</w:t>
      </w:r>
    </w:p>
    <w:p w14:paraId="68232359" w14:textId="77777777" w:rsidR="00F91E9E" w:rsidRPr="009E1F40" w:rsidRDefault="00F91E9E" w:rsidP="00057638">
      <w:pPr>
        <w:spacing w:line="259" w:lineRule="auto"/>
        <w:ind w:left="720" w:hanging="720"/>
        <w:rPr>
          <w:rFonts w:ascii="Calibri" w:eastAsia="Calibri" w:hAnsi="Calibri" w:cs="Calibri"/>
          <w:color w:val="0563C1" w:themeColor="hyperlink"/>
          <w:sz w:val="22"/>
          <w:szCs w:val="22"/>
          <w:u w:val="single"/>
        </w:rPr>
      </w:pPr>
      <w:r w:rsidRPr="009E1F40">
        <w:rPr>
          <w:rFonts w:ascii="Calibri" w:hAnsi="Calibri" w:cs="Calibri"/>
          <w:sz w:val="22"/>
          <w:szCs w:val="22"/>
        </w:rPr>
        <w:t xml:space="preserve">PRALER, ‘Global Citizenship Education for Planet Repairs Action (GCEPRA) - Ghana in Planet Repairs Action Dialogue (GIPRAD), 16 July 2024, </w:t>
      </w:r>
      <w:hyperlink r:id="rId190" w:history="1">
        <w:r w:rsidRPr="009E1F40">
          <w:rPr>
            <w:rFonts w:ascii="Calibri" w:hAnsi="Calibri" w:cs="Calibri"/>
            <w:sz w:val="22"/>
            <w:szCs w:val="22"/>
          </w:rPr>
          <w:t>https://www.praler.net/post/global-citizenship-education-for-planet-repairs-action-gcepra-ghana-in-planet-repairs-action-dia</w:t>
        </w:r>
      </w:hyperlink>
      <w:r w:rsidRPr="009E1F40">
        <w:rPr>
          <w:rFonts w:ascii="Calibri" w:hAnsi="Calibri" w:cs="Calibri"/>
          <w:sz w:val="22"/>
          <w:szCs w:val="22"/>
        </w:rPr>
        <w:t>.</w:t>
      </w:r>
    </w:p>
    <w:p w14:paraId="271008BE" w14:textId="1A78CCB1" w:rsidR="00F91E9E" w:rsidRPr="009E1F40" w:rsidRDefault="00F91E9E" w:rsidP="00057638">
      <w:pPr>
        <w:pStyle w:val="FootnoteText"/>
        <w:spacing w:line="259" w:lineRule="auto"/>
        <w:ind w:left="720" w:hanging="720"/>
        <w:jc w:val="left"/>
        <w:rPr>
          <w:rFonts w:cs="Calibri"/>
          <w:sz w:val="22"/>
          <w:szCs w:val="22"/>
        </w:rPr>
      </w:pPr>
      <w:r w:rsidRPr="0CB5FF8F">
        <w:rPr>
          <w:rFonts w:cs="Calibri"/>
          <w:sz w:val="22"/>
          <w:szCs w:val="22"/>
        </w:rPr>
        <w:t>Prichard,</w:t>
      </w:r>
      <w:r w:rsidRPr="009E1F40">
        <w:rPr>
          <w:rFonts w:cs="Calibri"/>
          <w:sz w:val="22"/>
          <w:szCs w:val="22"/>
        </w:rPr>
        <w:t xml:space="preserve"> J.C.,</w:t>
      </w:r>
      <w:r w:rsidRPr="0CB5FF8F">
        <w:rPr>
          <w:rFonts w:cs="Calibri"/>
          <w:sz w:val="22"/>
          <w:szCs w:val="22"/>
        </w:rPr>
        <w:t xml:space="preserve"> </w:t>
      </w:r>
      <w:r w:rsidRPr="009E1F40">
        <w:rPr>
          <w:rStyle w:val="Emphasis"/>
          <w:rFonts w:eastAsia="Times New Roman" w:cs="Calibri"/>
          <w:sz w:val="22"/>
          <w:szCs w:val="22"/>
        </w:rPr>
        <w:t>Researches into the Physical History of Man</w:t>
      </w:r>
      <w:r w:rsidRPr="0CB5FF8F">
        <w:rPr>
          <w:rFonts w:cs="Calibri"/>
          <w:i/>
          <w:sz w:val="22"/>
          <w:szCs w:val="22"/>
        </w:rPr>
        <w:t xml:space="preserve"> </w:t>
      </w:r>
      <w:r w:rsidRPr="0CB5FF8F">
        <w:rPr>
          <w:rFonts w:cs="Calibri"/>
          <w:sz w:val="22"/>
          <w:szCs w:val="22"/>
        </w:rPr>
        <w:t>(London: [N.pub], 1813), pp. 232</w:t>
      </w:r>
      <w:r w:rsidRPr="009E1F40">
        <w:rPr>
          <w:rFonts w:cs="Calibri"/>
          <w:sz w:val="22"/>
          <w:szCs w:val="22"/>
        </w:rPr>
        <w:t>–3</w:t>
      </w:r>
      <w:r w:rsidRPr="0CB5FF8F">
        <w:rPr>
          <w:rFonts w:cs="Calibri"/>
          <w:sz w:val="22"/>
          <w:szCs w:val="22"/>
        </w:rPr>
        <w:t>3.</w:t>
      </w:r>
    </w:p>
    <w:p w14:paraId="107D066C" w14:textId="015962BE" w:rsidR="00073226"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Race.Ed, ‘Race.Ed podcast – Undersong: Episode 13 (Parts 1 and 2) – On Reparations at the University of Edinburgh’, 2024, </w:t>
      </w:r>
      <w:hyperlink r:id="rId191">
        <w:r w:rsidR="00073226" w:rsidRPr="0CB5FF8F">
          <w:rPr>
            <w:rStyle w:val="Hyperlink"/>
            <w:rFonts w:cs="Calibri"/>
            <w:sz w:val="22"/>
            <w:szCs w:val="22"/>
          </w:rPr>
          <w:t>https://www.race.ed.ac.uk/podcast/</w:t>
        </w:r>
      </w:hyperlink>
      <w:r w:rsidRPr="009E1F40">
        <w:rPr>
          <w:rFonts w:cs="Calibri"/>
          <w:sz w:val="22"/>
          <w:szCs w:val="22"/>
        </w:rPr>
        <w:t>.</w:t>
      </w:r>
    </w:p>
    <w:p w14:paraId="64F69CFF" w14:textId="4F61098C" w:rsidR="00073226" w:rsidRPr="00073226" w:rsidRDefault="00073226" w:rsidP="00057638">
      <w:pPr>
        <w:pStyle w:val="FootnoteText"/>
        <w:spacing w:line="259" w:lineRule="auto"/>
        <w:ind w:left="720" w:hanging="720"/>
        <w:jc w:val="left"/>
        <w:rPr>
          <w:rFonts w:cs="Calibri"/>
          <w:sz w:val="22"/>
          <w:szCs w:val="22"/>
        </w:rPr>
      </w:pPr>
      <w:r w:rsidRPr="0CB5FF8F">
        <w:rPr>
          <w:rFonts w:asciiTheme="minorHAnsi" w:hAnsiTheme="minorHAnsi"/>
          <w:color w:val="000000" w:themeColor="text1"/>
          <w:sz w:val="22"/>
          <w:szCs w:val="22"/>
        </w:rPr>
        <w:t xml:space="preserve">Rankin, Susan R. and Robert Dean Reason, ‘Differing Perceptions: How Students of Color and White Students Perceive Campus Climate for Underrepresented Groups’, </w:t>
      </w:r>
      <w:r w:rsidRPr="0CB5FF8F">
        <w:rPr>
          <w:rFonts w:asciiTheme="minorHAnsi" w:hAnsiTheme="minorHAnsi"/>
          <w:i/>
          <w:color w:val="000000" w:themeColor="text1"/>
          <w:sz w:val="22"/>
          <w:szCs w:val="22"/>
        </w:rPr>
        <w:t>Journal of College Student Development</w:t>
      </w:r>
      <w:r w:rsidRPr="0CB5FF8F">
        <w:rPr>
          <w:rFonts w:asciiTheme="minorHAnsi" w:hAnsiTheme="minorHAnsi"/>
          <w:color w:val="000000" w:themeColor="text1"/>
          <w:sz w:val="22"/>
          <w:szCs w:val="22"/>
        </w:rPr>
        <w:t>, 46 (2005), 43</w:t>
      </w:r>
      <w:r w:rsidRPr="0CB5FF8F">
        <w:rPr>
          <w:rFonts w:asciiTheme="minorHAnsi" w:hAnsiTheme="minorHAnsi"/>
          <w:color w:val="262626" w:themeColor="text1" w:themeTint="D9"/>
          <w:sz w:val="22"/>
          <w:szCs w:val="22"/>
        </w:rPr>
        <w:t>–</w:t>
      </w:r>
      <w:r w:rsidRPr="0CB5FF8F">
        <w:rPr>
          <w:rFonts w:asciiTheme="minorHAnsi" w:hAnsiTheme="minorHAnsi"/>
          <w:color w:val="000000" w:themeColor="text1"/>
          <w:sz w:val="22"/>
          <w:szCs w:val="22"/>
        </w:rPr>
        <w:t>61.</w:t>
      </w:r>
    </w:p>
    <w:p w14:paraId="1009D971" w14:textId="2E0A8755"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REAR, ‘REAR Action Plan 2023’, </w:t>
      </w:r>
      <w:hyperlink r:id="rId192" w:history="1">
        <w:r w:rsidRPr="009E1F40">
          <w:rPr>
            <w:rStyle w:val="Hyperlink"/>
            <w:rFonts w:cs="Calibri"/>
            <w:sz w:val="22"/>
            <w:szCs w:val="22"/>
          </w:rPr>
          <w:t>https://equality-diversity.ed.ac.uk/sites/default/files/2024-07/REAR%20Action%20Plan%202023.pdf</w:t>
        </w:r>
      </w:hyperlink>
      <w:r w:rsidRPr="009E1F40">
        <w:rPr>
          <w:rFonts w:cs="Calibri"/>
          <w:sz w:val="22"/>
          <w:szCs w:val="22"/>
        </w:rPr>
        <w:t>.</w:t>
      </w:r>
    </w:p>
    <w:p w14:paraId="64E77A4C" w14:textId="7015E1A7" w:rsidR="00F91E9E" w:rsidRPr="009E1F40" w:rsidRDefault="00F91E9E" w:rsidP="00057638">
      <w:pPr>
        <w:pStyle w:val="FootnoteText"/>
        <w:spacing w:line="259" w:lineRule="auto"/>
        <w:ind w:left="720" w:hanging="720"/>
        <w:jc w:val="left"/>
        <w:rPr>
          <w:rFonts w:cs="Calibri"/>
          <w:sz w:val="22"/>
          <w:szCs w:val="22"/>
        </w:rPr>
      </w:pPr>
      <w:r w:rsidRPr="0CB5FF8F">
        <w:rPr>
          <w:rFonts w:cs="Calibri"/>
          <w:sz w:val="22"/>
          <w:szCs w:val="22"/>
        </w:rPr>
        <w:t xml:space="preserve">________, ‘UoE Race Equality and Anti-Racist Action Plan for 2020/21’, </w:t>
      </w:r>
      <w:hyperlink r:id="rId193">
        <w:r w:rsidRPr="0CB5FF8F">
          <w:rPr>
            <w:rStyle w:val="Hyperlink"/>
            <w:rFonts w:cs="Calibri"/>
            <w:sz w:val="22"/>
            <w:szCs w:val="22"/>
          </w:rPr>
          <w:t>https://edwebcontent.ed.ac.uk/sites/default/files/atoms/files/uoe_race_equality_and_anti-racist_action_plan.pdf</w:t>
        </w:r>
      </w:hyperlink>
      <w:r w:rsidRPr="0CB5FF8F">
        <w:rPr>
          <w:rFonts w:cs="Calibri"/>
          <w:sz w:val="22"/>
          <w:szCs w:val="22"/>
        </w:rPr>
        <w:t xml:space="preserve"> </w:t>
      </w:r>
    </w:p>
    <w:p w14:paraId="1F4BA2EF" w14:textId="6762E42A" w:rsidR="00F91E9E" w:rsidRPr="009E1F40" w:rsidRDefault="00F91E9E" w:rsidP="00057638">
      <w:pPr>
        <w:pStyle w:val="FootnoteText"/>
        <w:spacing w:line="259" w:lineRule="auto"/>
        <w:ind w:left="720" w:hanging="720"/>
        <w:jc w:val="left"/>
        <w:rPr>
          <w:rFonts w:cs="Calibri"/>
          <w:sz w:val="22"/>
          <w:szCs w:val="22"/>
        </w:rPr>
      </w:pPr>
      <w:r w:rsidRPr="0CB5FF8F">
        <w:rPr>
          <w:rFonts w:cs="Calibri"/>
          <w:sz w:val="22"/>
          <w:szCs w:val="22"/>
        </w:rPr>
        <w:t xml:space="preserve">Reay, </w:t>
      </w:r>
      <w:r w:rsidRPr="009E1F40">
        <w:rPr>
          <w:rFonts w:cs="Calibri"/>
          <w:sz w:val="22"/>
          <w:szCs w:val="22"/>
        </w:rPr>
        <w:t>Diane,</w:t>
      </w:r>
      <w:r w:rsidRPr="0CB5FF8F">
        <w:rPr>
          <w:rFonts w:cs="Calibri"/>
          <w:sz w:val="22"/>
          <w:szCs w:val="22"/>
        </w:rPr>
        <w:t xml:space="preserve"> ‘Race and Elite Universities in the UK’, in </w:t>
      </w:r>
      <w:r w:rsidRPr="009E1F40">
        <w:rPr>
          <w:rFonts w:cs="Calibri"/>
          <w:sz w:val="22"/>
          <w:szCs w:val="22"/>
        </w:rPr>
        <w:t xml:space="preserve">Jason Arday and Heidi Safia Mirza (editors), </w:t>
      </w:r>
      <w:r w:rsidRPr="009E1F40">
        <w:rPr>
          <w:rFonts w:cs="Calibri"/>
          <w:i/>
          <w:iCs/>
          <w:sz w:val="22"/>
          <w:szCs w:val="22"/>
        </w:rPr>
        <w:t xml:space="preserve">Dismantling Race in Higher Education </w:t>
      </w:r>
      <w:r w:rsidRPr="009E1F40">
        <w:rPr>
          <w:rFonts w:cs="Calibri"/>
          <w:sz w:val="22"/>
          <w:szCs w:val="22"/>
        </w:rPr>
        <w:t xml:space="preserve">(Cham: Palgrave Macmillan, 2018), </w:t>
      </w:r>
      <w:r w:rsidRPr="0CB5FF8F">
        <w:rPr>
          <w:rFonts w:cs="Calibri"/>
          <w:sz w:val="22"/>
          <w:szCs w:val="22"/>
        </w:rPr>
        <w:t>pp. 47–66.</w:t>
      </w:r>
    </w:p>
    <w:p w14:paraId="33B65ED3"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Records of University of Edinburgh Dialectic Society, EUA GD9, EUL.</w:t>
      </w:r>
    </w:p>
    <w:p w14:paraId="7660A0BC" w14:textId="1832798D"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lastRenderedPageBreak/>
        <w:t>REWG, ‘Community Anchor Invitation’, https://blogs.ed.ac.uk/decolonise/2024/01/25/community-anchor-invitation/.</w:t>
      </w:r>
    </w:p>
    <w:p w14:paraId="74035590" w14:textId="12C00305"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‘Decolonised Transformations Inaugural Event: Recapitulation’, 22 April 2023, https://blogs.ed.ac.uk/decolonise/2023/07/11/decolonised-transformations-inaugural-event-recapitulation/.</w:t>
      </w:r>
    </w:p>
    <w:p w14:paraId="3EF66C86" w14:textId="371428EA"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‘Principles of Participation’, 9 May 2023, https://blogs.ed.ac.uk/decolonise/2023/05/09/what-are-principles-of-participation-and-why-do-we-need-them/.</w:t>
      </w:r>
    </w:p>
    <w:p w14:paraId="0EAE2A39" w14:textId="77777777" w:rsidR="00F91E9E" w:rsidRPr="009E1F40" w:rsidRDefault="00F91E9E" w:rsidP="00057638">
      <w:pPr>
        <w:autoSpaceDE w:val="0"/>
        <w:autoSpaceDN w:val="0"/>
        <w:adjustRightInd w:val="0"/>
        <w:spacing w:line="259" w:lineRule="auto"/>
        <w:ind w:left="720" w:hanging="720"/>
        <w:rPr>
          <w:rFonts w:ascii="Calibri" w:eastAsia="Calibri" w:hAnsi="Calibri" w:cs="Calibri"/>
          <w:color w:val="000000" w:themeColor="text1"/>
          <w:sz w:val="22"/>
          <w:szCs w:val="22"/>
        </w:rPr>
      </w:pPr>
      <w:r>
        <w:rPr>
          <w:rFonts w:cs="Calibri"/>
          <w:sz w:val="22"/>
          <w:szCs w:val="22"/>
        </w:rPr>
        <w:t>________</w:t>
      </w:r>
      <w:r w:rsidRPr="009E1F40">
        <w:rPr>
          <w:rFonts w:ascii="Calibri" w:eastAsia="Calibri" w:hAnsi="Calibri" w:cs="Calibri"/>
          <w:color w:val="000000" w:themeColor="text1"/>
          <w:sz w:val="22"/>
          <w:szCs w:val="22"/>
        </w:rPr>
        <w:t>, ‘The Team’</w:t>
      </w:r>
      <w:r w:rsidRPr="009E1F40">
        <w:rPr>
          <w:rFonts w:ascii="Calibri" w:hAnsi="Calibri" w:cs="Calibri"/>
          <w:sz w:val="22"/>
          <w:szCs w:val="22"/>
        </w:rPr>
        <w:t xml:space="preserve"> </w:t>
      </w:r>
      <w:hyperlink r:id="rId194" w:history="1">
        <w:r w:rsidRPr="009E1F40">
          <w:rPr>
            <w:rStyle w:val="Hyperlink"/>
            <w:rFonts w:ascii="Calibri" w:eastAsia="Calibri" w:hAnsi="Calibri" w:cs="Calibri"/>
            <w:sz w:val="22"/>
            <w:szCs w:val="22"/>
          </w:rPr>
          <w:t>https://blogs.ed.ac.uk/decolonise/category/the-team/</w:t>
        </w:r>
      </w:hyperlink>
      <w:r w:rsidRPr="009E1F40">
        <w:rPr>
          <w:rFonts w:ascii="Calibri" w:eastAsia="Calibri" w:hAnsi="Calibri" w:cs="Calibri"/>
          <w:color w:val="000000" w:themeColor="text1"/>
          <w:sz w:val="22"/>
          <w:szCs w:val="22"/>
        </w:rPr>
        <w:t>.</w:t>
      </w:r>
    </w:p>
    <w:p w14:paraId="4A968281"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Robertson, William, </w:t>
      </w:r>
      <w:r w:rsidRPr="009E1F40">
        <w:rPr>
          <w:rFonts w:cs="Calibri"/>
          <w:i/>
          <w:iCs/>
          <w:sz w:val="22"/>
          <w:szCs w:val="22"/>
        </w:rPr>
        <w:t>The History of America</w:t>
      </w:r>
      <w:r w:rsidRPr="009E1F40">
        <w:rPr>
          <w:rFonts w:cs="Calibri"/>
          <w:sz w:val="22"/>
          <w:szCs w:val="22"/>
        </w:rPr>
        <w:t xml:space="preserve">, 2 vols. (London, 1777). </w:t>
      </w:r>
    </w:p>
    <w:p w14:paraId="0B1978BE"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shd w:val="clear" w:color="auto" w:fill="FFFFFF"/>
        </w:rPr>
        <w:t xml:space="preserve">Rodriguez, Julia E., ‘Decolonizing or Recolonizing? The (Mis)Representation of Humanity in Natural History Museums’, </w:t>
      </w:r>
      <w:r w:rsidRPr="009E1F40">
        <w:rPr>
          <w:rFonts w:cs="Calibri"/>
          <w:i/>
          <w:iCs/>
          <w:sz w:val="22"/>
          <w:szCs w:val="22"/>
          <w:shd w:val="clear" w:color="auto" w:fill="FFFFFF"/>
        </w:rPr>
        <w:t>History of Anthropology Review</w:t>
      </w:r>
      <w:r w:rsidRPr="009E1F40">
        <w:rPr>
          <w:rFonts w:cs="Calibri"/>
          <w:sz w:val="22"/>
          <w:szCs w:val="22"/>
          <w:shd w:val="clear" w:color="auto" w:fill="FFFFFF"/>
        </w:rPr>
        <w:t xml:space="preserve">, 44 (2020), </w:t>
      </w:r>
      <w:hyperlink r:id="rId195" w:history="1">
        <w:r w:rsidRPr="009E1F40">
          <w:rPr>
            <w:rStyle w:val="Hyperlink"/>
            <w:rFonts w:cs="Calibri"/>
            <w:sz w:val="22"/>
            <w:szCs w:val="22"/>
            <w:shd w:val="clear" w:color="auto" w:fill="FFFFFF"/>
          </w:rPr>
          <w:t>https://histanthro.org/notes/decolonizing-or-recolonizing/</w:t>
        </w:r>
      </w:hyperlink>
      <w:r w:rsidRPr="009E1F40">
        <w:rPr>
          <w:rFonts w:cs="Calibri"/>
          <w:sz w:val="22"/>
          <w:szCs w:val="22"/>
          <w:shd w:val="clear" w:color="auto" w:fill="FFFFFF"/>
        </w:rPr>
        <w:t>.</w:t>
      </w:r>
    </w:p>
    <w:p w14:paraId="6B39B762" w14:textId="62AE5EBE"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Runnymede Trust, ‘Finding Common Cause: Building Research Collaborations Between Universities and Black and Minority Ethnic Communities</w:t>
      </w:r>
      <w:r w:rsidRPr="009E1F40">
        <w:rPr>
          <w:rFonts w:eastAsia="Calibri" w:cs="Calibri"/>
          <w:color w:val="000000" w:themeColor="text1"/>
          <w:sz w:val="22"/>
          <w:szCs w:val="22"/>
        </w:rPr>
        <w:t>’, 2018, https://www.runnymedetrust.org/publications/finding-common-cause-building-research-collaborations-between-universities-and-black-and-minority-ethnic-communities.</w:t>
      </w:r>
    </w:p>
    <w:p w14:paraId="203D2ACE"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Sa’di, Ahmad and Lila Abu-Lughod (editors), </w:t>
      </w:r>
      <w:r w:rsidRPr="009E1F40">
        <w:rPr>
          <w:rFonts w:cs="Calibri"/>
          <w:i/>
          <w:iCs/>
          <w:sz w:val="22"/>
          <w:szCs w:val="22"/>
        </w:rPr>
        <w:t>Nakba: Palestine, 1948 and the Claims to Memory</w:t>
      </w:r>
      <w:r w:rsidRPr="009E1F40">
        <w:rPr>
          <w:rFonts w:cs="Calibri"/>
          <w:sz w:val="22"/>
          <w:szCs w:val="22"/>
        </w:rPr>
        <w:t xml:space="preserve"> (New York: Columbia University Press, 2007). </w:t>
      </w:r>
    </w:p>
    <w:p w14:paraId="659FF295" w14:textId="77777777" w:rsidR="00F91E9E" w:rsidRPr="009E1F40" w:rsidRDefault="00F91E9E" w:rsidP="00057638">
      <w:pPr>
        <w:pStyle w:val="FootnoteText"/>
        <w:spacing w:line="259" w:lineRule="auto"/>
        <w:ind w:left="720" w:hanging="720"/>
        <w:jc w:val="left"/>
        <w:rPr>
          <w:rFonts w:eastAsia="Calibri" w:cs="Calibri"/>
          <w:sz w:val="22"/>
          <w:szCs w:val="22"/>
        </w:rPr>
      </w:pPr>
      <w:r w:rsidRPr="009E1F40">
        <w:rPr>
          <w:rFonts w:eastAsia="Calibri" w:cs="Calibri"/>
          <w:sz w:val="22"/>
          <w:szCs w:val="22"/>
        </w:rPr>
        <w:t xml:space="preserve">Said, Edward, </w:t>
      </w:r>
      <w:r w:rsidRPr="009E1F40">
        <w:rPr>
          <w:rFonts w:eastAsia="Calibri" w:cs="Calibri"/>
          <w:i/>
          <w:iCs/>
          <w:sz w:val="22"/>
          <w:szCs w:val="22"/>
        </w:rPr>
        <w:t xml:space="preserve">The Question of Palestine </w:t>
      </w:r>
      <w:r w:rsidRPr="009E1F40">
        <w:rPr>
          <w:rFonts w:eastAsia="Calibri" w:cs="Calibri"/>
          <w:sz w:val="22"/>
          <w:szCs w:val="22"/>
        </w:rPr>
        <w:t>(New York: Vintage Books, 1980).</w:t>
      </w:r>
    </w:p>
    <w:p w14:paraId="442A1E7D"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Sayigh,</w:t>
      </w:r>
      <w:r w:rsidRPr="009E1F40">
        <w:rPr>
          <w:rStyle w:val="apple-converted-space"/>
          <w:rFonts w:cs="Calibri"/>
          <w:sz w:val="22"/>
          <w:szCs w:val="22"/>
        </w:rPr>
        <w:t> </w:t>
      </w:r>
      <w:r w:rsidRPr="009E1F40">
        <w:rPr>
          <w:rFonts w:cs="Calibri"/>
          <w:sz w:val="22"/>
          <w:szCs w:val="22"/>
        </w:rPr>
        <w:t xml:space="preserve">Rosemary, </w:t>
      </w:r>
      <w:r w:rsidRPr="009E1F40">
        <w:rPr>
          <w:rFonts w:cs="Calibri"/>
          <w:i/>
          <w:iCs/>
          <w:sz w:val="22"/>
          <w:szCs w:val="22"/>
        </w:rPr>
        <w:t>Palestinians: From Peasants to Revolutionaries</w:t>
      </w:r>
      <w:r w:rsidRPr="009E1F40">
        <w:rPr>
          <w:rFonts w:cs="Calibri"/>
          <w:sz w:val="22"/>
          <w:szCs w:val="22"/>
        </w:rPr>
        <w:t xml:space="preserve"> (London: Zed Books, 1979).</w:t>
      </w:r>
    </w:p>
    <w:p w14:paraId="1EE06B84" w14:textId="704D0CBD" w:rsidR="00F91E9E" w:rsidRPr="009E1F40" w:rsidRDefault="00F91E9E" w:rsidP="00057638">
      <w:pPr>
        <w:pStyle w:val="FootnoteText"/>
        <w:spacing w:line="259" w:lineRule="auto"/>
        <w:ind w:left="720" w:hanging="720"/>
        <w:jc w:val="left"/>
        <w:rPr>
          <w:rFonts w:cs="Calibri"/>
          <w:sz w:val="22"/>
          <w:szCs w:val="22"/>
        </w:rPr>
      </w:pPr>
      <w:r w:rsidRPr="0CB5FF8F">
        <w:rPr>
          <w:rFonts w:cs="Calibri"/>
          <w:sz w:val="22"/>
          <w:szCs w:val="22"/>
        </w:rPr>
        <w:t xml:space="preserve">School of Divinity, ‘Enslavement, Brazil and the Gunning Lectures’, </w:t>
      </w:r>
      <w:hyperlink r:id="rId196">
        <w:r w:rsidRPr="0CB5FF8F">
          <w:rPr>
            <w:rStyle w:val="Hyperlink"/>
            <w:rFonts w:cs="Calibri"/>
            <w:sz w:val="22"/>
            <w:szCs w:val="22"/>
          </w:rPr>
          <w:t>https://www.eventbrite.co.uk/e/enslavement-brazil-and-the-gunning-lectures-tickets-1044925649747?aff=oddtdtcreator</w:t>
        </w:r>
      </w:hyperlink>
      <w:r w:rsidRPr="0CB5FF8F">
        <w:rPr>
          <w:rFonts w:cs="Calibri"/>
          <w:sz w:val="22"/>
          <w:szCs w:val="22"/>
        </w:rPr>
        <w:t xml:space="preserve">. </w:t>
      </w:r>
    </w:p>
    <w:p w14:paraId="22897315"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Seikaly, Sherene, </w:t>
      </w:r>
      <w:r w:rsidRPr="009E1F40">
        <w:rPr>
          <w:rFonts w:cs="Calibri"/>
          <w:i/>
          <w:sz w:val="22"/>
          <w:szCs w:val="22"/>
        </w:rPr>
        <w:t>Men of Capital: Scarcity and Economy in Mandate Palestine</w:t>
      </w:r>
      <w:r w:rsidRPr="009E1F40">
        <w:rPr>
          <w:rFonts w:cs="Calibri"/>
          <w:sz w:val="22"/>
          <w:szCs w:val="22"/>
        </w:rPr>
        <w:t xml:space="preserve"> (Stanford: Stanford University Press, 2016).</w:t>
      </w:r>
    </w:p>
    <w:p w14:paraId="0E10B517" w14:textId="42D4C6CA"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Shah, Nilay, ‘Community Report from the History Group’, Imperial College London, November 2021, </w:t>
      </w:r>
      <w:hyperlink r:id="rId197">
        <w:r w:rsidRPr="0CB5FF8F">
          <w:rPr>
            <w:rStyle w:val="Hyperlink"/>
            <w:rFonts w:cs="Calibri"/>
            <w:sz w:val="22"/>
            <w:szCs w:val="22"/>
          </w:rPr>
          <w:t>https://www.imperial.ac.uk/equality/activities/history-group/</w:t>
        </w:r>
      </w:hyperlink>
      <w:r w:rsidRPr="009E1F40">
        <w:rPr>
          <w:rFonts w:cs="Calibri"/>
          <w:sz w:val="22"/>
          <w:szCs w:val="22"/>
        </w:rPr>
        <w:t xml:space="preserve">. </w:t>
      </w:r>
    </w:p>
    <w:p w14:paraId="31FFD945"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shd w:val="clear" w:color="auto" w:fill="FFFFFF"/>
        </w:rPr>
        <w:t xml:space="preserve">Shain, </w:t>
      </w:r>
      <w:r w:rsidRPr="009E1F40">
        <w:rPr>
          <w:rFonts w:cs="Calibri"/>
          <w:sz w:val="22"/>
          <w:szCs w:val="22"/>
        </w:rPr>
        <w:t>Farzana,</w:t>
      </w:r>
      <w:r w:rsidRPr="009E1F40">
        <w:rPr>
          <w:rFonts w:cs="Calibri"/>
          <w:sz w:val="22"/>
          <w:szCs w:val="22"/>
          <w:shd w:val="clear" w:color="auto" w:fill="FFFFFF"/>
        </w:rPr>
        <w:t xml:space="preserve"> Ümit Kemal Yıldız, Veronica Poku, ‘From Silence to “Strategic Advancement”: Institutional Responses to “Decolonising” in Higher Education in England, </w:t>
      </w:r>
      <w:r w:rsidRPr="009E1F40">
        <w:rPr>
          <w:rFonts w:cs="Calibri"/>
          <w:i/>
          <w:iCs/>
          <w:sz w:val="22"/>
          <w:szCs w:val="22"/>
          <w:shd w:val="clear" w:color="auto" w:fill="FFFFFF"/>
        </w:rPr>
        <w:t>Teaching in Higher Education</w:t>
      </w:r>
      <w:r w:rsidRPr="009E1F40">
        <w:rPr>
          <w:rFonts w:cs="Calibri"/>
          <w:sz w:val="22"/>
          <w:szCs w:val="22"/>
          <w:shd w:val="clear" w:color="auto" w:fill="FFFFFF"/>
        </w:rPr>
        <w:t>, 26 (2021), 920–36.</w:t>
      </w:r>
    </w:p>
    <w:p w14:paraId="3F3F0276" w14:textId="77777777" w:rsidR="00F91E9E" w:rsidRPr="009E1F40" w:rsidRDefault="00F91E9E" w:rsidP="00057638">
      <w:pPr>
        <w:pStyle w:val="FootnoteText"/>
        <w:spacing w:line="259" w:lineRule="auto"/>
        <w:ind w:left="720" w:hanging="720"/>
        <w:jc w:val="left"/>
        <w:rPr>
          <w:rStyle w:val="normaltextrun"/>
          <w:rFonts w:cs="Calibri"/>
          <w:color w:val="000000"/>
          <w:sz w:val="22"/>
          <w:szCs w:val="22"/>
          <w:shd w:val="clear" w:color="auto" w:fill="FFFFFF"/>
        </w:rPr>
      </w:pPr>
      <w:r w:rsidRPr="009E1F40">
        <w:rPr>
          <w:rStyle w:val="normaltextrun"/>
          <w:rFonts w:cs="Calibri"/>
          <w:color w:val="000000"/>
          <w:sz w:val="22"/>
          <w:szCs w:val="22"/>
          <w:shd w:val="clear" w:color="auto" w:fill="FFFFFF"/>
        </w:rPr>
        <w:t>Smallwood, Stephanie E., ‘The Politics of the Archive and History’s Accountability to the Enslaved’, </w:t>
      </w:r>
      <w:r w:rsidRPr="009E1F40">
        <w:rPr>
          <w:rStyle w:val="normaltextrun"/>
          <w:rFonts w:cs="Calibri"/>
          <w:i/>
          <w:iCs/>
          <w:color w:val="000000"/>
          <w:sz w:val="22"/>
          <w:szCs w:val="22"/>
          <w:shd w:val="clear" w:color="auto" w:fill="FFFFFF"/>
        </w:rPr>
        <w:t>History of the Present</w:t>
      </w:r>
      <w:r w:rsidRPr="009E1F40">
        <w:rPr>
          <w:rStyle w:val="normaltextrun"/>
          <w:rFonts w:cs="Calibri"/>
          <w:color w:val="000000"/>
          <w:sz w:val="22"/>
          <w:szCs w:val="22"/>
          <w:shd w:val="clear" w:color="auto" w:fill="FFFFFF"/>
        </w:rPr>
        <w:t>, 6 (2016), 117–32.</w:t>
      </w:r>
    </w:p>
    <w:p w14:paraId="6F4E2CE6" w14:textId="507A82CA"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Smith, William A., ‘Black Faculty Coping with Racial Battle Fatigue’, in </w:t>
      </w:r>
      <w:r w:rsidRPr="009E1F40">
        <w:rPr>
          <w:rFonts w:cs="Calibri"/>
          <w:i/>
          <w:iCs/>
          <w:sz w:val="22"/>
          <w:szCs w:val="22"/>
        </w:rPr>
        <w:t>A Long Way to Go: Conversations about Race by African American Faculty and Graduate Students</w:t>
      </w:r>
      <w:r w:rsidRPr="009E1F40">
        <w:rPr>
          <w:rFonts w:cs="Calibri"/>
          <w:sz w:val="22"/>
          <w:szCs w:val="22"/>
        </w:rPr>
        <w:t xml:space="preserve">, ed. by Darrell Cleveland (New York: Peter Lang, 2004), pp. 171–90. </w:t>
      </w:r>
    </w:p>
    <w:p w14:paraId="251D7110"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Staddon Foster, Lucien, ‘Scotland’s Census 2022: What do the latest statistics tell us about minority ethnic groups in Scotland?’, </w:t>
      </w:r>
      <w:r w:rsidRPr="009E1F40">
        <w:rPr>
          <w:rFonts w:cs="Calibri"/>
          <w:i/>
          <w:iCs/>
          <w:sz w:val="22"/>
          <w:szCs w:val="22"/>
        </w:rPr>
        <w:t>Coalition for Racial Equality and Rights</w:t>
      </w:r>
      <w:r w:rsidRPr="009E1F40">
        <w:rPr>
          <w:rFonts w:cs="Calibri"/>
          <w:sz w:val="22"/>
          <w:szCs w:val="22"/>
        </w:rPr>
        <w:t>,</w:t>
      </w:r>
      <w:r w:rsidRPr="009E1F40">
        <w:rPr>
          <w:rFonts w:cs="Calibri"/>
          <w:i/>
          <w:iCs/>
          <w:sz w:val="22"/>
          <w:szCs w:val="22"/>
        </w:rPr>
        <w:t xml:space="preserve"> </w:t>
      </w:r>
      <w:r w:rsidRPr="009E1F40">
        <w:rPr>
          <w:rFonts w:cs="Calibri"/>
          <w:sz w:val="22"/>
          <w:szCs w:val="22"/>
        </w:rPr>
        <w:t xml:space="preserve">17 June 2024, </w:t>
      </w:r>
      <w:hyperlink r:id="rId198" w:anchor=":~:text=Scotland's%20Population:%20An%20overview,Scotland's%20last%20census%20in%202011" w:history="1">
        <w:r w:rsidRPr="009E1F40">
          <w:rPr>
            <w:rStyle w:val="Hyperlink"/>
            <w:rFonts w:cs="Calibri"/>
            <w:sz w:val="22"/>
            <w:szCs w:val="22"/>
          </w:rPr>
          <w:t>https://www.crer.org.uk/blog/census-2022-bme-population#:~:text=Scotland's%20Population:%20An%20overview,Scotland's%20last%20census%20in%202011</w:t>
        </w:r>
      </w:hyperlink>
      <w:r w:rsidRPr="009E1F40">
        <w:rPr>
          <w:rFonts w:cs="Calibri"/>
          <w:sz w:val="22"/>
          <w:szCs w:val="22"/>
        </w:rPr>
        <w:t>.</w:t>
      </w:r>
    </w:p>
    <w:p w14:paraId="75872FE0" w14:textId="77777777" w:rsidR="00F91E9E" w:rsidRPr="009E1F40" w:rsidRDefault="00F91E9E" w:rsidP="00057638">
      <w:pPr>
        <w:tabs>
          <w:tab w:val="left" w:pos="5812"/>
        </w:tabs>
        <w:spacing w:line="259" w:lineRule="auto"/>
        <w:ind w:left="720" w:hanging="720"/>
        <w:rPr>
          <w:rFonts w:ascii="Calibri" w:hAnsi="Calibri" w:cs="Calibri"/>
          <w:sz w:val="22"/>
          <w:szCs w:val="22"/>
        </w:rPr>
      </w:pPr>
      <w:r w:rsidRPr="009E1F40">
        <w:rPr>
          <w:rFonts w:ascii="Calibri" w:hAnsi="Calibri" w:cs="Calibri"/>
          <w:sz w:val="22"/>
          <w:szCs w:val="22"/>
        </w:rPr>
        <w:t>[Stewart, Dugald], ‘Abbreviation’s from Lectures on Moral Philosophy’ [1778–79], EUL, Gen 2023.</w:t>
      </w:r>
    </w:p>
    <w:p w14:paraId="5E44A600" w14:textId="77777777" w:rsidR="00F91E9E" w:rsidRPr="009E1F40" w:rsidRDefault="00F91E9E" w:rsidP="00057638">
      <w:pPr>
        <w:tabs>
          <w:tab w:val="left" w:pos="5812"/>
        </w:tabs>
        <w:spacing w:line="259" w:lineRule="auto"/>
        <w:ind w:left="720" w:hanging="720"/>
        <w:rPr>
          <w:rFonts w:ascii="Calibri" w:hAnsi="Calibri" w:cs="Calibri"/>
          <w:sz w:val="22"/>
          <w:szCs w:val="22"/>
        </w:rPr>
      </w:pPr>
      <w:r>
        <w:rPr>
          <w:rFonts w:cs="Calibri"/>
          <w:sz w:val="22"/>
          <w:szCs w:val="22"/>
        </w:rPr>
        <w:t>________</w:t>
      </w:r>
      <w:r w:rsidRPr="009E1F40">
        <w:rPr>
          <w:rFonts w:ascii="Calibri" w:hAnsi="Calibri" w:cs="Calibri"/>
          <w:sz w:val="22"/>
          <w:szCs w:val="22"/>
        </w:rPr>
        <w:t xml:space="preserve">, EUL Gen 1987, ‘Lectures on Moral Philosophy’, (1789), EUL Gen 1987. </w:t>
      </w:r>
    </w:p>
    <w:p w14:paraId="0AA130FC" w14:textId="048250B3"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Sutherland, James to James Petiver, Edinburgh, 17 September 1700, Sloane MSS 4063, folio 43, British Library.</w:t>
      </w:r>
    </w:p>
    <w:p w14:paraId="64E0E4FF" w14:textId="44B1F30C"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Sutherland, James to James Petiver, Edinburgh, 25 March 1700, Sloane MSS 4063, folios 9-10, British Library.</w:t>
      </w:r>
    </w:p>
    <w:p w14:paraId="22BE0658" w14:textId="2044C0DC"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lastRenderedPageBreak/>
        <w:t xml:space="preserve">Sutherland, James, </w:t>
      </w:r>
      <w:r w:rsidRPr="009E1F40">
        <w:rPr>
          <w:rFonts w:cs="Calibri"/>
          <w:i/>
          <w:iCs/>
          <w:sz w:val="22"/>
          <w:szCs w:val="22"/>
        </w:rPr>
        <w:t xml:space="preserve">Hortus Medicus Edinburgensis, or, A catalogue of the plants in the Physical Garden at Edinburgh: containing their most proper Latin and English names; with an English alphabetical index </w:t>
      </w:r>
      <w:r w:rsidRPr="009E1F40">
        <w:rPr>
          <w:rFonts w:cs="Calibri"/>
          <w:sz w:val="22"/>
          <w:szCs w:val="22"/>
        </w:rPr>
        <w:t>(Edinburgh: printed by the heir of Andrew Anderson, and to be sold by Mr. Henry Ferguson seed-merchant, at the head of Black Friar-Wynd, and at the Physical Garden by the author, 1683).</w:t>
      </w:r>
    </w:p>
    <w:p w14:paraId="6F063389"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Sweet, Jessie M., ‘Instructions to Collectors: John Walker (1793) and Robert Jameson (1817); with Biographical Notes on James Anderson (LL.D.) and James Anderson (M.D.)’, </w:t>
      </w:r>
      <w:r w:rsidRPr="009E1F40">
        <w:rPr>
          <w:rFonts w:cs="Calibri"/>
          <w:i/>
          <w:iCs/>
          <w:sz w:val="22"/>
          <w:szCs w:val="22"/>
        </w:rPr>
        <w:t>Annals of Science</w:t>
      </w:r>
      <w:r w:rsidRPr="009E1F40">
        <w:rPr>
          <w:rFonts w:cs="Calibri"/>
          <w:sz w:val="22"/>
          <w:szCs w:val="22"/>
        </w:rPr>
        <w:t xml:space="preserve">, 29 (1972), 397–414. </w:t>
      </w:r>
    </w:p>
    <w:p w14:paraId="1AE7D649" w14:textId="55CC3534" w:rsidR="004204AE" w:rsidRDefault="004204AE" w:rsidP="00057638">
      <w:pPr>
        <w:pStyle w:val="FootnoteText"/>
        <w:spacing w:line="259" w:lineRule="auto"/>
        <w:ind w:left="720" w:hanging="720"/>
        <w:jc w:val="left"/>
        <w:rPr>
          <w:rFonts w:cs="Calibri"/>
          <w:sz w:val="22"/>
          <w:szCs w:val="22"/>
          <w:shd w:val="clear" w:color="auto" w:fill="FFFFFF"/>
        </w:rPr>
      </w:pPr>
      <w:r>
        <w:rPr>
          <w:rFonts w:cs="Calibri"/>
          <w:sz w:val="22"/>
          <w:szCs w:val="22"/>
          <w:shd w:val="clear" w:color="auto" w:fill="FFFFFF"/>
        </w:rPr>
        <w:t xml:space="preserve">Talbot Rice Gallery, ‘The Accursed Share’, 17 March to 27 May 2023, </w:t>
      </w:r>
      <w:hyperlink r:id="rId199" w:history="1">
        <w:r w:rsidRPr="00022CE1">
          <w:rPr>
            <w:rStyle w:val="Hyperlink"/>
            <w:rFonts w:cs="Calibri"/>
            <w:sz w:val="22"/>
            <w:szCs w:val="22"/>
            <w:shd w:val="clear" w:color="auto" w:fill="FFFFFF"/>
          </w:rPr>
          <w:t>https://www.trg.ed.ac.uk/exhibition/accursed-share</w:t>
        </w:r>
      </w:hyperlink>
      <w:r>
        <w:rPr>
          <w:rFonts w:cs="Calibri"/>
          <w:sz w:val="22"/>
          <w:szCs w:val="22"/>
          <w:shd w:val="clear" w:color="auto" w:fill="FFFFFF"/>
        </w:rPr>
        <w:t>.</w:t>
      </w:r>
    </w:p>
    <w:p w14:paraId="5BF3F93E" w14:textId="33DC063B" w:rsidR="00F91E9E" w:rsidRPr="009E1F40" w:rsidRDefault="00F91E9E" w:rsidP="00057638">
      <w:pPr>
        <w:pStyle w:val="FootnoteText"/>
        <w:spacing w:line="259" w:lineRule="auto"/>
        <w:ind w:left="720" w:hanging="720"/>
        <w:jc w:val="left"/>
        <w:rPr>
          <w:rFonts w:cs="Calibri"/>
          <w:sz w:val="22"/>
          <w:szCs w:val="22"/>
          <w:shd w:val="clear" w:color="auto" w:fill="FFFFFF"/>
        </w:rPr>
      </w:pPr>
      <w:r w:rsidRPr="009E1F40">
        <w:rPr>
          <w:rFonts w:cs="Calibri"/>
          <w:sz w:val="22"/>
          <w:szCs w:val="22"/>
          <w:shd w:val="clear" w:color="auto" w:fill="FFFFFF"/>
        </w:rPr>
        <w:t xml:space="preserve">Takhar, </w:t>
      </w:r>
      <w:r w:rsidRPr="009E1F40">
        <w:rPr>
          <w:rFonts w:cs="Calibri"/>
          <w:sz w:val="22"/>
          <w:szCs w:val="22"/>
        </w:rPr>
        <w:t xml:space="preserve">Shaminder, </w:t>
      </w:r>
      <w:r w:rsidRPr="009E1F40">
        <w:rPr>
          <w:rFonts w:cs="Calibri"/>
          <w:sz w:val="22"/>
          <w:szCs w:val="22"/>
          <w:shd w:val="clear" w:color="auto" w:fill="FFFFFF"/>
        </w:rPr>
        <w:t xml:space="preserve">‘The Student Voice: Decolonising the Curriculum’, </w:t>
      </w:r>
      <w:r w:rsidRPr="009E1F40">
        <w:rPr>
          <w:rFonts w:cs="Calibri"/>
          <w:i/>
          <w:iCs/>
          <w:sz w:val="22"/>
          <w:szCs w:val="22"/>
          <w:shd w:val="clear" w:color="auto" w:fill="FFFFFF"/>
        </w:rPr>
        <w:t>Equity in Education &amp; Society</w:t>
      </w:r>
      <w:r w:rsidRPr="009E1F40">
        <w:rPr>
          <w:rFonts w:cs="Calibri"/>
          <w:sz w:val="22"/>
          <w:szCs w:val="22"/>
          <w:shd w:val="clear" w:color="auto" w:fill="FFFFFF"/>
        </w:rPr>
        <w:t>, 3 (2024), 114-29.</w:t>
      </w:r>
    </w:p>
    <w:p w14:paraId="39AD9DB6" w14:textId="4D01D7E7" w:rsidR="00F91E9E" w:rsidRPr="009E1F40" w:rsidRDefault="00F91E9E" w:rsidP="00057638">
      <w:pPr>
        <w:pStyle w:val="FootnoteText"/>
        <w:spacing w:line="259" w:lineRule="auto"/>
        <w:ind w:left="720" w:hanging="720"/>
        <w:jc w:val="left"/>
        <w:rPr>
          <w:rFonts w:cs="Calibri"/>
          <w:sz w:val="22"/>
          <w:szCs w:val="22"/>
        </w:rPr>
      </w:pPr>
      <w:r w:rsidRPr="0CB5FF8F">
        <w:rPr>
          <w:rFonts w:cs="Calibri"/>
          <w:sz w:val="22"/>
          <w:szCs w:val="22"/>
        </w:rPr>
        <w:t>Tamimi,</w:t>
      </w:r>
      <w:r w:rsidRPr="009E1F40">
        <w:rPr>
          <w:rFonts w:cs="Calibri"/>
          <w:sz w:val="22"/>
          <w:szCs w:val="22"/>
        </w:rPr>
        <w:t xml:space="preserve"> Nancy,</w:t>
      </w:r>
      <w:r w:rsidRPr="0CB5FF8F">
        <w:rPr>
          <w:rFonts w:cs="Calibri"/>
          <w:sz w:val="22"/>
          <w:szCs w:val="22"/>
        </w:rPr>
        <w:t xml:space="preserve"> Hala Khalawi, Mariama A. Jallow et al., ‘Towards Decolonising Higher Education: A Case Study from a UK University’, </w:t>
      </w:r>
      <w:r w:rsidRPr="0CB5FF8F">
        <w:rPr>
          <w:rFonts w:cs="Calibri"/>
          <w:i/>
          <w:sz w:val="22"/>
          <w:szCs w:val="22"/>
        </w:rPr>
        <w:t>High Education</w:t>
      </w:r>
      <w:r w:rsidRPr="0CB5FF8F">
        <w:rPr>
          <w:rFonts w:cs="Calibri"/>
          <w:sz w:val="22"/>
          <w:szCs w:val="22"/>
        </w:rPr>
        <w:t>, 88 (2024), 815–37.</w:t>
      </w:r>
    </w:p>
    <w:p w14:paraId="54880EF5" w14:textId="201C83D3" w:rsidR="00F91E9E" w:rsidRPr="009E1F40" w:rsidRDefault="00F91E9E" w:rsidP="00057638">
      <w:pPr>
        <w:spacing w:line="259" w:lineRule="auto"/>
        <w:ind w:left="720" w:hanging="720"/>
        <w:rPr>
          <w:rFonts w:ascii="Calibri" w:hAnsi="Calibri" w:cs="Calibri"/>
          <w:sz w:val="22"/>
          <w:szCs w:val="22"/>
        </w:rPr>
      </w:pPr>
      <w:r w:rsidRPr="009E1F40">
        <w:rPr>
          <w:rFonts w:ascii="Calibri" w:hAnsi="Calibri" w:cs="Calibri"/>
          <w:sz w:val="22"/>
          <w:szCs w:val="22"/>
        </w:rPr>
        <w:t>Taylor, John, ‘Are all Men originally descended from the same Stock?’, Royal Physical Society Dissertations, EUL DA.67 Phys, Vol. 24 (1804–06), pp. 464–71.</w:t>
      </w:r>
    </w:p>
    <w:p w14:paraId="22799940" w14:textId="531B046D" w:rsidR="003952CF" w:rsidRPr="003952CF" w:rsidRDefault="003952CF" w:rsidP="00057638">
      <w:pPr>
        <w:pStyle w:val="FootnoteText"/>
        <w:spacing w:line="259" w:lineRule="auto"/>
        <w:ind w:left="720" w:hanging="720"/>
        <w:jc w:val="left"/>
        <w:rPr>
          <w:rFonts w:asciiTheme="minorHAnsi" w:hAnsiTheme="minorHAnsi"/>
          <w:color w:val="000000"/>
          <w:sz w:val="22"/>
          <w:szCs w:val="22"/>
        </w:rPr>
      </w:pPr>
      <w:r w:rsidRPr="0CB5FF8F">
        <w:rPr>
          <w:rFonts w:asciiTheme="minorHAnsi" w:hAnsiTheme="minorHAnsi"/>
          <w:color w:val="000000" w:themeColor="text1"/>
          <w:sz w:val="22"/>
          <w:szCs w:val="22"/>
        </w:rPr>
        <w:t xml:space="preserve">Telles, Arien B. and Tania D. Mitchell, ‘Much Discussion, Not Much Change: Perceptions of Campus Climate Continue to Differ Along Racial Lines’, in </w:t>
      </w:r>
      <w:r w:rsidRPr="0CB5FF8F">
        <w:rPr>
          <w:rFonts w:asciiTheme="minorHAnsi" w:hAnsiTheme="minorHAnsi"/>
          <w:i/>
          <w:color w:val="000000" w:themeColor="text1"/>
          <w:sz w:val="22"/>
          <w:szCs w:val="22"/>
        </w:rPr>
        <w:t>Evaluating Campus Climate at US Research Universities</w:t>
      </w:r>
      <w:r w:rsidRPr="0CB5FF8F">
        <w:rPr>
          <w:rFonts w:asciiTheme="minorHAnsi" w:hAnsiTheme="minorHAnsi"/>
          <w:color w:val="000000" w:themeColor="text1"/>
          <w:sz w:val="22"/>
          <w:szCs w:val="22"/>
        </w:rPr>
        <w:t>, ed. by Krista M. Soria (New York: Palgrave Macmillan, 2018), 395</w:t>
      </w:r>
      <w:r w:rsidRPr="0CB5FF8F">
        <w:rPr>
          <w:rFonts w:asciiTheme="minorHAnsi" w:hAnsiTheme="minorHAnsi"/>
          <w:color w:val="262626" w:themeColor="text1" w:themeTint="D9"/>
          <w:sz w:val="22"/>
          <w:szCs w:val="22"/>
        </w:rPr>
        <w:t>–</w:t>
      </w:r>
      <w:r w:rsidRPr="0CB5FF8F">
        <w:rPr>
          <w:rFonts w:asciiTheme="minorHAnsi" w:hAnsiTheme="minorHAnsi"/>
          <w:color w:val="000000" w:themeColor="text1"/>
          <w:sz w:val="22"/>
          <w:szCs w:val="22"/>
        </w:rPr>
        <w:t>408.</w:t>
      </w:r>
    </w:p>
    <w:p w14:paraId="02B29D8E" w14:textId="00C7A8C6"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Thakkar, Nalin, ‘Race Matters at Manchester: Supporting the Representation and Inclusion of Black, Asian and Minority Ethnic (BAME) Staff and Students’, University of Manchester, October 2020, </w:t>
      </w:r>
      <w:hyperlink r:id="rId200">
        <w:r w:rsidRPr="0CB5FF8F">
          <w:rPr>
            <w:rStyle w:val="Hyperlink"/>
            <w:rFonts w:cs="Calibri"/>
            <w:sz w:val="22"/>
            <w:szCs w:val="22"/>
          </w:rPr>
          <w:t>https://documents.manchester.ac.uk/display.aspx?DocID=51691</w:t>
        </w:r>
      </w:hyperlink>
      <w:r w:rsidRPr="009E1F40">
        <w:rPr>
          <w:rFonts w:cs="Calibri"/>
          <w:sz w:val="22"/>
          <w:szCs w:val="22"/>
        </w:rPr>
        <w:t>.</w:t>
      </w:r>
    </w:p>
    <w:p w14:paraId="19530E2E"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i/>
          <w:iCs/>
          <w:sz w:val="22"/>
          <w:szCs w:val="22"/>
        </w:rPr>
        <w:t>The Yearbook of the Universities of the Empire</w:t>
      </w:r>
      <w:r w:rsidRPr="009E1F40">
        <w:rPr>
          <w:rFonts w:cs="Calibri"/>
          <w:sz w:val="22"/>
          <w:szCs w:val="22"/>
        </w:rPr>
        <w:t xml:space="preserve"> (Bell and Sons: London, 1925)</w:t>
      </w:r>
    </w:p>
    <w:p w14:paraId="2253BA08"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i/>
          <w:iCs/>
          <w:sz w:val="22"/>
          <w:szCs w:val="22"/>
        </w:rPr>
        <w:t>The Yearbook of the Universities of the Empire</w:t>
      </w:r>
      <w:r w:rsidRPr="009E1F40">
        <w:rPr>
          <w:rFonts w:cs="Calibri"/>
          <w:sz w:val="22"/>
          <w:szCs w:val="22"/>
        </w:rPr>
        <w:t xml:space="preserve"> (Bell and Sons: London, 1930). </w:t>
      </w:r>
    </w:p>
    <w:p w14:paraId="01147BAF" w14:textId="4F4DF640"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‘Theses hasce philosophicas, Unpaginated’, 1699, Edinburgh, EUA CA3/41, EUL, https://images.is.ed.ac.uk/luna/servlet/s/x9tmc2. </w:t>
      </w:r>
    </w:p>
    <w:p w14:paraId="09D99396" w14:textId="631F73F6"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Tomes, Jason, </w:t>
      </w:r>
      <w:r w:rsidRPr="009E1F40">
        <w:rPr>
          <w:rFonts w:cs="Calibri"/>
          <w:i/>
          <w:iCs/>
          <w:sz w:val="22"/>
          <w:szCs w:val="22"/>
        </w:rPr>
        <w:t>Balfour and Foreign Policy: The International Thought of a Conservative Statesman</w:t>
      </w:r>
      <w:r w:rsidRPr="009E1F40">
        <w:rPr>
          <w:rFonts w:cs="Calibri"/>
          <w:sz w:val="22"/>
          <w:szCs w:val="22"/>
        </w:rPr>
        <w:t xml:space="preserve"> (Cambridge: Cambridge University Press, 2002).</w:t>
      </w:r>
    </w:p>
    <w:p w14:paraId="7AFF9F02"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UK Government, ‘Population of England and Wales by Ethnicity’, </w:t>
      </w:r>
      <w:hyperlink r:id="rId201" w:anchor="by-ethnicity-5-groups" w:history="1">
        <w:r w:rsidRPr="009E1F40">
          <w:rPr>
            <w:rStyle w:val="Hyperlink"/>
            <w:rFonts w:cs="Calibri"/>
            <w:sz w:val="22"/>
            <w:szCs w:val="22"/>
          </w:rPr>
          <w:t>https://www.ethnicity-facts-figures.service.gov.uk/uk-population-by-ethnicity/national-and-regional-populations/population-of-england-and-wales/latest/#by-ethnicity-5-groups</w:t>
        </w:r>
      </w:hyperlink>
      <w:r w:rsidRPr="009E1F40">
        <w:rPr>
          <w:rFonts w:cs="Calibri"/>
          <w:sz w:val="22"/>
          <w:szCs w:val="22"/>
        </w:rPr>
        <w:t>.</w:t>
      </w:r>
    </w:p>
    <w:p w14:paraId="3B83F9F0"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‘Population of England and Wales’, </w:t>
      </w:r>
      <w:hyperlink r:id="rId202" w:history="1">
        <w:r w:rsidRPr="009E1F40">
          <w:rPr>
            <w:rStyle w:val="Hyperlink"/>
            <w:rFonts w:cs="Calibri"/>
            <w:sz w:val="22"/>
            <w:szCs w:val="22"/>
          </w:rPr>
          <w:t>https://www.ethnicity-facts-figures.service.gov.uk/uk-population-by-ethnicity/national-and-regional-populations/population-of-england-and-wales/latest/</w:t>
        </w:r>
      </w:hyperlink>
      <w:r w:rsidRPr="009E1F40">
        <w:rPr>
          <w:rFonts w:cs="Calibri"/>
          <w:sz w:val="22"/>
          <w:szCs w:val="22"/>
        </w:rPr>
        <w:t>.</w:t>
      </w:r>
    </w:p>
    <w:p w14:paraId="51184520"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‘Writing about Ethnicity’, </w:t>
      </w:r>
      <w:hyperlink r:id="rId203" w:anchor="bame-and-bme" w:history="1">
        <w:r w:rsidRPr="009E1F40">
          <w:rPr>
            <w:rStyle w:val="Hyperlink"/>
            <w:rFonts w:cs="Calibri"/>
            <w:sz w:val="22"/>
            <w:szCs w:val="22"/>
          </w:rPr>
          <w:t>https://www.ethnicity-facts-figures.service.gov.uk/style-guide/writing-about-ethnicity/#bame-and-bme</w:t>
        </w:r>
      </w:hyperlink>
      <w:r w:rsidRPr="009E1F40">
        <w:rPr>
          <w:rFonts w:cs="Calibri"/>
          <w:sz w:val="22"/>
          <w:szCs w:val="22"/>
        </w:rPr>
        <w:t>.</w:t>
      </w:r>
    </w:p>
    <w:p w14:paraId="2B20CDC5"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UK Parliament, Aliens Bill, remarks by Arthur James Balfour, 10 July 1905, </w:t>
      </w:r>
      <w:r w:rsidRPr="009E1F40">
        <w:rPr>
          <w:rFonts w:cs="Calibri"/>
          <w:i/>
          <w:iCs/>
          <w:sz w:val="22"/>
          <w:szCs w:val="22"/>
        </w:rPr>
        <w:t>Hansards</w:t>
      </w:r>
      <w:r w:rsidRPr="009E1F40">
        <w:rPr>
          <w:rFonts w:cs="Calibri"/>
          <w:sz w:val="22"/>
          <w:szCs w:val="22"/>
        </w:rPr>
        <w:t xml:space="preserve">, </w:t>
      </w:r>
      <w:r w:rsidRPr="009E1F40">
        <w:rPr>
          <w:rFonts w:cs="Calibri"/>
          <w:smallCaps/>
          <w:sz w:val="22"/>
          <w:szCs w:val="22"/>
        </w:rPr>
        <w:t>CXLIX</w:t>
      </w:r>
      <w:r w:rsidRPr="009E1F40">
        <w:rPr>
          <w:rFonts w:cs="Calibri"/>
          <w:sz w:val="22"/>
          <w:szCs w:val="22"/>
        </w:rPr>
        <w:t xml:space="preserve">, cc. 110–62. </w:t>
      </w:r>
    </w:p>
    <w:p w14:paraId="2482BCAF" w14:textId="77777777" w:rsidR="00F91E9E" w:rsidRPr="009E1F40" w:rsidRDefault="00F91E9E" w:rsidP="0033549F">
      <w:pPr>
        <w:spacing w:line="259" w:lineRule="auto"/>
        <w:ind w:left="720" w:hanging="720"/>
        <w:rPr>
          <w:rFonts w:ascii="Calibri" w:hAnsi="Calibri" w:cs="Calibri"/>
          <w:sz w:val="22"/>
          <w:szCs w:val="22"/>
        </w:rPr>
      </w:pPr>
      <w:r>
        <w:rPr>
          <w:rFonts w:cs="Calibri"/>
          <w:sz w:val="22"/>
          <w:szCs w:val="22"/>
        </w:rPr>
        <w:t>________</w:t>
      </w:r>
      <w:r w:rsidRPr="009E1F40">
        <w:rPr>
          <w:rFonts w:ascii="Calibri" w:hAnsi="Calibri" w:cs="Calibri"/>
          <w:sz w:val="22"/>
          <w:szCs w:val="22"/>
        </w:rPr>
        <w:t xml:space="preserve">, South Africa Bill of Lords, remarks by Arthur James Balfour, 16 August 1909, House of Commons, </w:t>
      </w:r>
      <w:r w:rsidRPr="009E1F40">
        <w:rPr>
          <w:rFonts w:ascii="Calibri" w:hAnsi="Calibri" w:cs="Calibri"/>
          <w:i/>
          <w:sz w:val="22"/>
          <w:szCs w:val="22"/>
        </w:rPr>
        <w:t>Hansards</w:t>
      </w:r>
      <w:r w:rsidRPr="009E1F40">
        <w:rPr>
          <w:rFonts w:ascii="Calibri" w:hAnsi="Calibri" w:cs="Calibri"/>
          <w:sz w:val="22"/>
          <w:szCs w:val="22"/>
        </w:rPr>
        <w:t xml:space="preserve">, </w:t>
      </w:r>
      <w:r w:rsidRPr="009E1F40">
        <w:rPr>
          <w:rFonts w:ascii="Calibri" w:hAnsi="Calibri" w:cs="Calibri"/>
          <w:smallCaps/>
          <w:sz w:val="22"/>
          <w:szCs w:val="22"/>
        </w:rPr>
        <w:t>ix</w:t>
      </w:r>
      <w:r w:rsidRPr="009E1F40">
        <w:rPr>
          <w:rFonts w:ascii="Calibri" w:hAnsi="Calibri" w:cs="Calibri"/>
          <w:sz w:val="22"/>
          <w:szCs w:val="22"/>
        </w:rPr>
        <w:t xml:space="preserve">. </w:t>
      </w:r>
    </w:p>
    <w:p w14:paraId="468D4F4E" w14:textId="49E4C71A"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United Nations Human Rights Office of the High Commissioner (OHCHR), ‘Basic Principles and Guidelines on the Right to a Remedy and Reparation for Victims of Gross Violations of International Human Rights Law and Serious Violations of International Humanitarian Law’, 15 December 2005, </w:t>
      </w:r>
      <w:hyperlink r:id="rId204">
        <w:r w:rsidRPr="0CB5FF8F">
          <w:rPr>
            <w:rStyle w:val="Hyperlink"/>
            <w:rFonts w:cs="Calibri"/>
            <w:sz w:val="22"/>
            <w:szCs w:val="22"/>
          </w:rPr>
          <w:t>https://www.ohchr.org/en/instruments-mechanisms/instruments/basic-principles-and-guidelines-right-remedy-and-reparation</w:t>
        </w:r>
      </w:hyperlink>
      <w:r w:rsidRPr="009E1F40">
        <w:rPr>
          <w:rFonts w:cs="Calibri"/>
          <w:sz w:val="22"/>
          <w:szCs w:val="22"/>
        </w:rPr>
        <w:t xml:space="preserve">. </w:t>
      </w:r>
    </w:p>
    <w:p w14:paraId="362832FC"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United Nations, ‘International Decade for People of African Descent (2015–2024)’, </w:t>
      </w:r>
      <w:hyperlink r:id="rId205" w:history="1">
        <w:r w:rsidRPr="009E1F40">
          <w:rPr>
            <w:rStyle w:val="Hyperlink"/>
            <w:rFonts w:cs="Calibri"/>
            <w:color w:val="auto"/>
            <w:sz w:val="22"/>
            <w:szCs w:val="22"/>
          </w:rPr>
          <w:t>https://www.un.org/en/observances/decade-people-african-descent</w:t>
        </w:r>
      </w:hyperlink>
      <w:r w:rsidRPr="009E1F40">
        <w:rPr>
          <w:rFonts w:cs="Calibri"/>
          <w:sz w:val="22"/>
          <w:szCs w:val="22"/>
        </w:rPr>
        <w:t xml:space="preserve">. </w:t>
      </w:r>
    </w:p>
    <w:p w14:paraId="3F38CA9C" w14:textId="77777777" w:rsidR="00F91E9E" w:rsidRPr="009E1F40" w:rsidRDefault="00F91E9E" w:rsidP="00057638">
      <w:pPr>
        <w:pStyle w:val="FootnoteText"/>
        <w:spacing w:line="259" w:lineRule="auto"/>
        <w:ind w:left="720" w:hanging="720"/>
        <w:jc w:val="left"/>
        <w:rPr>
          <w:rFonts w:eastAsia="Calibri" w:cs="Calibri"/>
          <w:sz w:val="22"/>
          <w:szCs w:val="22"/>
        </w:rPr>
      </w:pPr>
      <w:r>
        <w:rPr>
          <w:rFonts w:cs="Calibri"/>
          <w:sz w:val="22"/>
          <w:szCs w:val="22"/>
        </w:rPr>
        <w:lastRenderedPageBreak/>
        <w:t>________</w:t>
      </w:r>
      <w:r w:rsidRPr="009E1F40">
        <w:rPr>
          <w:rFonts w:eastAsia="Calibri" w:cs="Calibri"/>
          <w:sz w:val="22"/>
          <w:szCs w:val="22"/>
        </w:rPr>
        <w:t xml:space="preserve">, ‘The Question of Palestine: The International Status of the Palestinian People’ (1981), </w:t>
      </w:r>
      <w:hyperlink r:id="rId206">
        <w:r w:rsidRPr="009E1F40">
          <w:rPr>
            <w:rStyle w:val="Hyperlink"/>
            <w:rFonts w:eastAsia="Calibri" w:cs="Calibri"/>
            <w:sz w:val="22"/>
            <w:szCs w:val="22"/>
          </w:rPr>
          <w:t>https://www.un.org/unispal/document/auto-insert-204352/</w:t>
        </w:r>
      </w:hyperlink>
      <w:r w:rsidRPr="009E1F40">
        <w:rPr>
          <w:rFonts w:eastAsia="Calibri" w:cs="Calibri"/>
          <w:sz w:val="22"/>
          <w:szCs w:val="22"/>
        </w:rPr>
        <w:t xml:space="preserve">. </w:t>
      </w:r>
    </w:p>
    <w:p w14:paraId="00C18D14"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shd w:val="clear" w:color="auto" w:fill="FFFFFF"/>
        </w:rPr>
        <w:t xml:space="preserve">Universities UK, </w:t>
      </w:r>
      <w:r w:rsidRPr="009E1F40">
        <w:rPr>
          <w:rFonts w:cs="Calibri"/>
          <w:i/>
          <w:iCs/>
          <w:sz w:val="22"/>
          <w:szCs w:val="22"/>
          <w:shd w:val="clear" w:color="auto" w:fill="FFFFFF"/>
        </w:rPr>
        <w:t>Tackling Racial Harassment in Higher Education</w:t>
      </w:r>
      <w:r w:rsidRPr="009E1F40">
        <w:rPr>
          <w:rFonts w:cs="Calibri"/>
          <w:sz w:val="22"/>
          <w:szCs w:val="22"/>
          <w:shd w:val="clear" w:color="auto" w:fill="FFFFFF"/>
        </w:rPr>
        <w:t>, 1 October 2024, https://www.universitiesuk.ac.uk/what-we-do/policy-and-research/publications/tackling-racial-harassment-higher.</w:t>
      </w:r>
    </w:p>
    <w:p w14:paraId="1C4DF9E8"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University Buildings Extension Contribution List, 1873–1881 and University Buildings Extension Contribution List, 1883–1887, EUA IN1/COM/B2/4/1-2, Records of the University Buildings Extension Scheme, University of Edinburgh Library Archives.</w:t>
      </w:r>
    </w:p>
    <w:p w14:paraId="7678F140"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University Court Finance Committee Agenda Book. Minutes of meeting on 9 July 1891.</w:t>
      </w:r>
    </w:p>
    <w:p w14:paraId="18CC23E5"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University of Aberdeen, ‘The University of Aberdeen and the Legacies of Slavery’ (2023), </w:t>
      </w:r>
      <w:hyperlink r:id="rId207" w:history="1">
        <w:r w:rsidRPr="009E1F40">
          <w:rPr>
            <w:rStyle w:val="Hyperlink"/>
            <w:rFonts w:cs="Calibri"/>
            <w:sz w:val="22"/>
            <w:szCs w:val="22"/>
          </w:rPr>
          <w:t>https://www.abdn.ac.uk/about/strategy-and-governance/legacies-of-slavery/</w:t>
        </w:r>
      </w:hyperlink>
    </w:p>
    <w:p w14:paraId="6A89B8D1"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University of Durham, ‘Exploring the University’s Past to Inform our Present’, </w:t>
      </w:r>
      <w:hyperlink r:id="rId208" w:history="1">
        <w:r w:rsidRPr="009E1F40">
          <w:rPr>
            <w:rStyle w:val="Hyperlink"/>
            <w:rFonts w:cs="Calibri"/>
            <w:sz w:val="22"/>
            <w:szCs w:val="22"/>
          </w:rPr>
          <w:t>https://www.durham.ac.uk/about-us/professional-services/equality-diversity-inclusion/strategy/race-equality/library-and-collections-/</w:t>
        </w:r>
      </w:hyperlink>
      <w:r w:rsidRPr="009E1F40">
        <w:rPr>
          <w:rFonts w:cs="Calibri"/>
          <w:sz w:val="22"/>
          <w:szCs w:val="22"/>
        </w:rPr>
        <w:t>.</w:t>
      </w:r>
    </w:p>
    <w:p w14:paraId="408425B5"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eastAsia="Calibri" w:cs="Calibri"/>
          <w:sz w:val="22"/>
          <w:szCs w:val="22"/>
        </w:rPr>
        <w:t xml:space="preserve">University of Edinburgh (Fellowships, Scholarships and Bursaries) Scheme (1971), No. 1849, UK Statutory Instruments, </w:t>
      </w:r>
      <w:hyperlink r:id="rId209" w:history="1">
        <w:r w:rsidRPr="009E1F40">
          <w:rPr>
            <w:rStyle w:val="Hyperlink"/>
            <w:rFonts w:eastAsia="Calibri" w:cs="Calibri"/>
            <w:sz w:val="22"/>
            <w:szCs w:val="22"/>
          </w:rPr>
          <w:t>https://www.legislation.gov.uk/uksi/1971/1849/contents/made</w:t>
        </w:r>
      </w:hyperlink>
      <w:r w:rsidRPr="009E1F40">
        <w:rPr>
          <w:rFonts w:eastAsia="Calibri" w:cs="Calibri"/>
          <w:sz w:val="22"/>
          <w:szCs w:val="22"/>
        </w:rPr>
        <w:t>.</w:t>
      </w:r>
    </w:p>
    <w:p w14:paraId="28A76D4B"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University of Edinburgh Corporate Services Group, ‘University Initiatives Portfolio Board’, </w:t>
      </w:r>
      <w:hyperlink r:id="rId210" w:history="1">
        <w:r w:rsidRPr="009E1F40">
          <w:rPr>
            <w:rStyle w:val="Hyperlink"/>
            <w:rFonts w:cs="Calibri"/>
            <w:sz w:val="22"/>
            <w:szCs w:val="22"/>
          </w:rPr>
          <w:t>https://corporate-services.ed.ac.uk/our-departments/strategic-change-service/university-initiatives-portfolio-board</w:t>
        </w:r>
      </w:hyperlink>
      <w:r w:rsidRPr="009E1F40">
        <w:rPr>
          <w:rFonts w:cs="Calibri"/>
          <w:sz w:val="22"/>
          <w:szCs w:val="22"/>
        </w:rPr>
        <w:t>.</w:t>
      </w:r>
    </w:p>
    <w:p w14:paraId="3A18963C"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University of Edinburgh Court Minutes, 5 November 1990. </w:t>
      </w:r>
    </w:p>
    <w:p w14:paraId="5C485A48"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University of Edinburgh Dialectic Society Minute book, Vol 2, 12 May and 29 May 1792, EUA-A-150, Records of Members, Records of University of Edinburgh Dialectic Society, EUL.</w:t>
      </w:r>
    </w:p>
    <w:p w14:paraId="5EBC57DE" w14:textId="26AE17E6" w:rsidR="00F91E9E" w:rsidRPr="009E1F40" w:rsidRDefault="00F91E9E" w:rsidP="00057638">
      <w:pPr>
        <w:pStyle w:val="FootnoteText"/>
        <w:spacing w:line="259" w:lineRule="auto"/>
        <w:ind w:left="720" w:hanging="720"/>
        <w:jc w:val="left"/>
        <w:rPr>
          <w:rFonts w:cs="Calibri"/>
          <w:sz w:val="22"/>
          <w:szCs w:val="22"/>
        </w:rPr>
      </w:pPr>
      <w:r w:rsidRPr="0CB5FF8F">
        <w:rPr>
          <w:rFonts w:cs="Calibri"/>
          <w:sz w:val="22"/>
          <w:szCs w:val="22"/>
        </w:rPr>
        <w:t xml:space="preserve">University of Edinburgh, ‘Minority communities to play key role in University Race Review’, 21 April 2023, </w:t>
      </w:r>
      <w:hyperlink r:id="rId211">
        <w:r w:rsidRPr="0CB5FF8F">
          <w:rPr>
            <w:rStyle w:val="Hyperlink"/>
            <w:rFonts w:cs="Calibri"/>
            <w:sz w:val="22"/>
            <w:szCs w:val="22"/>
          </w:rPr>
          <w:t>https://www.ed.ac.uk/news/2023/minority-communities-to-play-key-role-in-universit</w:t>
        </w:r>
      </w:hyperlink>
      <w:r w:rsidRPr="0CB5FF8F">
        <w:rPr>
          <w:rFonts w:cs="Calibri"/>
          <w:sz w:val="22"/>
          <w:szCs w:val="22"/>
        </w:rPr>
        <w:t>.</w:t>
      </w:r>
    </w:p>
    <w:p w14:paraId="7A83C612" w14:textId="24678B04" w:rsidR="00F91E9E" w:rsidRPr="009E1F40" w:rsidRDefault="00F91E9E" w:rsidP="00057638">
      <w:pPr>
        <w:pStyle w:val="FootnoteText"/>
        <w:spacing w:line="259" w:lineRule="auto"/>
        <w:ind w:left="720" w:hanging="720"/>
        <w:jc w:val="left"/>
        <w:rPr>
          <w:rFonts w:eastAsia="Calibri" w:cs="Calibri"/>
          <w:sz w:val="22"/>
          <w:szCs w:val="22"/>
        </w:rPr>
      </w:pPr>
      <w:r>
        <w:rPr>
          <w:rFonts w:cs="Calibri"/>
          <w:sz w:val="22"/>
          <w:szCs w:val="22"/>
        </w:rPr>
        <w:t>________</w:t>
      </w:r>
      <w:r w:rsidRPr="009E1F40">
        <w:rPr>
          <w:rFonts w:eastAsia="Calibri" w:cs="Calibri"/>
          <w:sz w:val="22"/>
          <w:szCs w:val="22"/>
        </w:rPr>
        <w:t xml:space="preserve">, ‘Senate Minutes’, 20 July 1926, in </w:t>
      </w:r>
      <w:r w:rsidRPr="009E1F40">
        <w:rPr>
          <w:rFonts w:eastAsia="Calibri" w:cs="Calibri"/>
          <w:i/>
          <w:iCs/>
          <w:sz w:val="22"/>
          <w:szCs w:val="22"/>
        </w:rPr>
        <w:t xml:space="preserve">Centre for Research Collections </w:t>
      </w:r>
      <w:r w:rsidRPr="009E1F40">
        <w:rPr>
          <w:rFonts w:eastAsia="Calibri" w:cs="Calibri"/>
          <w:sz w:val="22"/>
          <w:szCs w:val="22"/>
        </w:rPr>
        <w:t>(University of Edinburgh).</w:t>
      </w:r>
    </w:p>
    <w:p w14:paraId="2C52AC5B" w14:textId="0A556676" w:rsidR="00F91E9E" w:rsidRPr="009E1F40" w:rsidRDefault="00F91E9E" w:rsidP="00057638">
      <w:pPr>
        <w:pStyle w:val="FootnoteText"/>
        <w:spacing w:line="259" w:lineRule="auto"/>
        <w:ind w:left="720" w:hanging="720"/>
        <w:jc w:val="left"/>
        <w:rPr>
          <w:rFonts w:eastAsia="Calibri" w:cs="Calibri"/>
          <w:sz w:val="22"/>
          <w:szCs w:val="22"/>
        </w:rPr>
      </w:pPr>
      <w:r w:rsidRPr="009E1F40">
        <w:rPr>
          <w:rFonts w:eastAsia="Calibri" w:cs="Calibri"/>
          <w:sz w:val="22"/>
          <w:szCs w:val="22"/>
        </w:rPr>
        <w:t xml:space="preserve">University of Edinburgh, ‘Senate Minutes’, 6 May 1926, in </w:t>
      </w:r>
      <w:r w:rsidRPr="009E1F40">
        <w:rPr>
          <w:rFonts w:eastAsia="Calibri" w:cs="Calibri"/>
          <w:i/>
          <w:iCs/>
          <w:sz w:val="22"/>
          <w:szCs w:val="22"/>
        </w:rPr>
        <w:t xml:space="preserve">Centre for Research Collections </w:t>
      </w:r>
      <w:r w:rsidRPr="009E1F40">
        <w:rPr>
          <w:rFonts w:eastAsia="Calibri" w:cs="Calibri"/>
          <w:sz w:val="22"/>
          <w:szCs w:val="22"/>
        </w:rPr>
        <w:t xml:space="preserve">(University of Edinburgh). </w:t>
      </w:r>
    </w:p>
    <w:p w14:paraId="7AAAF6A6"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‘The Chancellor’, </w:t>
      </w:r>
      <w:hyperlink r:id="rId212" w:history="1">
        <w:r w:rsidRPr="009E1F40">
          <w:rPr>
            <w:rStyle w:val="Hyperlink"/>
            <w:rFonts w:cs="Calibri"/>
            <w:sz w:val="22"/>
            <w:szCs w:val="22"/>
          </w:rPr>
          <w:t>https://www.ed.ac.uk/about/people/officials/chancellor</w:t>
        </w:r>
      </w:hyperlink>
      <w:r w:rsidRPr="009E1F40">
        <w:rPr>
          <w:rFonts w:cs="Calibri"/>
          <w:sz w:val="22"/>
          <w:szCs w:val="22"/>
        </w:rPr>
        <w:t>.</w:t>
      </w:r>
    </w:p>
    <w:p w14:paraId="0BC5251C" w14:textId="5346D178" w:rsidR="00F91E9E" w:rsidRPr="009E1F40" w:rsidRDefault="00F91E9E" w:rsidP="00057638">
      <w:pPr>
        <w:pStyle w:val="FootnoteText"/>
        <w:spacing w:line="259" w:lineRule="auto"/>
        <w:ind w:left="720" w:hanging="720"/>
        <w:jc w:val="left"/>
        <w:rPr>
          <w:rFonts w:cs="Calibri"/>
          <w:sz w:val="22"/>
          <w:szCs w:val="22"/>
        </w:rPr>
      </w:pPr>
      <w:r w:rsidRPr="0CB5FF8F">
        <w:rPr>
          <w:rFonts w:cs="Calibri"/>
          <w:sz w:val="22"/>
          <w:szCs w:val="22"/>
        </w:rPr>
        <w:t xml:space="preserve">________, ‘Warrior Skulls Returned to their Ancestral Home’, 7 November 2023, </w:t>
      </w:r>
      <w:hyperlink r:id="rId213" w:anchor=":~:text=The%20first%20repatriation%20at%20the,colonial%20period%20in%20the%201880s">
        <w:r w:rsidRPr="0CB5FF8F">
          <w:rPr>
            <w:rStyle w:val="Hyperlink"/>
            <w:rFonts w:cs="Calibri"/>
            <w:sz w:val="22"/>
            <w:szCs w:val="22"/>
          </w:rPr>
          <w:t>https://www.ed.ac.uk/news/2023/mudan-skulls#:~:text=The%20first%20repatriation%20at%20the,colonial%20period%20in%20the%201880s</w:t>
        </w:r>
      </w:hyperlink>
      <w:r w:rsidRPr="0CB5FF8F">
        <w:rPr>
          <w:rFonts w:cs="Calibri"/>
          <w:sz w:val="22"/>
          <w:szCs w:val="22"/>
        </w:rPr>
        <w:t xml:space="preserve">. </w:t>
      </w:r>
    </w:p>
    <w:p w14:paraId="252D5EBE"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Strategy 2030, </w:t>
      </w:r>
      <w:hyperlink r:id="rId214" w:history="1">
        <w:r w:rsidRPr="009E1F40">
          <w:rPr>
            <w:rStyle w:val="Hyperlink"/>
            <w:rFonts w:cs="Calibri"/>
            <w:sz w:val="22"/>
            <w:szCs w:val="22"/>
          </w:rPr>
          <w:t>https://www.ed.ac.uk/files/atoms/files/strategy-2030.pdf</w:t>
        </w:r>
      </w:hyperlink>
      <w:r w:rsidRPr="009E1F40">
        <w:rPr>
          <w:rFonts w:eastAsia="Calibri" w:cs="Calibri"/>
          <w:color w:val="000000" w:themeColor="text1"/>
          <w:sz w:val="22"/>
          <w:szCs w:val="22"/>
        </w:rPr>
        <w:t>.</w:t>
      </w:r>
    </w:p>
    <w:p w14:paraId="58986202" w14:textId="48F4E429" w:rsidR="00F91E9E" w:rsidRPr="009E1F40" w:rsidRDefault="00F91E9E" w:rsidP="00057638">
      <w:pPr>
        <w:pStyle w:val="FootnoteText"/>
        <w:spacing w:line="259" w:lineRule="auto"/>
        <w:ind w:left="720" w:hanging="720"/>
        <w:jc w:val="left"/>
        <w:rPr>
          <w:rFonts w:cs="Calibri"/>
          <w:sz w:val="22"/>
          <w:szCs w:val="22"/>
        </w:rPr>
      </w:pPr>
      <w:r w:rsidRPr="0CB5FF8F">
        <w:rPr>
          <w:rFonts w:cs="Calibri"/>
          <w:sz w:val="22"/>
          <w:szCs w:val="22"/>
        </w:rPr>
        <w:t xml:space="preserve">University of Glasgow, ‘University of Glasgow Publishes Report Into Historical Slavery’, 16 September 2018, </w:t>
      </w:r>
      <w:hyperlink r:id="rId215">
        <w:r w:rsidRPr="0CB5FF8F">
          <w:rPr>
            <w:rStyle w:val="Hyperlink"/>
            <w:rFonts w:cs="Calibri"/>
            <w:color w:val="auto"/>
            <w:sz w:val="22"/>
            <w:szCs w:val="22"/>
          </w:rPr>
          <w:t>https://www.gla.ac.uk/news/archiveofnews/2018/september/headline_607154_en.html</w:t>
        </w:r>
      </w:hyperlink>
      <w:r w:rsidRPr="0CB5FF8F">
        <w:rPr>
          <w:rFonts w:cs="Calibri"/>
          <w:sz w:val="22"/>
          <w:szCs w:val="22"/>
        </w:rPr>
        <w:t xml:space="preserve">. </w:t>
      </w:r>
    </w:p>
    <w:p w14:paraId="68F4CF66"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University of Liverpool, ‘Centre for the Study of International Slavery’, </w:t>
      </w:r>
      <w:hyperlink r:id="rId216" w:history="1">
        <w:r w:rsidRPr="009E1F40">
          <w:rPr>
            <w:rStyle w:val="Hyperlink"/>
            <w:rFonts w:cs="Calibri"/>
            <w:color w:val="auto"/>
            <w:sz w:val="22"/>
            <w:szCs w:val="22"/>
          </w:rPr>
          <w:t>https://www.liverpool.ac.uk/csis/about-us/</w:t>
        </w:r>
      </w:hyperlink>
      <w:r w:rsidRPr="009E1F40">
        <w:rPr>
          <w:rFonts w:cs="Calibri"/>
          <w:sz w:val="22"/>
          <w:szCs w:val="22"/>
        </w:rPr>
        <w:t>.</w:t>
      </w:r>
    </w:p>
    <w:p w14:paraId="12C572BF"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University of London, ‘Centre for the Study of the Legacies of British Slavery’, </w:t>
      </w:r>
      <w:hyperlink r:id="rId217" w:history="1">
        <w:r w:rsidRPr="009E1F40">
          <w:rPr>
            <w:rStyle w:val="Hyperlink"/>
            <w:rFonts w:cs="Calibri"/>
            <w:color w:val="auto"/>
            <w:sz w:val="22"/>
            <w:szCs w:val="22"/>
          </w:rPr>
          <w:t>https://www.ucl.ac.uk/lbs/</w:t>
        </w:r>
      </w:hyperlink>
      <w:r w:rsidRPr="009E1F40">
        <w:rPr>
          <w:rFonts w:cs="Calibri"/>
          <w:sz w:val="22"/>
          <w:szCs w:val="22"/>
        </w:rPr>
        <w:t xml:space="preserve">. </w:t>
      </w:r>
    </w:p>
    <w:p w14:paraId="3BCFB213" w14:textId="2DD43D23" w:rsidR="00F91E9E" w:rsidRPr="009E1F40" w:rsidRDefault="00F91E9E" w:rsidP="00057638">
      <w:pPr>
        <w:pStyle w:val="FootnoteText"/>
        <w:spacing w:line="259" w:lineRule="auto"/>
        <w:ind w:left="720" w:hanging="720"/>
        <w:jc w:val="left"/>
        <w:rPr>
          <w:rFonts w:cs="Calibri"/>
          <w:sz w:val="22"/>
          <w:szCs w:val="22"/>
        </w:rPr>
      </w:pPr>
      <w:r w:rsidRPr="0CB5FF8F">
        <w:rPr>
          <w:rFonts w:cs="Calibri"/>
          <w:sz w:val="22"/>
          <w:szCs w:val="22"/>
        </w:rPr>
        <w:t xml:space="preserve">University of Nottingham, ‘Nottingham’s Universities and Historical Slavery’, November 2024, </w:t>
      </w:r>
      <w:hyperlink r:id="rId218">
        <w:r w:rsidRPr="0CB5FF8F">
          <w:rPr>
            <w:rStyle w:val="Hyperlink"/>
            <w:rFonts w:cs="Calibri"/>
            <w:sz w:val="22"/>
            <w:szCs w:val="22"/>
          </w:rPr>
          <w:t>https://www.nottingham.ac.uk/edi/documents/nottinghams-universities-and-historical-slavery-report.pdf</w:t>
        </w:r>
      </w:hyperlink>
      <w:r w:rsidRPr="0CB5FF8F">
        <w:rPr>
          <w:rFonts w:cs="Calibri"/>
          <w:sz w:val="22"/>
          <w:szCs w:val="22"/>
        </w:rPr>
        <w:t>.</w:t>
      </w:r>
    </w:p>
    <w:p w14:paraId="29EF4E95" w14:textId="1DFD5881" w:rsidR="00F91E9E" w:rsidRPr="009E1F40" w:rsidRDefault="00F91E9E" w:rsidP="00057638">
      <w:pPr>
        <w:pStyle w:val="FootnoteText"/>
        <w:spacing w:line="259" w:lineRule="auto"/>
        <w:ind w:left="720" w:hanging="720"/>
        <w:jc w:val="left"/>
        <w:rPr>
          <w:rFonts w:cs="Calibri"/>
          <w:sz w:val="22"/>
          <w:szCs w:val="22"/>
        </w:rPr>
      </w:pPr>
      <w:r w:rsidRPr="0CB5FF8F">
        <w:rPr>
          <w:rFonts w:cs="Calibri"/>
          <w:sz w:val="22"/>
          <w:szCs w:val="22"/>
        </w:rPr>
        <w:t xml:space="preserve">University of Strathclyde, ‘Report Sheds Light on Historical Links to Transatlantic Slavery of University of Strathclyde’s Forerunners’, 9 October 2023, </w:t>
      </w:r>
      <w:hyperlink r:id="rId219" w:anchor=":~:text=The%20University%20of%20Strathclyde%20has,from%20money%20derived%20from%20slavery">
        <w:r w:rsidRPr="0CB5FF8F">
          <w:rPr>
            <w:rStyle w:val="Hyperlink"/>
            <w:rFonts w:cs="Calibri"/>
            <w:color w:val="auto"/>
            <w:sz w:val="22"/>
            <w:szCs w:val="22"/>
          </w:rPr>
          <w:t>https://www.strath.ac.uk/whystrathclyde/news/2023/reportshedslightonhistoricallinkstotra</w:t>
        </w:r>
        <w:r w:rsidRPr="0CB5FF8F">
          <w:rPr>
            <w:rStyle w:val="Hyperlink"/>
            <w:rFonts w:cs="Calibri"/>
            <w:color w:val="auto"/>
            <w:sz w:val="22"/>
            <w:szCs w:val="22"/>
          </w:rPr>
          <w:lastRenderedPageBreak/>
          <w:t>nsatlanticslavery/#:~:text=The%20University%20of%20Strathclyde%20has,from%20money%20derived%20from%20slavery</w:t>
        </w:r>
      </w:hyperlink>
      <w:r w:rsidRPr="0CB5FF8F">
        <w:rPr>
          <w:rFonts w:cs="Calibri"/>
          <w:sz w:val="22"/>
          <w:szCs w:val="22"/>
        </w:rPr>
        <w:t xml:space="preserve">. </w:t>
      </w:r>
    </w:p>
    <w:p w14:paraId="5CA66F23" w14:textId="36DF4079"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‘University of Strathclyde and Historical Links to Slavery’, October 2023, </w:t>
      </w:r>
      <w:hyperlink r:id="rId220">
        <w:r w:rsidRPr="0CB5FF8F">
          <w:rPr>
            <w:rStyle w:val="Hyperlink"/>
            <w:rFonts w:cs="Calibri"/>
            <w:sz w:val="22"/>
            <w:szCs w:val="22"/>
          </w:rPr>
          <w:t>https://www.strath.ac.uk/media/1newwebsite/documents/Historical_Links_to_Slavery_Report-FINAL.pdf</w:t>
        </w:r>
      </w:hyperlink>
      <w:r w:rsidRPr="009E1F40">
        <w:rPr>
          <w:rFonts w:cs="Calibri"/>
          <w:sz w:val="22"/>
          <w:szCs w:val="22"/>
        </w:rPr>
        <w:t xml:space="preserve">; Fyfe, Aileen, ‘Chancellors and the Legacies of Empire at St Andrews, 1700–1900’, University of St. </w:t>
      </w:r>
      <w:r w:rsidRPr="0CB5FF8F">
        <w:rPr>
          <w:rFonts w:cs="Calibri"/>
          <w:sz w:val="22"/>
          <w:szCs w:val="22"/>
        </w:rPr>
        <w:t xml:space="preserve">Andrews, March 2023, </w:t>
      </w:r>
      <w:hyperlink r:id="rId221">
        <w:r w:rsidRPr="0CB5FF8F">
          <w:rPr>
            <w:rStyle w:val="Hyperlink"/>
            <w:rFonts w:cs="Calibri"/>
            <w:sz w:val="22"/>
            <w:szCs w:val="22"/>
          </w:rPr>
          <w:t>https://research-portal.st-andrews.ac.uk/en/publications/chancellors-and-the-legacies-of-empire-at-st-andrews-1700-1900</w:t>
        </w:r>
      </w:hyperlink>
      <w:r w:rsidRPr="0CB5FF8F">
        <w:rPr>
          <w:rFonts w:cs="Calibri"/>
          <w:sz w:val="22"/>
          <w:szCs w:val="22"/>
        </w:rPr>
        <w:t>.</w:t>
      </w:r>
    </w:p>
    <w:p w14:paraId="780276B7"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University of Virginia, ‘President’s Commission on Slavery and the University’, </w:t>
      </w:r>
      <w:hyperlink r:id="rId222" w:history="1">
        <w:r w:rsidRPr="009E1F40">
          <w:rPr>
            <w:rStyle w:val="Hyperlink"/>
            <w:rFonts w:cs="Calibri"/>
            <w:color w:val="auto"/>
            <w:sz w:val="22"/>
            <w:szCs w:val="22"/>
          </w:rPr>
          <w:t>https://slavery.virginia.edu/universities-studying-slavery/</w:t>
        </w:r>
      </w:hyperlink>
      <w:r w:rsidRPr="009E1F40">
        <w:rPr>
          <w:rFonts w:cs="Calibri"/>
          <w:sz w:val="22"/>
          <w:szCs w:val="22"/>
        </w:rPr>
        <w:t xml:space="preserve">. </w:t>
      </w:r>
    </w:p>
    <w:p w14:paraId="119144FE"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University Steering Committee on Slavery and Justice, </w:t>
      </w:r>
      <w:r w:rsidRPr="009E1F40">
        <w:rPr>
          <w:rFonts w:cs="Calibri"/>
          <w:i/>
          <w:iCs/>
          <w:sz w:val="22"/>
          <w:szCs w:val="22"/>
        </w:rPr>
        <w:t>Slavery and Justice: Report of the Brown University Steering Committee on Slavery and Justice</w:t>
      </w:r>
      <w:r w:rsidRPr="009E1F40">
        <w:rPr>
          <w:rFonts w:cs="Calibri"/>
          <w:sz w:val="22"/>
          <w:szCs w:val="22"/>
        </w:rPr>
        <w:t xml:space="preserve"> (Providence: Brown University, 2006).</w:t>
      </w:r>
    </w:p>
    <w:p w14:paraId="0D107727"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shd w:val="clear" w:color="auto" w:fill="FFFFFF"/>
        </w:rPr>
        <w:t xml:space="preserve">Van Assche, </w:t>
      </w:r>
      <w:r w:rsidRPr="009E1F40">
        <w:rPr>
          <w:rFonts w:cs="Calibri"/>
          <w:sz w:val="22"/>
          <w:szCs w:val="22"/>
        </w:rPr>
        <w:t xml:space="preserve">Jasper, </w:t>
      </w:r>
      <w:r w:rsidRPr="009E1F40">
        <w:rPr>
          <w:rFonts w:cs="Calibri"/>
          <w:sz w:val="22"/>
          <w:szCs w:val="22"/>
          <w:shd w:val="clear" w:color="auto" w:fill="FFFFFF"/>
        </w:rPr>
        <w:t xml:space="preserve">Hermann Swart, Katherina Schmid et al., ‘Intergroup Contact is Reliably Associated with Reduced Prejudice, even in the Face of Group Threat and Discrimination’, </w:t>
      </w:r>
      <w:r w:rsidRPr="009E1F40">
        <w:rPr>
          <w:rStyle w:val="Emphasis"/>
          <w:rFonts w:cs="Calibri"/>
          <w:sz w:val="22"/>
          <w:szCs w:val="22"/>
          <w:shd w:val="clear" w:color="auto" w:fill="FFFFFF"/>
        </w:rPr>
        <w:t>American Psychologist</w:t>
      </w:r>
      <w:r w:rsidRPr="009E1F40">
        <w:rPr>
          <w:rStyle w:val="Emphasis"/>
          <w:rFonts w:cs="Calibri"/>
          <w:i w:val="0"/>
          <w:iCs w:val="0"/>
          <w:sz w:val="22"/>
          <w:szCs w:val="22"/>
          <w:shd w:val="clear" w:color="auto" w:fill="FFFFFF"/>
        </w:rPr>
        <w:t>,</w:t>
      </w:r>
      <w:r w:rsidRPr="009E1F40">
        <w:rPr>
          <w:rStyle w:val="Emphasis"/>
          <w:rFonts w:cs="Calibri"/>
          <w:sz w:val="22"/>
          <w:szCs w:val="22"/>
          <w:shd w:val="clear" w:color="auto" w:fill="FFFFFF"/>
        </w:rPr>
        <w:t xml:space="preserve"> </w:t>
      </w:r>
      <w:r w:rsidRPr="009E1F40">
        <w:rPr>
          <w:rStyle w:val="Emphasis"/>
          <w:rFonts w:cs="Calibri"/>
          <w:i w:val="0"/>
          <w:iCs w:val="0"/>
          <w:sz w:val="22"/>
          <w:szCs w:val="22"/>
          <w:shd w:val="clear" w:color="auto" w:fill="FFFFFF"/>
        </w:rPr>
        <w:t>78 (2023)</w:t>
      </w:r>
      <w:r w:rsidRPr="009E1F40">
        <w:rPr>
          <w:rFonts w:cs="Calibri"/>
          <w:sz w:val="22"/>
          <w:szCs w:val="22"/>
          <w:shd w:val="clear" w:color="auto" w:fill="FFFFFF"/>
        </w:rPr>
        <w:t>, 761–74.</w:t>
      </w:r>
    </w:p>
    <w:p w14:paraId="4BB7D375" w14:textId="484EDA70"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Van Beurden, Sarah, ‘LOOT: Colonial Collections and African Restitution Debates’, March 2022, https://origins.osu.edu/read/loot-colonial-collections-and-african-restitution-debates#page-content.</w:t>
      </w:r>
    </w:p>
    <w:p w14:paraId="6638037F"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Verity, Robert, </w:t>
      </w:r>
      <w:r w:rsidRPr="009E1F40">
        <w:rPr>
          <w:rFonts w:cs="Calibri"/>
          <w:i/>
          <w:iCs/>
          <w:sz w:val="22"/>
          <w:szCs w:val="22"/>
        </w:rPr>
        <w:t>Changes produced in the Nervous System by Civilization</w:t>
      </w:r>
      <w:r w:rsidRPr="009E1F40">
        <w:rPr>
          <w:rFonts w:cs="Calibri"/>
          <w:sz w:val="22"/>
          <w:szCs w:val="22"/>
        </w:rPr>
        <w:t>,</w:t>
      </w:r>
      <w:r w:rsidRPr="009E1F40">
        <w:rPr>
          <w:rFonts w:cs="Calibri"/>
          <w:i/>
          <w:iCs/>
          <w:sz w:val="22"/>
          <w:szCs w:val="22"/>
        </w:rPr>
        <w:t xml:space="preserve"> </w:t>
      </w:r>
      <w:r w:rsidRPr="009E1F40">
        <w:rPr>
          <w:rFonts w:cs="Calibri"/>
          <w:sz w:val="22"/>
          <w:szCs w:val="22"/>
        </w:rPr>
        <w:t>2nd ed. (London, 1839).</w:t>
      </w:r>
    </w:p>
    <w:p w14:paraId="0DEB10BB"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Walker to Lord Kames, 18 February 1773, in Alexander Fraser-Tytler, </w:t>
      </w:r>
      <w:r w:rsidRPr="009E1F40">
        <w:rPr>
          <w:rFonts w:cs="Calibri"/>
          <w:i/>
          <w:iCs/>
          <w:sz w:val="22"/>
          <w:szCs w:val="22"/>
        </w:rPr>
        <w:t>Memoirs of the Life and Writings of the Honourable Henry Home of Kames</w:t>
      </w:r>
      <w:r w:rsidRPr="009E1F40">
        <w:rPr>
          <w:rFonts w:cs="Calibri"/>
          <w:sz w:val="22"/>
          <w:szCs w:val="22"/>
        </w:rPr>
        <w:t xml:space="preserve"> (Edinburgh, 1807).</w:t>
      </w:r>
    </w:p>
    <w:p w14:paraId="0DED9780" w14:textId="1CD7BEC1"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Walker, John, ‘Mixture of the Different Races of Mankind’, EUL, Dc.2.39, f. 155r. </w:t>
      </w:r>
    </w:p>
    <w:p w14:paraId="6ED9BA80" w14:textId="4017189F"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‘Natural history of the inhabitants of the Highlands’, Walker Papers, Dc.1.18 EUL.</w:t>
      </w:r>
    </w:p>
    <w:p w14:paraId="31D4B8C3" w14:textId="77777777" w:rsidR="00F91E9E" w:rsidRPr="009E1F40" w:rsidRDefault="00F91E9E" w:rsidP="00057638">
      <w:pPr>
        <w:pStyle w:val="FootnoteText"/>
        <w:spacing w:line="259" w:lineRule="auto"/>
        <w:ind w:left="720" w:hanging="720"/>
        <w:jc w:val="left"/>
        <w:rPr>
          <w:rFonts w:cs="Calibri"/>
          <w:sz w:val="22"/>
          <w:szCs w:val="22"/>
        </w:rPr>
      </w:pPr>
      <w:r>
        <w:rPr>
          <w:rFonts w:cs="Calibri"/>
          <w:sz w:val="22"/>
          <w:szCs w:val="22"/>
        </w:rPr>
        <w:t>________</w:t>
      </w:r>
      <w:r w:rsidRPr="009E1F40">
        <w:rPr>
          <w:rFonts w:cs="Calibri"/>
          <w:sz w:val="22"/>
          <w:szCs w:val="22"/>
        </w:rPr>
        <w:t xml:space="preserve">, </w:t>
      </w:r>
      <w:r w:rsidRPr="009E1F40">
        <w:rPr>
          <w:rFonts w:cs="Calibri"/>
          <w:i/>
          <w:iCs/>
          <w:sz w:val="22"/>
          <w:szCs w:val="22"/>
        </w:rPr>
        <w:t>Essays on Natural History and Rural Economy</w:t>
      </w:r>
      <w:r w:rsidRPr="009E1F40">
        <w:rPr>
          <w:rFonts w:cs="Calibri"/>
          <w:sz w:val="22"/>
          <w:szCs w:val="22"/>
        </w:rPr>
        <w:t xml:space="preserve"> (London and Edinburgh, 1812), pp. 93–110. </w:t>
      </w:r>
    </w:p>
    <w:p w14:paraId="48C0D8D9" w14:textId="30CF1D0C"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Weizmann, Chaim, </w:t>
      </w:r>
      <w:r w:rsidRPr="009E1F40">
        <w:rPr>
          <w:rFonts w:cs="Calibri"/>
          <w:i/>
          <w:iCs/>
          <w:sz w:val="22"/>
          <w:szCs w:val="22"/>
        </w:rPr>
        <w:t>Trial and Error</w:t>
      </w:r>
      <w:r w:rsidRPr="009E1F40">
        <w:rPr>
          <w:rFonts w:cs="Calibri"/>
          <w:sz w:val="22"/>
          <w:szCs w:val="22"/>
        </w:rPr>
        <w:t xml:space="preserve"> (Hamilton: London, 1949).</w:t>
      </w:r>
    </w:p>
    <w:p w14:paraId="294BC5AA" w14:textId="77777777" w:rsidR="00F91E9E" w:rsidRPr="009E1F40" w:rsidRDefault="00F91E9E" w:rsidP="00057638">
      <w:pPr>
        <w:pStyle w:val="NormalWeb"/>
        <w:spacing w:before="0" w:beforeAutospacing="0" w:after="0" w:afterAutospacing="0" w:line="259" w:lineRule="auto"/>
        <w:ind w:left="720" w:hanging="720"/>
        <w:rPr>
          <w:rFonts w:ascii="Calibri" w:eastAsiaTheme="minorEastAsia" w:hAnsi="Calibri" w:cs="Calibri"/>
          <w:sz w:val="22"/>
          <w:szCs w:val="22"/>
          <w:lang w:eastAsia="ja-JP"/>
        </w:rPr>
      </w:pPr>
      <w:r w:rsidRPr="009E1F40">
        <w:rPr>
          <w:rFonts w:ascii="Calibri" w:hAnsi="Calibri" w:cs="Calibri"/>
          <w:sz w:val="22"/>
          <w:szCs w:val="22"/>
        </w:rPr>
        <w:t xml:space="preserve">West Lothian Community Planning Partnership, ‘Engaging Communities Toolkit: A Practical Guide to Community Engagement’, </w:t>
      </w:r>
      <w:hyperlink r:id="rId223" w:history="1">
        <w:r w:rsidRPr="009E1F40">
          <w:rPr>
            <w:rStyle w:val="Hyperlink"/>
            <w:rFonts w:ascii="Calibri" w:eastAsiaTheme="minorEastAsia" w:hAnsi="Calibri" w:cs="Calibri"/>
            <w:sz w:val="22"/>
            <w:szCs w:val="22"/>
            <w:lang w:eastAsia="ja-JP"/>
          </w:rPr>
          <w:t>https://www.westlothian.gov.uk/media/8652/Engaging-Communities-Toolkit/pdf/Engaging_Communities_Toolkit.pdf?m=635694591719070000</w:t>
        </w:r>
      </w:hyperlink>
      <w:r w:rsidRPr="009E1F40">
        <w:rPr>
          <w:rFonts w:ascii="Calibri" w:eastAsiaTheme="minorEastAsia" w:hAnsi="Calibri" w:cs="Calibri"/>
          <w:sz w:val="22"/>
          <w:szCs w:val="22"/>
          <w:lang w:eastAsia="ja-JP"/>
        </w:rPr>
        <w:t xml:space="preserve">. </w:t>
      </w:r>
    </w:p>
    <w:p w14:paraId="5AEAD383" w14:textId="4BA12576" w:rsidR="00F91E9E" w:rsidRPr="009E1F40" w:rsidRDefault="00F91E9E" w:rsidP="00057638">
      <w:pPr>
        <w:pStyle w:val="FootnoteText"/>
        <w:spacing w:line="259" w:lineRule="auto"/>
        <w:ind w:left="720" w:hanging="720"/>
        <w:jc w:val="left"/>
        <w:rPr>
          <w:rFonts w:cs="Calibri"/>
          <w:sz w:val="22"/>
          <w:szCs w:val="22"/>
          <w:u w:val="single"/>
        </w:rPr>
      </w:pPr>
      <w:r w:rsidRPr="009E1F40">
        <w:rPr>
          <w:rFonts w:cs="Calibri"/>
          <w:sz w:val="22"/>
          <w:szCs w:val="22"/>
        </w:rPr>
        <w:t xml:space="preserve">Wickramasinghe, Nira, ‘The Return of Keppetipola’s Cranium: Authenticity in a New Nation’, </w:t>
      </w:r>
      <w:r w:rsidRPr="009E1F40">
        <w:rPr>
          <w:rFonts w:cs="Calibri"/>
          <w:i/>
          <w:iCs/>
          <w:color w:val="343332"/>
          <w:sz w:val="22"/>
          <w:szCs w:val="22"/>
        </w:rPr>
        <w:t>Economic and Political Weekly</w:t>
      </w:r>
      <w:r w:rsidRPr="009E1F40">
        <w:rPr>
          <w:rFonts w:cs="Calibri"/>
          <w:color w:val="343332"/>
          <w:sz w:val="22"/>
          <w:szCs w:val="22"/>
        </w:rPr>
        <w:t>, 32 (1997), 85–92.</w:t>
      </w:r>
    </w:p>
    <w:p w14:paraId="7DC130BD" w14:textId="01EBFC66"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Wilder, Craig,</w:t>
      </w:r>
      <w:r w:rsidRPr="009E1F40">
        <w:rPr>
          <w:rFonts w:cs="Calibri"/>
          <w:i/>
          <w:iCs/>
          <w:sz w:val="22"/>
          <w:szCs w:val="22"/>
        </w:rPr>
        <w:t xml:space="preserve"> Ebony and Ivy: Race, Slavery, and the Troubled History of America’s Universities</w:t>
      </w:r>
      <w:r w:rsidRPr="009E1F40">
        <w:rPr>
          <w:rFonts w:cs="Calibri"/>
          <w:sz w:val="22"/>
          <w:szCs w:val="22"/>
        </w:rPr>
        <w:t xml:space="preserve"> (London: Bloomsbury Press, 2013). </w:t>
      </w:r>
    </w:p>
    <w:p w14:paraId="7777AEEE"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shd w:val="clear" w:color="auto" w:fill="FFFFFF"/>
        </w:rPr>
        <w:t xml:space="preserve">Wong, </w:t>
      </w:r>
      <w:r w:rsidRPr="009E1F40">
        <w:rPr>
          <w:rFonts w:cs="Calibri"/>
          <w:sz w:val="22"/>
          <w:szCs w:val="22"/>
        </w:rPr>
        <w:t xml:space="preserve">Billy, </w:t>
      </w:r>
      <w:r w:rsidRPr="009E1F40">
        <w:rPr>
          <w:rFonts w:cs="Calibri"/>
          <w:sz w:val="22"/>
          <w:szCs w:val="22"/>
          <w:shd w:val="clear" w:color="auto" w:fill="FFFFFF"/>
        </w:rPr>
        <w:t xml:space="preserve">Reham Elmorally, Meggie Copsey-Blake et al., ‘Is Race Still Relevant? Student Perceptions and Experiences of Racism in Higher Education’, </w:t>
      </w:r>
      <w:r w:rsidRPr="009E1F40">
        <w:rPr>
          <w:rFonts w:cs="Calibri"/>
          <w:i/>
          <w:iCs/>
          <w:sz w:val="22"/>
          <w:szCs w:val="22"/>
          <w:shd w:val="clear" w:color="auto" w:fill="FFFFFF"/>
        </w:rPr>
        <w:t>Cambridge Journal of Education</w:t>
      </w:r>
      <w:r w:rsidRPr="009E1F40">
        <w:rPr>
          <w:rFonts w:cs="Calibri"/>
          <w:sz w:val="22"/>
          <w:szCs w:val="22"/>
          <w:shd w:val="clear" w:color="auto" w:fill="FFFFFF"/>
        </w:rPr>
        <w:t>, 51 (2021), 359–75.</w:t>
      </w:r>
    </w:p>
    <w:p w14:paraId="457ECC6F" w14:textId="38173536"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Wood, J. Luke, ‘Ethical Dilemmas in African American Faculty Representation’, </w:t>
      </w:r>
      <w:r w:rsidRPr="009E1F40">
        <w:rPr>
          <w:rFonts w:cs="Calibri"/>
          <w:i/>
          <w:iCs/>
          <w:sz w:val="22"/>
          <w:szCs w:val="22"/>
        </w:rPr>
        <w:t>JEP: eJournal of Education Policy</w:t>
      </w:r>
      <w:r w:rsidRPr="009E1F40">
        <w:rPr>
          <w:rFonts w:cs="Calibri"/>
          <w:sz w:val="22"/>
          <w:szCs w:val="22"/>
        </w:rPr>
        <w:t xml:space="preserve">, 2 (2008), pp. 1–9. </w:t>
      </w:r>
    </w:p>
    <w:p w14:paraId="2C758E6D" w14:textId="77777777" w:rsidR="00F91E9E" w:rsidRPr="009E1F40" w:rsidRDefault="00F91E9E" w:rsidP="00057638">
      <w:pPr>
        <w:pStyle w:val="paragraph"/>
        <w:spacing w:before="0" w:beforeAutospacing="0" w:after="0" w:afterAutospacing="0" w:line="259" w:lineRule="auto"/>
        <w:ind w:left="720" w:hanging="720"/>
        <w:textAlignment w:val="baseline"/>
        <w:rPr>
          <w:rFonts w:ascii="Calibri" w:hAnsi="Calibri" w:cs="Calibri"/>
          <w:sz w:val="22"/>
          <w:szCs w:val="22"/>
          <w:shd w:val="clear" w:color="auto" w:fill="FFFFFF"/>
        </w:rPr>
      </w:pPr>
      <w:r w:rsidRPr="009E1F40">
        <w:rPr>
          <w:rStyle w:val="normaltextrun"/>
          <w:rFonts w:ascii="Calibri" w:hAnsi="Calibri" w:cs="Calibri"/>
          <w:sz w:val="22"/>
          <w:szCs w:val="22"/>
          <w:shd w:val="clear" w:color="auto" w:fill="FFFFFF"/>
        </w:rPr>
        <w:t>Xie,</w:t>
      </w:r>
      <w:r w:rsidRPr="009E1F40">
        <w:rPr>
          <w:rFonts w:ascii="Calibri" w:hAnsi="Calibri" w:cs="Calibri"/>
          <w:sz w:val="22"/>
          <w:szCs w:val="22"/>
        </w:rPr>
        <w:t xml:space="preserve"> Yarong, </w:t>
      </w:r>
      <w:r w:rsidRPr="009E1F40">
        <w:rPr>
          <w:rStyle w:val="normaltextrun"/>
          <w:rFonts w:ascii="Calibri" w:hAnsi="Calibri" w:cs="Calibri"/>
          <w:sz w:val="22"/>
          <w:szCs w:val="22"/>
          <w:shd w:val="clear" w:color="auto" w:fill="FFFFFF"/>
        </w:rPr>
        <w:t>‘Talking about the Experiences of Racism: A Study of Reporting Racism in Broadcast Interviews’, </w:t>
      </w:r>
      <w:r w:rsidRPr="009E1F40">
        <w:rPr>
          <w:rStyle w:val="normaltextrun"/>
          <w:rFonts w:ascii="Calibri" w:hAnsi="Calibri" w:cs="Calibri"/>
          <w:i/>
          <w:iCs/>
          <w:sz w:val="22"/>
          <w:szCs w:val="22"/>
          <w:shd w:val="clear" w:color="auto" w:fill="FFFFFF"/>
        </w:rPr>
        <w:t>British Journal of Social Psychology</w:t>
      </w:r>
      <w:r w:rsidRPr="009E1F40">
        <w:rPr>
          <w:rStyle w:val="normaltextrun"/>
          <w:rFonts w:ascii="Calibri" w:hAnsi="Calibri" w:cs="Calibri"/>
          <w:sz w:val="22"/>
          <w:szCs w:val="22"/>
          <w:shd w:val="clear" w:color="auto" w:fill="FFFFFF"/>
        </w:rPr>
        <w:t>, 62 (2023), 1469–85</w:t>
      </w:r>
      <w:r w:rsidRPr="009E1F40">
        <w:rPr>
          <w:rFonts w:ascii="Calibri" w:hAnsi="Calibri" w:cs="Calibri"/>
          <w:sz w:val="22"/>
          <w:szCs w:val="22"/>
        </w:rPr>
        <w:t>.</w:t>
      </w:r>
    </w:p>
    <w:p w14:paraId="34E5A5BE" w14:textId="77777777" w:rsidR="00F91E9E" w:rsidRPr="009E1F40" w:rsidRDefault="00F91E9E" w:rsidP="00057638">
      <w:pPr>
        <w:pStyle w:val="FootnoteText"/>
        <w:spacing w:line="259" w:lineRule="auto"/>
        <w:ind w:left="720" w:hanging="720"/>
        <w:jc w:val="left"/>
        <w:rPr>
          <w:rFonts w:cs="Calibri"/>
          <w:sz w:val="22"/>
          <w:szCs w:val="22"/>
        </w:rPr>
      </w:pPr>
      <w:r w:rsidRPr="009E1F40">
        <w:rPr>
          <w:rFonts w:cs="Calibri"/>
          <w:sz w:val="22"/>
          <w:szCs w:val="22"/>
        </w:rPr>
        <w:t xml:space="preserve">Zebel, Sydney, </w:t>
      </w:r>
      <w:r w:rsidRPr="009E1F40">
        <w:rPr>
          <w:rFonts w:cs="Calibri"/>
          <w:i/>
          <w:iCs/>
          <w:sz w:val="22"/>
          <w:szCs w:val="22"/>
        </w:rPr>
        <w:t xml:space="preserve">Balfour. A Political Biography </w:t>
      </w:r>
      <w:r w:rsidRPr="009E1F40">
        <w:rPr>
          <w:rFonts w:cs="Calibri"/>
          <w:sz w:val="22"/>
          <w:szCs w:val="22"/>
        </w:rPr>
        <w:t>(Cambridge: Cambridge University Press, 1973).</w:t>
      </w:r>
    </w:p>
    <w:p w14:paraId="69144210" w14:textId="77777777" w:rsidR="00F91E9E" w:rsidRPr="009E1F40" w:rsidRDefault="00F91E9E" w:rsidP="00057638">
      <w:pPr>
        <w:pStyle w:val="FootnoteText"/>
        <w:spacing w:line="259" w:lineRule="auto"/>
        <w:ind w:left="720" w:hanging="720"/>
        <w:jc w:val="left"/>
        <w:rPr>
          <w:rFonts w:cs="Calibri"/>
          <w:sz w:val="22"/>
          <w:szCs w:val="22"/>
        </w:rPr>
      </w:pPr>
    </w:p>
    <w:p w14:paraId="7D1FF388" w14:textId="77777777" w:rsidR="00F91E9E" w:rsidRPr="0017357E" w:rsidRDefault="00F91E9E" w:rsidP="00057638">
      <w:pPr>
        <w:spacing w:line="259" w:lineRule="auto"/>
        <w:rPr>
          <w:rFonts w:ascii="Calibri" w:hAnsi="Calibri" w:cs="Calibri"/>
          <w:color w:val="000000" w:themeColor="text1"/>
        </w:rPr>
      </w:pPr>
    </w:p>
    <w:p w14:paraId="6D37B331" w14:textId="77777777" w:rsidR="00773F7C" w:rsidRPr="0017357E" w:rsidRDefault="00773F7C" w:rsidP="00057638">
      <w:pPr>
        <w:spacing w:line="259" w:lineRule="auto"/>
        <w:rPr>
          <w:rFonts w:ascii="Calibri" w:hAnsi="Calibri" w:cs="Calibri"/>
          <w:color w:val="000000" w:themeColor="text1"/>
        </w:rPr>
      </w:pPr>
    </w:p>
    <w:p w14:paraId="207EC70D" w14:textId="77777777" w:rsidR="00D72A0F" w:rsidRPr="0017357E" w:rsidRDefault="00D72A0F" w:rsidP="00057638">
      <w:pPr>
        <w:spacing w:line="259" w:lineRule="auto"/>
        <w:rPr>
          <w:rFonts w:ascii="Calibri" w:hAnsi="Calibri" w:cs="Calibri"/>
          <w:color w:val="000000" w:themeColor="text1"/>
        </w:rPr>
      </w:pPr>
    </w:p>
    <w:sectPr w:rsidR="00D72A0F" w:rsidRPr="0017357E" w:rsidSect="00E35550">
      <w:endnotePr>
        <w:numFmt w:val="decimal"/>
      </w:endnotePr>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4FA6F9" w14:textId="77777777" w:rsidR="00451B35" w:rsidRDefault="00451B35" w:rsidP="00872CAF">
      <w:r>
        <w:separator/>
      </w:r>
    </w:p>
  </w:endnote>
  <w:endnote w:type="continuationSeparator" w:id="0">
    <w:p w14:paraId="6F73C3F8" w14:textId="77777777" w:rsidR="00451B35" w:rsidRDefault="00451B35" w:rsidP="00872CAF">
      <w:r>
        <w:continuationSeparator/>
      </w:r>
    </w:p>
  </w:endnote>
  <w:endnote w:type="continuationNotice" w:id="1">
    <w:p w14:paraId="60244380" w14:textId="77777777" w:rsidR="00451B35" w:rsidRDefault="00451B3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SourceSansPro-Italic">
    <w:altName w:val="Calibri"/>
    <w:panose1 w:val="00000000000000000000"/>
    <w:charset w:val="00"/>
    <w:family w:val="swiss"/>
    <w:notTrueType/>
    <w:pitch w:val="default"/>
    <w:sig w:usb0="00000003" w:usb1="00000000" w:usb2="00000000" w:usb3="00000000" w:csb0="00000001" w:csb1="00000000"/>
  </w:font>
  <w:font w:name="SourceSansPro-SemiBold">
    <w:altName w:val="Calibri"/>
    <w:panose1 w:val="00000000000000000000"/>
    <w:charset w:val="00"/>
    <w:family w:val="auto"/>
    <w:notTrueType/>
    <w:pitch w:val="default"/>
    <w:sig w:usb0="00000003" w:usb1="00000000" w:usb2="00000000" w:usb3="00000000" w:csb0="00000001"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03319968"/>
      <w:docPartObj>
        <w:docPartGallery w:val="Page Numbers (Bottom of Page)"/>
        <w:docPartUnique/>
      </w:docPartObj>
    </w:sdtPr>
    <w:sdtEndPr>
      <w:rPr>
        <w:rStyle w:val="PageNumber"/>
      </w:rPr>
    </w:sdtEndPr>
    <w:sdtContent>
      <w:p w14:paraId="5C46B288" w14:textId="57CDD3F2" w:rsidR="00C0071F" w:rsidRDefault="00C0071F" w:rsidP="00FC368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5BF159" w14:textId="77777777" w:rsidR="00C0071F" w:rsidRDefault="00C007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72984133"/>
      <w:docPartObj>
        <w:docPartGallery w:val="Page Numbers (Bottom of Page)"/>
        <w:docPartUnique/>
      </w:docPartObj>
    </w:sdtPr>
    <w:sdtEndPr>
      <w:rPr>
        <w:rStyle w:val="PageNumber"/>
        <w:rFonts w:ascii="Calibri" w:hAnsi="Calibri" w:cs="Calibri"/>
      </w:rPr>
    </w:sdtEndPr>
    <w:sdtContent>
      <w:p w14:paraId="66AF8112" w14:textId="47BFDE31" w:rsidR="00C0071F" w:rsidRPr="0053241A" w:rsidRDefault="00C0071F" w:rsidP="00FC3686">
        <w:pPr>
          <w:pStyle w:val="Footer"/>
          <w:framePr w:wrap="none" w:vAnchor="text" w:hAnchor="margin" w:xAlign="center" w:y="1"/>
          <w:rPr>
            <w:rStyle w:val="PageNumber"/>
            <w:rFonts w:ascii="Calibri" w:hAnsi="Calibri" w:cs="Calibri"/>
          </w:rPr>
        </w:pPr>
        <w:r w:rsidRPr="0053241A">
          <w:rPr>
            <w:rStyle w:val="PageNumber"/>
            <w:rFonts w:ascii="Calibri" w:hAnsi="Calibri" w:cs="Calibri"/>
          </w:rPr>
          <w:fldChar w:fldCharType="begin"/>
        </w:r>
        <w:r w:rsidRPr="0053241A">
          <w:rPr>
            <w:rStyle w:val="PageNumber"/>
            <w:rFonts w:ascii="Calibri" w:hAnsi="Calibri" w:cs="Calibri"/>
          </w:rPr>
          <w:instrText xml:space="preserve"> PAGE </w:instrText>
        </w:r>
        <w:r w:rsidRPr="0053241A">
          <w:rPr>
            <w:rStyle w:val="PageNumber"/>
            <w:rFonts w:ascii="Calibri" w:hAnsi="Calibri" w:cs="Calibri"/>
          </w:rPr>
          <w:fldChar w:fldCharType="separate"/>
        </w:r>
        <w:r w:rsidRPr="0053241A">
          <w:rPr>
            <w:rStyle w:val="PageNumber"/>
            <w:rFonts w:ascii="Calibri" w:hAnsi="Calibri" w:cs="Calibri"/>
            <w:noProof/>
          </w:rPr>
          <w:t>3</w:t>
        </w:r>
        <w:r w:rsidRPr="0053241A">
          <w:rPr>
            <w:rStyle w:val="PageNumber"/>
            <w:rFonts w:ascii="Calibri" w:hAnsi="Calibri" w:cs="Calibri"/>
          </w:rPr>
          <w:fldChar w:fldCharType="end"/>
        </w:r>
      </w:p>
    </w:sdtContent>
  </w:sdt>
  <w:tbl>
    <w:tblPr>
      <w:tblW w:w="0" w:type="auto"/>
      <w:tblLayout w:type="fixed"/>
      <w:tblLook w:val="06A0" w:firstRow="1" w:lastRow="0" w:firstColumn="1" w:lastColumn="0" w:noHBand="1" w:noVBand="1"/>
    </w:tblPr>
    <w:tblGrid>
      <w:gridCol w:w="3005"/>
      <w:gridCol w:w="3005"/>
      <w:gridCol w:w="3005"/>
    </w:tblGrid>
    <w:tr w:rsidR="5FFA8E4C" w14:paraId="158EECD5" w14:textId="77777777" w:rsidTr="5FFA8E4C">
      <w:trPr>
        <w:trHeight w:val="300"/>
      </w:trPr>
      <w:tc>
        <w:tcPr>
          <w:tcW w:w="3005" w:type="dxa"/>
        </w:tcPr>
        <w:p w14:paraId="7034F83A" w14:textId="0008F75A" w:rsidR="5FFA8E4C" w:rsidRDefault="5FFA8E4C" w:rsidP="5FFA8E4C">
          <w:pPr>
            <w:pStyle w:val="Header"/>
            <w:ind w:left="-115"/>
          </w:pPr>
        </w:p>
      </w:tc>
      <w:tc>
        <w:tcPr>
          <w:tcW w:w="3005" w:type="dxa"/>
        </w:tcPr>
        <w:p w14:paraId="4B33DC71" w14:textId="2E78F953" w:rsidR="5FFA8E4C" w:rsidRDefault="5FFA8E4C" w:rsidP="5FFA8E4C">
          <w:pPr>
            <w:pStyle w:val="Header"/>
            <w:jc w:val="center"/>
          </w:pPr>
        </w:p>
      </w:tc>
      <w:tc>
        <w:tcPr>
          <w:tcW w:w="3005" w:type="dxa"/>
        </w:tcPr>
        <w:p w14:paraId="6672D3BF" w14:textId="5194E9F0" w:rsidR="5FFA8E4C" w:rsidRDefault="5FFA8E4C" w:rsidP="5FFA8E4C">
          <w:pPr>
            <w:pStyle w:val="Header"/>
            <w:ind w:right="-115"/>
            <w:jc w:val="right"/>
          </w:pPr>
        </w:p>
      </w:tc>
    </w:tr>
  </w:tbl>
  <w:p w14:paraId="13203F27" w14:textId="221689C0" w:rsidR="5FFA8E4C" w:rsidRDefault="5FFA8E4C" w:rsidP="5FFA8E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02D46" w14:textId="77777777" w:rsidR="00451B35" w:rsidRDefault="00451B35" w:rsidP="00872CAF">
      <w:r>
        <w:separator/>
      </w:r>
    </w:p>
  </w:footnote>
  <w:footnote w:type="continuationSeparator" w:id="0">
    <w:p w14:paraId="4BDE35A7" w14:textId="77777777" w:rsidR="00451B35" w:rsidRDefault="00451B35" w:rsidP="00872CAF">
      <w:r>
        <w:continuationSeparator/>
      </w:r>
    </w:p>
  </w:footnote>
  <w:footnote w:type="continuationNotice" w:id="1">
    <w:p w14:paraId="400ED1A9" w14:textId="77777777" w:rsidR="00451B35" w:rsidRDefault="00451B35"/>
  </w:footnote>
  <w:footnote w:id="2">
    <w:p w14:paraId="46A00A26" w14:textId="77777777" w:rsidR="00FB4415" w:rsidRPr="00B04460" w:rsidRDefault="00FB4415" w:rsidP="00FB4415">
      <w:pPr>
        <w:pStyle w:val="FootnoteText"/>
        <w:rPr>
          <w:rFonts w:asciiTheme="minorHAnsi" w:hAnsiTheme="minorHAnsi" w:cstheme="minorHAnsi"/>
        </w:rPr>
      </w:pPr>
      <w:r w:rsidRPr="00B04460">
        <w:rPr>
          <w:rStyle w:val="FootnoteReference"/>
          <w:rFonts w:asciiTheme="minorHAnsi" w:hAnsiTheme="minorHAnsi" w:cstheme="minorHAnsi"/>
        </w:rPr>
        <w:footnoteRef/>
      </w:r>
      <w:r w:rsidRPr="00B04460">
        <w:rPr>
          <w:rFonts w:asciiTheme="minorHAnsi" w:hAnsiTheme="minorHAnsi" w:cstheme="minorHAnsi"/>
        </w:rPr>
        <w:t xml:space="preserve"> Communities of reparatory justice interest refer to people who, because of their common social group, race, ethnicity, or nationality, have experienced different forms of racial injustice that are linked to the legacies of enslavement, colonialism and the development of racial thought.  </w:t>
      </w:r>
    </w:p>
  </w:footnote>
  <w:footnote w:id="3">
    <w:p w14:paraId="339A5E1A" w14:textId="4B068DEA"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Peter Mathieson, ‘Statement from the Principal’, 20 January 2021, </w:t>
      </w:r>
      <w:hyperlink r:id="rId1" w:history="1">
        <w:r w:rsidRPr="00097BBC">
          <w:rPr>
            <w:rStyle w:val="Hyperlink"/>
            <w:rFonts w:asciiTheme="minorHAnsi" w:hAnsiTheme="minorHAnsi" w:cstheme="minorHAnsi"/>
            <w:color w:val="auto"/>
          </w:rPr>
          <w:t>https://www.ed.ac.uk/news/2021/addressing-contemporary-and-historic-racism/statement-from-principal</w:t>
        </w:r>
      </w:hyperlink>
      <w:r w:rsidRPr="00643BA0">
        <w:rPr>
          <w:rFonts w:asciiTheme="minorHAnsi" w:hAnsiTheme="minorHAnsi" w:cstheme="minorHAnsi"/>
        </w:rPr>
        <w:t>.</w:t>
      </w:r>
    </w:p>
  </w:footnote>
  <w:footnote w:id="4">
    <w:p w14:paraId="558F6F59" w14:textId="16D789B7" w:rsidR="00773F7C" w:rsidRPr="00302615" w:rsidRDefault="00773F7C" w:rsidP="00057638">
      <w:pPr>
        <w:rPr>
          <w:rFonts w:ascii="Calibri" w:eastAsia="Times New Roman" w:hAnsi="Calibri" w:cs="Calibri"/>
          <w:color w:val="212121"/>
          <w:kern w:val="0"/>
          <w:sz w:val="20"/>
          <w:szCs w:val="20"/>
          <w:lang w:eastAsia="en-GB"/>
          <w14:ligatures w14:val="none"/>
        </w:rPr>
      </w:pPr>
      <w:r w:rsidRPr="00302615">
        <w:rPr>
          <w:rStyle w:val="FootnoteReference"/>
          <w:rFonts w:cstheme="minorHAnsi"/>
          <w:sz w:val="20"/>
          <w:szCs w:val="20"/>
        </w:rPr>
        <w:footnoteRef/>
      </w:r>
      <w:r w:rsidRPr="00302615">
        <w:rPr>
          <w:rFonts w:cstheme="minorHAnsi"/>
          <w:sz w:val="20"/>
          <w:szCs w:val="20"/>
        </w:rPr>
        <w:t xml:space="preserve"> Mathieson</w:t>
      </w:r>
      <w:r w:rsidR="00C231B1" w:rsidRPr="00302615">
        <w:rPr>
          <w:rFonts w:cstheme="minorHAnsi"/>
          <w:sz w:val="20"/>
          <w:szCs w:val="20"/>
        </w:rPr>
        <w:t>, ‘Statement’</w:t>
      </w:r>
      <w:r w:rsidRPr="00302615">
        <w:rPr>
          <w:rFonts w:ascii="Calibri" w:hAnsi="Calibri" w:cs="Calibri"/>
          <w:sz w:val="20"/>
          <w:szCs w:val="20"/>
        </w:rPr>
        <w:t>.</w:t>
      </w:r>
      <w:r w:rsidR="00302615" w:rsidRPr="00302615">
        <w:rPr>
          <w:rFonts w:ascii="Calibri" w:hAnsi="Calibri" w:cs="Calibri"/>
          <w:sz w:val="20"/>
          <w:szCs w:val="20"/>
        </w:rPr>
        <w:t xml:space="preserve"> </w:t>
      </w:r>
    </w:p>
  </w:footnote>
  <w:footnote w:id="5">
    <w:p w14:paraId="042A1322" w14:textId="120E0BDA" w:rsidR="00EE61F3" w:rsidRDefault="00EE61F3" w:rsidP="00057638">
      <w:pPr>
        <w:pStyle w:val="FootnoteText"/>
        <w:jc w:val="left"/>
      </w:pPr>
      <w:r>
        <w:rPr>
          <w:rStyle w:val="FootnoteReference"/>
        </w:rPr>
        <w:footnoteRef/>
      </w:r>
      <w:r>
        <w:t xml:space="preserve"> </w:t>
      </w:r>
      <w:r>
        <w:rPr>
          <w:rFonts w:cs="Calibri"/>
        </w:rPr>
        <w:t>This</w:t>
      </w:r>
      <w:r w:rsidRPr="00302615">
        <w:rPr>
          <w:rFonts w:eastAsia="Times New Roman" w:cs="Calibri"/>
          <w:color w:val="212121"/>
          <w:lang w:eastAsia="en-GB"/>
        </w:rPr>
        <w:t xml:space="preserve"> Report forms part of the University’s work to address contemporary and historic racism. It seeks to help the University to recognise historical culpability and inform ongoing discussions about racism, imperialism and colonialism in light of the University’s historical role. Its academic research examines the University’s approach, both past and present, in order to advise the University Executive on suitable reparatory recommendations and set our standards for the future. The REWG’s investigation aims include inviting and exploring the views of the University of Edinburgh’s community as a whole, as well as external individuals and communities. Some of these views and opinions</w:t>
      </w:r>
      <w:r>
        <w:rPr>
          <w:rFonts w:eastAsia="Times New Roman" w:cs="Calibri"/>
          <w:color w:val="212121"/>
          <w:lang w:eastAsia="en-GB"/>
        </w:rPr>
        <w:t xml:space="preserve"> on</w:t>
      </w:r>
      <w:r w:rsidRPr="00302615">
        <w:rPr>
          <w:rFonts w:eastAsia="Times New Roman" w:cs="Calibri"/>
          <w:color w:val="212121"/>
          <w:lang w:eastAsia="en-GB"/>
        </w:rPr>
        <w:t xml:space="preserve"> factual matters and questions of alleged wrongdoing </w:t>
      </w:r>
      <w:r>
        <w:rPr>
          <w:rFonts w:eastAsia="Times New Roman" w:cs="Calibri"/>
          <w:color w:val="212121"/>
          <w:lang w:eastAsia="en-GB"/>
        </w:rPr>
        <w:t>may differ from those of the University itself as a legal entity. These have been</w:t>
      </w:r>
      <w:r w:rsidRPr="00302615">
        <w:rPr>
          <w:rFonts w:eastAsia="Times New Roman" w:cs="Calibri"/>
          <w:color w:val="212121"/>
          <w:lang w:eastAsia="en-GB"/>
        </w:rPr>
        <w:t xml:space="preserve"> captured in detail by research contributors, particularly in the linked appendices to the Report, which were collated and authored by a range of </w:t>
      </w:r>
      <w:r>
        <w:rPr>
          <w:rFonts w:eastAsia="Times New Roman" w:cs="Calibri"/>
          <w:color w:val="212121"/>
          <w:lang w:eastAsia="en-GB"/>
        </w:rPr>
        <w:t xml:space="preserve">academic </w:t>
      </w:r>
      <w:r w:rsidRPr="00302615">
        <w:rPr>
          <w:rFonts w:eastAsia="Times New Roman" w:cs="Calibri"/>
          <w:color w:val="212121"/>
          <w:lang w:eastAsia="en-GB"/>
        </w:rPr>
        <w:t>research</w:t>
      </w:r>
      <w:r>
        <w:rPr>
          <w:rFonts w:eastAsia="Times New Roman" w:cs="Calibri"/>
          <w:color w:val="212121"/>
          <w:lang w:eastAsia="en-GB"/>
        </w:rPr>
        <w:t>ers</w:t>
      </w:r>
      <w:r w:rsidRPr="00302615">
        <w:rPr>
          <w:rFonts w:eastAsia="Times New Roman" w:cs="Calibri"/>
          <w:color w:val="212121"/>
          <w:lang w:eastAsia="en-GB"/>
        </w:rPr>
        <w:t>.</w:t>
      </w:r>
      <w:r>
        <w:rPr>
          <w:rFonts w:eastAsia="Times New Roman" w:cs="Calibri"/>
          <w:color w:val="212121"/>
          <w:lang w:eastAsia="en-GB"/>
        </w:rPr>
        <w:t xml:space="preserve"> </w:t>
      </w:r>
    </w:p>
  </w:footnote>
  <w:footnote w:id="6">
    <w:p w14:paraId="59DDA044" w14:textId="7123BCBA"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REAR, ‘UoE Race Equality and Anti-Racist Action Plan for 2020/21’, </w:t>
      </w:r>
      <w:hyperlink r:id="rId2" w:history="1">
        <w:r w:rsidRPr="00097BBC">
          <w:rPr>
            <w:rStyle w:val="Hyperlink"/>
            <w:rFonts w:asciiTheme="minorHAnsi" w:hAnsiTheme="minorHAnsi" w:cstheme="minorHAnsi"/>
          </w:rPr>
          <w:t>https://edwebcontent.ed.ac.uk/sites/default/files/atoms/files/uoe_race_equality_and_anti-racist_action_plan.pdf</w:t>
        </w:r>
      </w:hyperlink>
      <w:r w:rsidRPr="00643BA0">
        <w:rPr>
          <w:rFonts w:asciiTheme="minorHAnsi" w:hAnsiTheme="minorHAnsi" w:cstheme="minorHAnsi"/>
        </w:rPr>
        <w:t>;</w:t>
      </w:r>
      <w:r w:rsidRPr="00097BBC">
        <w:rPr>
          <w:rFonts w:asciiTheme="minorHAnsi" w:hAnsiTheme="minorHAnsi" w:cstheme="minorHAnsi"/>
        </w:rPr>
        <w:t xml:space="preserve"> REAR, ‘REAR Action Plan 2023’, </w:t>
      </w:r>
      <w:hyperlink r:id="rId3" w:history="1">
        <w:r w:rsidRPr="00097BBC">
          <w:rPr>
            <w:rStyle w:val="Hyperlink"/>
            <w:rFonts w:asciiTheme="minorHAnsi" w:hAnsiTheme="minorHAnsi" w:cstheme="minorHAnsi"/>
          </w:rPr>
          <w:t>https://equality-diversity.ed.ac.uk/sites/default/files/2024-07/REAR%20Action%20Plan%202023.pdf</w:t>
        </w:r>
      </w:hyperlink>
      <w:r w:rsidRPr="00643BA0">
        <w:rPr>
          <w:rFonts w:asciiTheme="minorHAnsi" w:hAnsiTheme="minorHAnsi" w:cstheme="minorHAnsi"/>
        </w:rPr>
        <w:t>.</w:t>
      </w:r>
    </w:p>
  </w:footnote>
  <w:footnote w:id="7">
    <w:p w14:paraId="193DE686" w14:textId="0CA16578" w:rsidR="00773F7C" w:rsidRPr="00097BBC" w:rsidRDefault="00773F7C" w:rsidP="00057638">
      <w:pPr>
        <w:autoSpaceDE w:val="0"/>
        <w:autoSpaceDN w:val="0"/>
        <w:adjustRightInd w:val="0"/>
        <w:rPr>
          <w:rFonts w:eastAsia="Calibri" w:cstheme="minorHAnsi"/>
          <w:color w:val="000000" w:themeColor="text1"/>
          <w:sz w:val="20"/>
          <w:szCs w:val="20"/>
        </w:rPr>
      </w:pPr>
      <w:r w:rsidRPr="00097BBC">
        <w:rPr>
          <w:rStyle w:val="FootnoteReference"/>
          <w:rFonts w:cstheme="minorHAnsi"/>
          <w:sz w:val="20"/>
          <w:szCs w:val="20"/>
        </w:rPr>
        <w:footnoteRef/>
      </w:r>
      <w:r w:rsidRPr="00097BBC">
        <w:rPr>
          <w:rFonts w:cstheme="minorHAnsi"/>
          <w:sz w:val="20"/>
          <w:szCs w:val="20"/>
        </w:rPr>
        <w:t xml:space="preserve"> </w:t>
      </w:r>
      <w:r w:rsidRPr="00097BBC">
        <w:rPr>
          <w:rFonts w:eastAsia="Calibri" w:cstheme="minorHAnsi"/>
          <w:color w:val="000000" w:themeColor="text1"/>
          <w:sz w:val="20"/>
          <w:szCs w:val="20"/>
        </w:rPr>
        <w:t xml:space="preserve">More information on our membership can be found on our </w:t>
      </w:r>
      <w:hyperlink r:id="rId4">
        <w:r w:rsidRPr="00097BBC">
          <w:rPr>
            <w:rStyle w:val="Hyperlink"/>
            <w:rFonts w:eastAsia="Calibri" w:cstheme="minorHAnsi"/>
            <w:color w:val="000000" w:themeColor="text1"/>
            <w:sz w:val="20"/>
            <w:szCs w:val="20"/>
          </w:rPr>
          <w:t>blogsite</w:t>
        </w:r>
      </w:hyperlink>
      <w:r w:rsidRPr="00097BBC">
        <w:rPr>
          <w:rFonts w:eastAsia="Calibri" w:cstheme="minorHAnsi"/>
          <w:color w:val="000000" w:themeColor="text1"/>
          <w:sz w:val="20"/>
          <w:szCs w:val="20"/>
        </w:rPr>
        <w:t>: REWG, ‘The Team’</w:t>
      </w:r>
      <w:r w:rsidRPr="00097BBC">
        <w:rPr>
          <w:rFonts w:cstheme="minorHAnsi"/>
          <w:sz w:val="20"/>
          <w:szCs w:val="20"/>
        </w:rPr>
        <w:t xml:space="preserve"> </w:t>
      </w:r>
      <w:hyperlink r:id="rId5" w:history="1">
        <w:r w:rsidRPr="00097BBC">
          <w:rPr>
            <w:rStyle w:val="Hyperlink"/>
            <w:rFonts w:eastAsia="Calibri" w:cstheme="minorHAnsi"/>
            <w:sz w:val="20"/>
            <w:szCs w:val="20"/>
          </w:rPr>
          <w:t>https://blogs.ed.ac.uk/decolonise/category/the-team/</w:t>
        </w:r>
      </w:hyperlink>
      <w:r w:rsidRPr="00097BBC">
        <w:rPr>
          <w:rFonts w:eastAsia="Calibri" w:cstheme="minorHAnsi"/>
          <w:color w:val="000000" w:themeColor="text1"/>
          <w:sz w:val="20"/>
          <w:szCs w:val="20"/>
        </w:rPr>
        <w:t xml:space="preserve"> </w:t>
      </w:r>
      <w:r w:rsidRPr="00643BA0">
        <w:rPr>
          <w:rFonts w:eastAsia="Calibri" w:cstheme="minorHAnsi"/>
          <w:color w:val="000000" w:themeColor="text1"/>
          <w:sz w:val="20"/>
          <w:szCs w:val="20"/>
        </w:rPr>
        <w:t>.</w:t>
      </w:r>
    </w:p>
  </w:footnote>
  <w:footnote w:id="8">
    <w:p w14:paraId="6B8C94E8"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United Nations, ‘International Decade for People of African Descent (2015–2024)’, </w:t>
      </w:r>
      <w:hyperlink r:id="rId6" w:history="1">
        <w:r w:rsidRPr="00097BBC">
          <w:rPr>
            <w:rStyle w:val="Hyperlink"/>
            <w:rFonts w:asciiTheme="minorHAnsi" w:hAnsiTheme="minorHAnsi" w:cstheme="minorHAnsi"/>
            <w:color w:val="auto"/>
          </w:rPr>
          <w:t>https://www.un.org/en/observances/decade-people-african-descent</w:t>
        </w:r>
      </w:hyperlink>
      <w:r w:rsidRPr="00097BBC">
        <w:rPr>
          <w:rFonts w:asciiTheme="minorHAnsi" w:hAnsiTheme="minorHAnsi" w:cstheme="minorHAnsi"/>
        </w:rPr>
        <w:t xml:space="preserve">. </w:t>
      </w:r>
    </w:p>
  </w:footnote>
  <w:footnote w:id="9">
    <w:p w14:paraId="37E00A0C" w14:textId="4A129225" w:rsidR="00600478" w:rsidRPr="001548BC" w:rsidRDefault="00600478" w:rsidP="00057638">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United Nations, ‘International Decade’.</w:t>
      </w:r>
    </w:p>
  </w:footnote>
  <w:footnote w:id="10">
    <w:p w14:paraId="516176CC" w14:textId="4475C0F4" w:rsidR="0086178C" w:rsidRPr="00097BBC" w:rsidRDefault="0086178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Style w:val="normaltextrun"/>
          <w:rFonts w:asciiTheme="minorHAnsi" w:hAnsiTheme="minorHAnsi" w:cstheme="minorHAnsi"/>
          <w:color w:val="000000"/>
          <w:shd w:val="clear" w:color="auto" w:fill="FFFFFF"/>
        </w:rPr>
        <w:t>See, for example, Katharine Gerbner, ‘Archival Violence, Archival Capital: Ethics, Inheritance, and Reparations in the Thistlewood Diaries’, </w:t>
      </w:r>
      <w:r w:rsidRPr="00097BBC">
        <w:rPr>
          <w:rStyle w:val="normaltextrun"/>
          <w:rFonts w:asciiTheme="minorHAnsi" w:hAnsiTheme="minorHAnsi" w:cstheme="minorHAnsi"/>
          <w:i/>
          <w:iCs/>
          <w:color w:val="000000"/>
          <w:shd w:val="clear" w:color="auto" w:fill="FFFFFF"/>
        </w:rPr>
        <w:t>The William and Mary Quarterly</w:t>
      </w:r>
      <w:r w:rsidRPr="00097BBC">
        <w:rPr>
          <w:rStyle w:val="normaltextrun"/>
          <w:rFonts w:asciiTheme="minorHAnsi" w:hAnsiTheme="minorHAnsi" w:cstheme="minorHAnsi"/>
          <w:color w:val="000000"/>
          <w:shd w:val="clear" w:color="auto" w:fill="FFFFFF"/>
        </w:rPr>
        <w:t>, 79 (2022), 595–624; Stephanie E. Smallwood</w:t>
      </w:r>
      <w:r w:rsidR="002812B9">
        <w:rPr>
          <w:rStyle w:val="normaltextrun"/>
          <w:rFonts w:asciiTheme="minorHAnsi" w:hAnsiTheme="minorHAnsi" w:cstheme="minorHAnsi"/>
          <w:color w:val="000000"/>
          <w:shd w:val="clear" w:color="auto" w:fill="FFFFFF"/>
        </w:rPr>
        <w:t>,</w:t>
      </w:r>
      <w:r w:rsidRPr="00097BBC">
        <w:rPr>
          <w:rStyle w:val="normaltextrun"/>
          <w:rFonts w:asciiTheme="minorHAnsi" w:hAnsiTheme="minorHAnsi" w:cstheme="minorHAnsi"/>
          <w:color w:val="000000"/>
          <w:shd w:val="clear" w:color="auto" w:fill="FFFFFF"/>
        </w:rPr>
        <w:t xml:space="preserve"> ‘The Politics of the Archive and History’s Accountability to the Enslaved’, </w:t>
      </w:r>
      <w:r w:rsidRPr="00097BBC">
        <w:rPr>
          <w:rStyle w:val="normaltextrun"/>
          <w:rFonts w:asciiTheme="minorHAnsi" w:hAnsiTheme="minorHAnsi" w:cstheme="minorHAnsi"/>
          <w:i/>
          <w:iCs/>
          <w:color w:val="000000"/>
          <w:shd w:val="clear" w:color="auto" w:fill="FFFFFF"/>
        </w:rPr>
        <w:t>History of the Present</w:t>
      </w:r>
      <w:r w:rsidRPr="00097BBC">
        <w:rPr>
          <w:rStyle w:val="normaltextrun"/>
          <w:rFonts w:asciiTheme="minorHAnsi" w:hAnsiTheme="minorHAnsi" w:cstheme="minorHAnsi"/>
          <w:color w:val="000000"/>
          <w:shd w:val="clear" w:color="auto" w:fill="FFFFFF"/>
        </w:rPr>
        <w:t>, 6 (2016), 117–32; Temi Odumosu, ‘The Crying Child: On Colonial Archives, Digitization, and Ethics of Care in the Cultural Commons’, </w:t>
      </w:r>
      <w:r w:rsidRPr="00097BBC">
        <w:rPr>
          <w:rStyle w:val="normaltextrun"/>
          <w:rFonts w:asciiTheme="minorHAnsi" w:hAnsiTheme="minorHAnsi" w:cstheme="minorHAnsi"/>
          <w:i/>
          <w:iCs/>
          <w:color w:val="000000"/>
          <w:shd w:val="clear" w:color="auto" w:fill="FFFFFF"/>
        </w:rPr>
        <w:t>Current Anthropology</w:t>
      </w:r>
      <w:r w:rsidRPr="00097BBC">
        <w:rPr>
          <w:rStyle w:val="normaltextrun"/>
          <w:rFonts w:asciiTheme="minorHAnsi" w:hAnsiTheme="minorHAnsi" w:cstheme="minorHAnsi"/>
          <w:color w:val="000000"/>
          <w:shd w:val="clear" w:color="auto" w:fill="FFFFFF"/>
        </w:rPr>
        <w:t>, 61 (2020), S289-S302.</w:t>
      </w:r>
    </w:p>
  </w:footnote>
  <w:footnote w:id="11">
    <w:p w14:paraId="282A9E18" w14:textId="2C056348"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In June 202</w:t>
      </w:r>
      <w:r w:rsidRPr="00097BBC">
        <w:rPr>
          <w:rFonts w:asciiTheme="minorHAnsi" w:eastAsia="Calibri" w:hAnsiTheme="minorHAnsi" w:cstheme="minorHAnsi"/>
        </w:rPr>
        <w:t xml:space="preserve">0, the student-led BlackEd Movement lobbied Principal Mathieson to address issues relating to </w:t>
      </w:r>
      <w:r w:rsidR="00A27530">
        <w:rPr>
          <w:rFonts w:asciiTheme="minorHAnsi" w:eastAsia="Calibri" w:hAnsiTheme="minorHAnsi" w:cstheme="minorHAnsi"/>
        </w:rPr>
        <w:t>University of Edinburgh</w:t>
      </w:r>
      <w:r w:rsidRPr="00097BBC">
        <w:rPr>
          <w:rFonts w:asciiTheme="minorHAnsi" w:eastAsia="Calibri" w:hAnsiTheme="minorHAnsi" w:cstheme="minorHAnsi"/>
        </w:rPr>
        <w:t>’s racially/ethnically minori</w:t>
      </w:r>
      <w:r w:rsidR="004868A0">
        <w:rPr>
          <w:rFonts w:asciiTheme="minorHAnsi" w:eastAsia="Calibri" w:hAnsiTheme="minorHAnsi" w:cstheme="minorHAnsi"/>
        </w:rPr>
        <w:t>ti</w:t>
      </w:r>
      <w:r w:rsidRPr="00097BBC">
        <w:rPr>
          <w:rFonts w:asciiTheme="minorHAnsi" w:eastAsia="Calibri" w:hAnsiTheme="minorHAnsi" w:cstheme="minorHAnsi"/>
        </w:rPr>
        <w:t>sed students and staff by ‘Making a Statement; Promoting and Establishing Anti-Racist Culture within the University; Developing a Comprehensive Zero-Tolerance Policy; and Creating and Supporting Representation Initiatives’.</w:t>
      </w:r>
      <w:r w:rsidR="00EB5824">
        <w:rPr>
          <w:rFonts w:asciiTheme="minorHAnsi" w:eastAsia="Calibri" w:hAnsiTheme="minorHAnsi" w:cstheme="minorHAnsi"/>
        </w:rPr>
        <w:t xml:space="preserve"> Parts of this letter are quoted in </w:t>
      </w:r>
      <w:r w:rsidR="00EB5824" w:rsidRPr="00B04460">
        <w:rPr>
          <w:rStyle w:val="normaltextrun"/>
          <w:rFonts w:asciiTheme="minorHAnsi" w:hAnsiTheme="minorHAnsi" w:cstheme="minorHAnsi"/>
          <w:color w:val="000000"/>
          <w:shd w:val="clear" w:color="auto" w:fill="FFFFFF"/>
        </w:rPr>
        <w:t xml:space="preserve">Elizabeth Lund, ‘Petition to Rename David Hume Tower at UoE’, 29 June 2020, </w:t>
      </w:r>
      <w:hyperlink r:id="rId7" w:history="1">
        <w:r w:rsidR="00EB5824" w:rsidRPr="00B04460">
          <w:rPr>
            <w:rStyle w:val="Hyperlink"/>
            <w:rFonts w:asciiTheme="minorHAnsi" w:hAnsiTheme="minorHAnsi" w:cstheme="minorHAnsi"/>
            <w:shd w:val="clear" w:color="auto" w:fill="FFFFFF"/>
          </w:rPr>
          <w:t>https://www.change.org/p/university-of-edinburgh-rename-david-hume-tower-at-uoe</w:t>
        </w:r>
      </w:hyperlink>
      <w:r w:rsidR="00EB5824" w:rsidRPr="00B04460">
        <w:rPr>
          <w:rStyle w:val="normaltextrun"/>
          <w:rFonts w:asciiTheme="minorHAnsi" w:hAnsiTheme="minorHAnsi" w:cstheme="minorHAnsi"/>
          <w:color w:val="000000"/>
          <w:shd w:val="clear" w:color="auto" w:fill="FFFFFF"/>
        </w:rPr>
        <w:t xml:space="preserve">. </w:t>
      </w:r>
    </w:p>
  </w:footnote>
  <w:footnote w:id="12">
    <w:p w14:paraId="5C7EA839" w14:textId="08B53F7F"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University Steering Committee on Slavery and Justice, </w:t>
      </w:r>
      <w:r w:rsidRPr="00097BBC">
        <w:rPr>
          <w:rFonts w:asciiTheme="minorHAnsi" w:hAnsiTheme="minorHAnsi" w:cstheme="minorHAnsi"/>
          <w:i/>
          <w:iCs/>
        </w:rPr>
        <w:t>Slavery and Justice: Report of the Brown University Steering Committee on Slavery and Justice</w:t>
      </w:r>
      <w:r w:rsidR="00215277">
        <w:rPr>
          <w:rFonts w:asciiTheme="minorHAnsi" w:hAnsiTheme="minorHAnsi" w:cstheme="minorHAnsi"/>
        </w:rPr>
        <w:t>,</w:t>
      </w:r>
      <w:r w:rsidRPr="00097BBC">
        <w:rPr>
          <w:rFonts w:asciiTheme="minorHAnsi" w:hAnsiTheme="minorHAnsi" w:cstheme="minorHAnsi"/>
        </w:rPr>
        <w:t xml:space="preserve"> Brown University</w:t>
      </w:r>
      <w:r w:rsidR="00215277">
        <w:rPr>
          <w:rFonts w:asciiTheme="minorHAnsi" w:hAnsiTheme="minorHAnsi" w:cstheme="minorHAnsi"/>
        </w:rPr>
        <w:t xml:space="preserve"> (</w:t>
      </w:r>
      <w:r w:rsidRPr="00097BBC">
        <w:rPr>
          <w:rFonts w:asciiTheme="minorHAnsi" w:hAnsiTheme="minorHAnsi" w:cstheme="minorHAnsi"/>
        </w:rPr>
        <w:t>2006), p. 3.</w:t>
      </w:r>
    </w:p>
  </w:footnote>
  <w:footnote w:id="13">
    <w:p w14:paraId="4140DC45" w14:textId="77777777" w:rsidR="008B4972" w:rsidRPr="00097BBC" w:rsidRDefault="008B4972"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See Craig Wilder, </w:t>
      </w:r>
      <w:r w:rsidRPr="00097BBC">
        <w:rPr>
          <w:rFonts w:asciiTheme="minorHAnsi" w:hAnsiTheme="minorHAnsi" w:cstheme="minorHAnsi"/>
          <w:i/>
          <w:iCs/>
        </w:rPr>
        <w:t>Ebony and Ivy: Race, Slavery, and the Troubled History of America’s Universities</w:t>
      </w:r>
      <w:r w:rsidRPr="00097BBC">
        <w:rPr>
          <w:rFonts w:asciiTheme="minorHAnsi" w:hAnsiTheme="minorHAnsi" w:cstheme="minorHAnsi"/>
        </w:rPr>
        <w:t xml:space="preserve"> (London: Bloomsbury Press, 2013). </w:t>
      </w:r>
    </w:p>
  </w:footnote>
  <w:footnote w:id="14">
    <w:p w14:paraId="7C705DE0"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University of Virginia, ‘President’s Commission on Slavery and the University’, </w:t>
      </w:r>
      <w:hyperlink r:id="rId8" w:history="1">
        <w:r w:rsidRPr="00097BBC">
          <w:rPr>
            <w:rStyle w:val="Hyperlink"/>
            <w:rFonts w:asciiTheme="minorHAnsi" w:hAnsiTheme="minorHAnsi" w:cstheme="minorHAnsi"/>
            <w:color w:val="auto"/>
          </w:rPr>
          <w:t>https://slavery.virginia.edu/universities-studying-slavery/</w:t>
        </w:r>
      </w:hyperlink>
      <w:r w:rsidRPr="00097BBC">
        <w:rPr>
          <w:rFonts w:asciiTheme="minorHAnsi" w:hAnsiTheme="minorHAnsi" w:cstheme="minorHAnsi"/>
        </w:rPr>
        <w:t xml:space="preserve">. </w:t>
      </w:r>
    </w:p>
  </w:footnote>
  <w:footnote w:id="15">
    <w:p w14:paraId="511051FC" w14:textId="58D17F88" w:rsidR="00AB0677" w:rsidRPr="001548BC" w:rsidRDefault="00AB0677" w:rsidP="00057638">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Pr="00097BBC">
        <w:rPr>
          <w:rFonts w:asciiTheme="minorHAnsi" w:hAnsiTheme="minorHAnsi" w:cstheme="minorHAnsi"/>
        </w:rPr>
        <w:t>University of Virginia</w:t>
      </w:r>
      <w:r>
        <w:rPr>
          <w:rFonts w:asciiTheme="minorHAnsi" w:hAnsiTheme="minorHAnsi" w:cstheme="minorHAnsi"/>
        </w:rPr>
        <w:t>, ‘</w:t>
      </w:r>
      <w:r w:rsidR="009B65EA">
        <w:rPr>
          <w:rFonts w:asciiTheme="minorHAnsi" w:hAnsiTheme="minorHAnsi" w:cstheme="minorHAnsi"/>
        </w:rPr>
        <w:t>President’s Commission’.</w:t>
      </w:r>
    </w:p>
  </w:footnote>
  <w:footnote w:id="16">
    <w:p w14:paraId="249B913C" w14:textId="65C5D8BF"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University of Glasgow, ‘University of Glasgow Publishes Report Into Historical Slavery’, 16 September 2018, </w:t>
      </w:r>
      <w:hyperlink r:id="rId9" w:history="1">
        <w:r w:rsidRPr="00097BBC">
          <w:rPr>
            <w:rStyle w:val="Hyperlink"/>
            <w:rFonts w:asciiTheme="minorHAnsi" w:hAnsiTheme="minorHAnsi" w:cstheme="minorHAnsi"/>
            <w:color w:val="auto"/>
          </w:rPr>
          <w:t>https://www.gla.ac.uk/news/archiveofnews/2018/september/headline_607154_en.html</w:t>
        </w:r>
      </w:hyperlink>
      <w:r w:rsidRPr="00097BBC">
        <w:rPr>
          <w:rFonts w:asciiTheme="minorHAnsi" w:hAnsiTheme="minorHAnsi" w:cstheme="minorHAnsi"/>
        </w:rPr>
        <w:t xml:space="preserve">. </w:t>
      </w:r>
    </w:p>
  </w:footnote>
  <w:footnote w:id="17">
    <w:p w14:paraId="08C34FEF" w14:textId="42549D8F"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University of Liverpool, ‘Centre for the Study of International Slavery’, </w:t>
      </w:r>
      <w:hyperlink r:id="rId10" w:history="1">
        <w:r w:rsidRPr="00097BBC">
          <w:rPr>
            <w:rStyle w:val="Hyperlink"/>
            <w:rFonts w:asciiTheme="minorHAnsi" w:hAnsiTheme="minorHAnsi" w:cstheme="minorHAnsi"/>
            <w:color w:val="auto"/>
          </w:rPr>
          <w:t>https://www.liverpool.ac.uk/csis/about-us/</w:t>
        </w:r>
      </w:hyperlink>
      <w:r w:rsidRPr="00097BBC">
        <w:rPr>
          <w:rFonts w:asciiTheme="minorHAnsi" w:hAnsiTheme="minorHAnsi" w:cstheme="minorHAnsi"/>
        </w:rPr>
        <w:t xml:space="preserve">; University of London, ‘Centre for the Study of the Legacies of British Slavery’, </w:t>
      </w:r>
      <w:hyperlink r:id="rId11" w:history="1">
        <w:r w:rsidRPr="00097BBC">
          <w:rPr>
            <w:rStyle w:val="Hyperlink"/>
            <w:rFonts w:asciiTheme="minorHAnsi" w:hAnsiTheme="minorHAnsi" w:cstheme="minorHAnsi"/>
            <w:color w:val="auto"/>
          </w:rPr>
          <w:t>https://www.ucl.ac.uk/lbs/</w:t>
        </w:r>
      </w:hyperlink>
      <w:r w:rsidRPr="00097BBC">
        <w:rPr>
          <w:rFonts w:asciiTheme="minorHAnsi" w:hAnsiTheme="minorHAnsi" w:cstheme="minorHAnsi"/>
        </w:rPr>
        <w:t xml:space="preserve">. </w:t>
      </w:r>
    </w:p>
  </w:footnote>
  <w:footnote w:id="18">
    <w:p w14:paraId="7786DD94" w14:textId="6CC0D4B2" w:rsidR="008E07CA" w:rsidRPr="00097BBC" w:rsidRDefault="008E07CA"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Kalypso Nicolaidis and Laura van Broekhoven, </w:t>
      </w:r>
      <w:r w:rsidRPr="00097BBC">
        <w:rPr>
          <w:rFonts w:asciiTheme="minorHAnsi" w:hAnsiTheme="minorHAnsi" w:cstheme="minorHAnsi"/>
          <w:i/>
          <w:iCs/>
        </w:rPr>
        <w:t>The Working Group on Oxford University and Colonialism</w:t>
      </w:r>
      <w:r w:rsidR="000F07AA">
        <w:rPr>
          <w:rFonts w:asciiTheme="minorHAnsi" w:hAnsiTheme="minorHAnsi" w:cstheme="minorHAnsi"/>
        </w:rPr>
        <w:t xml:space="preserve">, </w:t>
      </w:r>
      <w:r w:rsidRPr="00097BBC">
        <w:rPr>
          <w:rFonts w:asciiTheme="minorHAnsi" w:hAnsiTheme="minorHAnsi" w:cstheme="minorHAnsi"/>
        </w:rPr>
        <w:t>University of Oxford</w:t>
      </w:r>
      <w:r w:rsidR="000F07AA">
        <w:rPr>
          <w:rFonts w:asciiTheme="minorHAnsi" w:hAnsiTheme="minorHAnsi" w:cstheme="minorHAnsi"/>
        </w:rPr>
        <w:t xml:space="preserve"> (</w:t>
      </w:r>
      <w:r w:rsidRPr="00097BBC">
        <w:rPr>
          <w:rFonts w:asciiTheme="minorHAnsi" w:hAnsiTheme="minorHAnsi" w:cstheme="minorHAnsi"/>
        </w:rPr>
        <w:t>2017), p. 5.</w:t>
      </w:r>
      <w:r w:rsidR="00BE3E90" w:rsidRPr="00097BBC">
        <w:rPr>
          <w:rFonts w:asciiTheme="minorHAnsi" w:hAnsiTheme="minorHAnsi" w:cstheme="minorHAnsi"/>
        </w:rPr>
        <w:t xml:space="preserve"> See also King’s College Cambridge, ‘King’s College Research into Slavery, Past, and Present’, 28 May 2019, </w:t>
      </w:r>
      <w:hyperlink r:id="rId12" w:history="1">
        <w:r w:rsidR="00BE3E90" w:rsidRPr="00097BBC">
          <w:rPr>
            <w:rStyle w:val="Hyperlink"/>
            <w:rFonts w:asciiTheme="minorHAnsi" w:hAnsiTheme="minorHAnsi" w:cstheme="minorHAnsi"/>
            <w:color w:val="auto"/>
          </w:rPr>
          <w:t>https://www.kings.cam.ac.uk/news/2019/kings-college-research-slavery-past-and-present</w:t>
        </w:r>
      </w:hyperlink>
      <w:r w:rsidR="00B7573B" w:rsidRPr="00643BA0">
        <w:rPr>
          <w:rFonts w:asciiTheme="minorHAnsi" w:hAnsiTheme="minorHAnsi" w:cstheme="minorHAnsi"/>
        </w:rPr>
        <w:t>.</w:t>
      </w:r>
    </w:p>
  </w:footnote>
  <w:footnote w:id="19">
    <w:p w14:paraId="79871926" w14:textId="6ED19100" w:rsidR="00773F7C" w:rsidRPr="00097BBC" w:rsidRDefault="00773F7C" w:rsidP="00057638">
      <w:pPr>
        <w:pStyle w:val="FootnoteText"/>
        <w:jc w:val="left"/>
        <w:rPr>
          <w:rFonts w:asciiTheme="minorHAnsi" w:eastAsia="Calibr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To take a few examples</w:t>
      </w:r>
      <w:r w:rsidR="00227334">
        <w:rPr>
          <w:rFonts w:asciiTheme="minorHAnsi" w:hAnsiTheme="minorHAnsi" w:cstheme="minorHAnsi"/>
        </w:rPr>
        <w:t>, see</w:t>
      </w:r>
      <w:r w:rsidRPr="00097BBC">
        <w:rPr>
          <w:rFonts w:asciiTheme="minorHAnsi" w:hAnsiTheme="minorHAnsi" w:cstheme="minorHAnsi"/>
        </w:rPr>
        <w:t xml:space="preserve"> the </w:t>
      </w:r>
      <w:hyperlink r:id="rId13">
        <w:r w:rsidRPr="00097BBC">
          <w:rPr>
            <w:rStyle w:val="Hyperlink"/>
            <w:rFonts w:asciiTheme="minorHAnsi" w:eastAsia="Calibri" w:hAnsiTheme="minorHAnsi" w:cstheme="minorHAnsi"/>
            <w:color w:val="auto"/>
          </w:rPr>
          <w:t>National Trust</w:t>
        </w:r>
      </w:hyperlink>
      <w:r w:rsidRPr="00097BBC">
        <w:rPr>
          <w:rFonts w:asciiTheme="minorHAnsi" w:eastAsia="Calibri" w:hAnsiTheme="minorHAnsi" w:cstheme="minorHAnsi"/>
        </w:rPr>
        <w:t xml:space="preserve">, the </w:t>
      </w:r>
      <w:hyperlink r:id="rId14">
        <w:r w:rsidRPr="00097BBC">
          <w:rPr>
            <w:rStyle w:val="Hyperlink"/>
            <w:rFonts w:asciiTheme="minorHAnsi" w:eastAsia="Calibri" w:hAnsiTheme="minorHAnsi" w:cstheme="minorHAnsi"/>
            <w:color w:val="auto"/>
          </w:rPr>
          <w:t>Guardian newspaper</w:t>
        </w:r>
      </w:hyperlink>
      <w:r w:rsidRPr="00097BBC">
        <w:rPr>
          <w:rFonts w:asciiTheme="minorHAnsi" w:eastAsia="Calibri" w:hAnsiTheme="minorHAnsi" w:cstheme="minorHAnsi"/>
        </w:rPr>
        <w:t xml:space="preserve">, the </w:t>
      </w:r>
      <w:hyperlink r:id="rId15">
        <w:r w:rsidRPr="00097BBC">
          <w:rPr>
            <w:rStyle w:val="Hyperlink"/>
            <w:rFonts w:asciiTheme="minorHAnsi" w:eastAsia="Calibri" w:hAnsiTheme="minorHAnsi" w:cstheme="minorHAnsi"/>
            <w:color w:val="auto"/>
          </w:rPr>
          <w:t>Fitzwilliam Museum</w:t>
        </w:r>
      </w:hyperlink>
      <w:r w:rsidRPr="00097BBC">
        <w:rPr>
          <w:rFonts w:asciiTheme="minorHAnsi" w:eastAsia="Calibri" w:hAnsiTheme="minorHAnsi" w:cstheme="minorHAnsi"/>
        </w:rPr>
        <w:t xml:space="preserve">, </w:t>
      </w:r>
      <w:hyperlink r:id="rId16">
        <w:r w:rsidRPr="00097BBC">
          <w:rPr>
            <w:rStyle w:val="Hyperlink"/>
            <w:rFonts w:asciiTheme="minorHAnsi" w:eastAsia="Calibri" w:hAnsiTheme="minorHAnsi" w:cstheme="minorHAnsi"/>
            <w:color w:val="auto"/>
          </w:rPr>
          <w:t>National Museums Scotland</w:t>
        </w:r>
      </w:hyperlink>
      <w:r w:rsidRPr="00097BBC">
        <w:rPr>
          <w:rFonts w:asciiTheme="minorHAnsi" w:eastAsia="Calibri" w:hAnsiTheme="minorHAnsi" w:cstheme="minorHAnsi"/>
        </w:rPr>
        <w:t xml:space="preserve">, churches of </w:t>
      </w:r>
      <w:hyperlink r:id="rId17">
        <w:r w:rsidRPr="00097BBC">
          <w:rPr>
            <w:rStyle w:val="Hyperlink"/>
            <w:rFonts w:asciiTheme="minorHAnsi" w:eastAsia="Calibri" w:hAnsiTheme="minorHAnsi" w:cstheme="minorHAnsi"/>
            <w:color w:val="auto"/>
          </w:rPr>
          <w:t>England</w:t>
        </w:r>
      </w:hyperlink>
      <w:r w:rsidRPr="00097BBC">
        <w:rPr>
          <w:rFonts w:asciiTheme="minorHAnsi" w:eastAsia="Calibri" w:hAnsiTheme="minorHAnsi" w:cstheme="minorHAnsi"/>
        </w:rPr>
        <w:t xml:space="preserve"> and </w:t>
      </w:r>
      <w:hyperlink r:id="rId18">
        <w:r w:rsidRPr="00097BBC">
          <w:rPr>
            <w:rStyle w:val="Hyperlink"/>
            <w:rFonts w:asciiTheme="minorHAnsi" w:eastAsia="Calibri" w:hAnsiTheme="minorHAnsi" w:cstheme="minorHAnsi"/>
            <w:color w:val="auto"/>
          </w:rPr>
          <w:t>Scotland</w:t>
        </w:r>
      </w:hyperlink>
      <w:r w:rsidRPr="00097BBC">
        <w:rPr>
          <w:rFonts w:asciiTheme="minorHAnsi" w:eastAsia="Calibri" w:hAnsiTheme="minorHAnsi" w:cstheme="minorHAnsi"/>
        </w:rPr>
        <w:t xml:space="preserve"> and </w:t>
      </w:r>
      <w:hyperlink r:id="rId19">
        <w:r w:rsidRPr="00097BBC">
          <w:rPr>
            <w:rStyle w:val="Hyperlink"/>
            <w:rFonts w:asciiTheme="minorHAnsi" w:eastAsia="Calibri" w:hAnsiTheme="minorHAnsi" w:cstheme="minorHAnsi"/>
            <w:color w:val="auto"/>
          </w:rPr>
          <w:t>Edinburgh City Council</w:t>
        </w:r>
      </w:hyperlink>
      <w:r w:rsidRPr="00097BBC">
        <w:rPr>
          <w:rFonts w:asciiTheme="minorHAnsi" w:eastAsia="Calibri" w:hAnsiTheme="minorHAnsi" w:cstheme="minorHAnsi"/>
        </w:rPr>
        <w:t>.</w:t>
      </w:r>
    </w:p>
  </w:footnote>
  <w:footnote w:id="20">
    <w:p w14:paraId="49D165A4" w14:textId="35FAB94E" w:rsidR="00D4052A" w:rsidRPr="00097BBC" w:rsidRDefault="00D4052A"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Michael D. Bennett and R. J. Knight, ‘Report on Sheffield, Slavery and its Legacies’, University of Sheffield, 2021, </w:t>
      </w:r>
      <w:hyperlink r:id="rId20" w:history="1">
        <w:r w:rsidRPr="00097BBC">
          <w:rPr>
            <w:rStyle w:val="Hyperlink"/>
            <w:rFonts w:asciiTheme="minorHAnsi" w:hAnsiTheme="minorHAnsi" w:cstheme="minorHAnsi"/>
          </w:rPr>
          <w:t>https://sheffieldandslavery.wordpress.com/report/</w:t>
        </w:r>
      </w:hyperlink>
      <w:r w:rsidRPr="00097BBC">
        <w:rPr>
          <w:rFonts w:asciiTheme="minorHAnsi" w:hAnsiTheme="minorHAnsi" w:cstheme="minorHAnsi"/>
        </w:rPr>
        <w:t xml:space="preserve">; </w:t>
      </w:r>
      <w:r w:rsidR="002A0B08">
        <w:rPr>
          <w:rFonts w:asciiTheme="minorHAnsi" w:hAnsiTheme="minorHAnsi" w:cstheme="minorHAnsi"/>
        </w:rPr>
        <w:t xml:space="preserve">University of Nottingham, </w:t>
      </w:r>
      <w:r w:rsidR="00B160C9" w:rsidRPr="00097BBC">
        <w:rPr>
          <w:rFonts w:asciiTheme="minorHAnsi" w:hAnsiTheme="minorHAnsi" w:cstheme="minorHAnsi"/>
        </w:rPr>
        <w:t>‘</w:t>
      </w:r>
      <w:r w:rsidRPr="00097BBC">
        <w:rPr>
          <w:rFonts w:asciiTheme="minorHAnsi" w:hAnsiTheme="minorHAnsi" w:cstheme="minorHAnsi"/>
        </w:rPr>
        <w:t>Nottingham’s Universities and Historical Slavery</w:t>
      </w:r>
      <w:r w:rsidR="00B160C9" w:rsidRPr="00097BBC">
        <w:rPr>
          <w:rFonts w:asciiTheme="minorHAnsi" w:hAnsiTheme="minorHAnsi" w:cstheme="minorHAnsi"/>
        </w:rPr>
        <w:t>’,</w:t>
      </w:r>
      <w:r w:rsidRPr="00097BBC">
        <w:rPr>
          <w:rFonts w:asciiTheme="minorHAnsi" w:hAnsiTheme="minorHAnsi" w:cstheme="minorHAnsi"/>
        </w:rPr>
        <w:t xml:space="preserve"> </w:t>
      </w:r>
      <w:r w:rsidR="00B7573B" w:rsidRPr="00097BBC">
        <w:rPr>
          <w:rFonts w:asciiTheme="minorHAnsi" w:hAnsiTheme="minorHAnsi" w:cstheme="minorHAnsi"/>
        </w:rPr>
        <w:t xml:space="preserve">November </w:t>
      </w:r>
      <w:r w:rsidRPr="00097BBC">
        <w:rPr>
          <w:rFonts w:asciiTheme="minorHAnsi" w:hAnsiTheme="minorHAnsi" w:cstheme="minorHAnsi"/>
        </w:rPr>
        <w:t>2024</w:t>
      </w:r>
      <w:r w:rsidR="00B160C9" w:rsidRPr="00097BBC">
        <w:rPr>
          <w:rFonts w:asciiTheme="minorHAnsi" w:hAnsiTheme="minorHAnsi" w:cstheme="minorHAnsi"/>
        </w:rPr>
        <w:t xml:space="preserve">, </w:t>
      </w:r>
      <w:hyperlink r:id="rId21" w:history="1">
        <w:r w:rsidR="00AD4B4D" w:rsidRPr="00097BBC">
          <w:rPr>
            <w:rStyle w:val="Hyperlink"/>
            <w:rFonts w:asciiTheme="minorHAnsi" w:hAnsiTheme="minorHAnsi" w:cstheme="minorHAnsi"/>
          </w:rPr>
          <w:t>https://www.nottingham.ac.uk/edi/documents/nottinghams-universities-and-historical-slavery-report.pdf</w:t>
        </w:r>
      </w:hyperlink>
      <w:r w:rsidRPr="00097BBC">
        <w:rPr>
          <w:rFonts w:asciiTheme="minorHAnsi" w:hAnsiTheme="minorHAnsi" w:cstheme="minorHAnsi"/>
        </w:rPr>
        <w:t xml:space="preserve">; </w:t>
      </w:r>
      <w:r w:rsidR="00507097" w:rsidRPr="00097BBC">
        <w:rPr>
          <w:rFonts w:asciiTheme="minorHAnsi" w:hAnsiTheme="minorHAnsi" w:cstheme="minorHAnsi"/>
        </w:rPr>
        <w:t xml:space="preserve">University of Durham, ‘Exploring the University’s Past to Inform our Present’, </w:t>
      </w:r>
      <w:hyperlink r:id="rId22" w:history="1">
        <w:r w:rsidR="00774978" w:rsidRPr="00097BBC">
          <w:rPr>
            <w:rStyle w:val="Hyperlink"/>
            <w:rFonts w:asciiTheme="minorHAnsi" w:hAnsiTheme="minorHAnsi" w:cstheme="minorHAnsi"/>
          </w:rPr>
          <w:t>https://www.durham.ac.uk/about-us/professional-services/equality-diversity-inclusion/strategy/race-equality/library-and-collections-/</w:t>
        </w:r>
      </w:hyperlink>
      <w:r w:rsidRPr="00097BBC">
        <w:rPr>
          <w:rFonts w:asciiTheme="minorHAnsi" w:hAnsiTheme="minorHAnsi" w:cstheme="minorHAnsi"/>
        </w:rPr>
        <w:t xml:space="preserve">; </w:t>
      </w:r>
      <w:r w:rsidR="009F169B" w:rsidRPr="00097BBC">
        <w:rPr>
          <w:rFonts w:asciiTheme="minorHAnsi" w:hAnsiTheme="minorHAnsi" w:cstheme="minorHAnsi"/>
        </w:rPr>
        <w:t>Nilay Sha</w:t>
      </w:r>
      <w:r w:rsidR="002C7B4B" w:rsidRPr="00097BBC">
        <w:rPr>
          <w:rFonts w:asciiTheme="minorHAnsi" w:hAnsiTheme="minorHAnsi" w:cstheme="minorHAnsi"/>
        </w:rPr>
        <w:t>h, ‘</w:t>
      </w:r>
      <w:r w:rsidRPr="00097BBC">
        <w:rPr>
          <w:rFonts w:asciiTheme="minorHAnsi" w:hAnsiTheme="minorHAnsi" w:cstheme="minorHAnsi"/>
        </w:rPr>
        <w:t>Community Report from the History Group</w:t>
      </w:r>
      <w:r w:rsidR="002C7B4B" w:rsidRPr="00097BBC">
        <w:rPr>
          <w:rFonts w:asciiTheme="minorHAnsi" w:hAnsiTheme="minorHAnsi" w:cstheme="minorHAnsi"/>
        </w:rPr>
        <w:t xml:space="preserve">’, Imperial College London, </w:t>
      </w:r>
      <w:r w:rsidR="00167131" w:rsidRPr="00097BBC">
        <w:rPr>
          <w:rFonts w:asciiTheme="minorHAnsi" w:hAnsiTheme="minorHAnsi" w:cstheme="minorHAnsi"/>
        </w:rPr>
        <w:t>November</w:t>
      </w:r>
      <w:r w:rsidRPr="00097BBC">
        <w:rPr>
          <w:rFonts w:asciiTheme="minorHAnsi" w:hAnsiTheme="minorHAnsi" w:cstheme="minorHAnsi"/>
        </w:rPr>
        <w:t xml:space="preserve"> 2021</w:t>
      </w:r>
      <w:r w:rsidR="00167131" w:rsidRPr="00097BBC">
        <w:rPr>
          <w:rFonts w:asciiTheme="minorHAnsi" w:hAnsiTheme="minorHAnsi" w:cstheme="minorHAnsi"/>
        </w:rPr>
        <w:t>,</w:t>
      </w:r>
      <w:r w:rsidRPr="00097BBC">
        <w:rPr>
          <w:rFonts w:asciiTheme="minorHAnsi" w:hAnsiTheme="minorHAnsi" w:cstheme="minorHAnsi"/>
        </w:rPr>
        <w:t xml:space="preserve"> </w:t>
      </w:r>
      <w:hyperlink r:id="rId23" w:history="1">
        <w:r w:rsidR="00167131" w:rsidRPr="00097BBC">
          <w:rPr>
            <w:rStyle w:val="Hyperlink"/>
            <w:rFonts w:asciiTheme="minorHAnsi" w:hAnsiTheme="minorHAnsi" w:cstheme="minorHAnsi"/>
          </w:rPr>
          <w:t>https://www.imperial.ac.uk/equality/activities/history-group/</w:t>
        </w:r>
      </w:hyperlink>
      <w:r w:rsidRPr="00097BBC">
        <w:rPr>
          <w:rFonts w:asciiTheme="minorHAnsi" w:hAnsiTheme="minorHAnsi" w:cstheme="minorHAnsi"/>
        </w:rPr>
        <w:t xml:space="preserve">; </w:t>
      </w:r>
      <w:r w:rsidR="00FA57AD" w:rsidRPr="00097BBC">
        <w:rPr>
          <w:rFonts w:asciiTheme="minorHAnsi" w:hAnsiTheme="minorHAnsi" w:cstheme="minorHAnsi"/>
        </w:rPr>
        <w:t>Olivette Otele and Richard Stone, ‘</w:t>
      </w:r>
      <w:r w:rsidR="0049771A" w:rsidRPr="00097BBC">
        <w:rPr>
          <w:rFonts w:asciiTheme="minorHAnsi" w:hAnsiTheme="minorHAnsi" w:cstheme="minorHAnsi"/>
        </w:rPr>
        <w:t xml:space="preserve">The University of Bristol: </w:t>
      </w:r>
      <w:r w:rsidRPr="00097BBC">
        <w:rPr>
          <w:rFonts w:asciiTheme="minorHAnsi" w:hAnsiTheme="minorHAnsi" w:cstheme="minorHAnsi"/>
        </w:rPr>
        <w:t>Our History and the Legacies of Slavery</w:t>
      </w:r>
      <w:r w:rsidR="0049771A" w:rsidRPr="00097BBC">
        <w:rPr>
          <w:rFonts w:asciiTheme="minorHAnsi" w:hAnsiTheme="minorHAnsi" w:cstheme="minorHAnsi"/>
        </w:rPr>
        <w:t>’</w:t>
      </w:r>
      <w:r w:rsidR="000F07AA">
        <w:rPr>
          <w:rFonts w:asciiTheme="minorHAnsi" w:hAnsiTheme="minorHAnsi" w:cstheme="minorHAnsi"/>
        </w:rPr>
        <w:t xml:space="preserve"> (</w:t>
      </w:r>
      <w:r w:rsidRPr="00097BBC">
        <w:rPr>
          <w:rFonts w:asciiTheme="minorHAnsi" w:hAnsiTheme="minorHAnsi" w:cstheme="minorHAnsi"/>
        </w:rPr>
        <w:t>2022</w:t>
      </w:r>
      <w:r w:rsidR="000F07AA">
        <w:rPr>
          <w:rFonts w:asciiTheme="minorHAnsi" w:hAnsiTheme="minorHAnsi" w:cstheme="minorHAnsi"/>
        </w:rPr>
        <w:t>)</w:t>
      </w:r>
      <w:r w:rsidR="00C84E91" w:rsidRPr="00643BA0">
        <w:rPr>
          <w:rFonts w:asciiTheme="minorHAnsi" w:hAnsiTheme="minorHAnsi" w:cstheme="minorHAnsi"/>
        </w:rPr>
        <w:t>,</w:t>
      </w:r>
      <w:r w:rsidR="00C84E91" w:rsidRPr="00097BBC">
        <w:rPr>
          <w:rFonts w:asciiTheme="minorHAnsi" w:hAnsiTheme="minorHAnsi" w:cstheme="minorHAnsi"/>
        </w:rPr>
        <w:t xml:space="preserve"> </w:t>
      </w:r>
      <w:hyperlink r:id="rId24" w:history="1">
        <w:r w:rsidR="00C84E91" w:rsidRPr="00097BBC">
          <w:rPr>
            <w:rStyle w:val="Hyperlink"/>
            <w:rFonts w:asciiTheme="minorHAnsi" w:hAnsiTheme="minorHAnsi" w:cstheme="minorHAnsi"/>
          </w:rPr>
          <w:t>https://www.bristol.ac.uk/media-library/sites/university/documents/university-of-bristol-legacies-of-slavery-report.pdf</w:t>
        </w:r>
      </w:hyperlink>
      <w:r w:rsidR="00C84E91" w:rsidRPr="00097BBC">
        <w:rPr>
          <w:rFonts w:asciiTheme="minorHAnsi" w:hAnsiTheme="minorHAnsi" w:cstheme="minorHAnsi"/>
        </w:rPr>
        <w:t>.</w:t>
      </w:r>
    </w:p>
  </w:footnote>
  <w:footnote w:id="21">
    <w:p w14:paraId="2A982E81" w14:textId="320D6CA1" w:rsidR="00DC6D99" w:rsidRPr="00097BBC" w:rsidRDefault="00DC6D99"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643BA0">
        <w:rPr>
          <w:rFonts w:asciiTheme="minorHAnsi" w:hAnsiTheme="minorHAnsi" w:cstheme="minorHAnsi"/>
        </w:rPr>
        <w:t xml:space="preserve"> </w:t>
      </w:r>
      <w:r w:rsidR="002A0B08" w:rsidRPr="00643BA0">
        <w:rPr>
          <w:rFonts w:asciiTheme="minorHAnsi" w:hAnsiTheme="minorHAnsi" w:cstheme="minorHAnsi"/>
        </w:rPr>
        <w:t>University of Aberdeen</w:t>
      </w:r>
      <w:r w:rsidR="002A0B08">
        <w:rPr>
          <w:rFonts w:asciiTheme="minorHAnsi" w:hAnsiTheme="minorHAnsi" w:cstheme="minorHAnsi"/>
        </w:rPr>
        <w:t>,</w:t>
      </w:r>
      <w:r w:rsidRPr="00097BBC">
        <w:rPr>
          <w:rFonts w:asciiTheme="minorHAnsi" w:hAnsiTheme="minorHAnsi" w:cstheme="minorHAnsi"/>
        </w:rPr>
        <w:t xml:space="preserve"> ‘The University of Aberdeen and the Legacies of Slavery’</w:t>
      </w:r>
      <w:r w:rsidR="00215277">
        <w:rPr>
          <w:rFonts w:asciiTheme="minorHAnsi" w:hAnsiTheme="minorHAnsi" w:cstheme="minorHAnsi"/>
        </w:rPr>
        <w:t xml:space="preserve"> (</w:t>
      </w:r>
      <w:r w:rsidRPr="00097BBC">
        <w:rPr>
          <w:rFonts w:asciiTheme="minorHAnsi" w:hAnsiTheme="minorHAnsi" w:cstheme="minorHAnsi"/>
        </w:rPr>
        <w:t>2023</w:t>
      </w:r>
      <w:r w:rsidR="00215277">
        <w:rPr>
          <w:rFonts w:asciiTheme="minorHAnsi" w:hAnsiTheme="minorHAnsi" w:cstheme="minorHAnsi"/>
        </w:rPr>
        <w:t>)</w:t>
      </w:r>
      <w:r w:rsidRPr="00643BA0">
        <w:rPr>
          <w:rFonts w:asciiTheme="minorHAnsi" w:hAnsiTheme="minorHAnsi" w:cstheme="minorHAnsi"/>
        </w:rPr>
        <w:t>,</w:t>
      </w:r>
      <w:r w:rsidRPr="00097BBC">
        <w:rPr>
          <w:rFonts w:asciiTheme="minorHAnsi" w:hAnsiTheme="minorHAnsi" w:cstheme="minorHAnsi"/>
        </w:rPr>
        <w:t xml:space="preserve"> </w:t>
      </w:r>
      <w:hyperlink r:id="rId25" w:history="1">
        <w:r w:rsidRPr="00097BBC">
          <w:rPr>
            <w:rStyle w:val="Hyperlink"/>
            <w:rFonts w:asciiTheme="minorHAnsi" w:hAnsiTheme="minorHAnsi" w:cstheme="minorHAnsi"/>
          </w:rPr>
          <w:t>https://www.abdn.ac.uk/about/strategy-and-governance/legacies-of-slavery/</w:t>
        </w:r>
      </w:hyperlink>
      <w:r w:rsidRPr="00097BBC">
        <w:rPr>
          <w:rFonts w:asciiTheme="minorHAnsi" w:hAnsiTheme="minorHAnsi" w:cstheme="minorHAnsi"/>
        </w:rPr>
        <w:t xml:space="preserve">; Cassandra Goopta, ‘University of Dundee Founders Project: Final Report’, University of Dundee, October 2022, </w:t>
      </w:r>
      <w:hyperlink r:id="rId26" w:history="1">
        <w:r w:rsidRPr="00097BBC">
          <w:rPr>
            <w:rStyle w:val="Hyperlink"/>
            <w:rFonts w:asciiTheme="minorHAnsi" w:hAnsiTheme="minorHAnsi" w:cstheme="minorHAnsi"/>
          </w:rPr>
          <w:t>https://www.dundee.ac.uk/corporate-information/founders-project-final-report</w:t>
        </w:r>
      </w:hyperlink>
      <w:r w:rsidRPr="00097BBC">
        <w:rPr>
          <w:rFonts w:asciiTheme="minorHAnsi" w:hAnsiTheme="minorHAnsi" w:cstheme="minorHAnsi"/>
        </w:rPr>
        <w:t xml:space="preserve">; University of Strathclyde, ‘University of Strathclyde and Historical Links to Slavery’, October 2023, </w:t>
      </w:r>
      <w:hyperlink r:id="rId27" w:history="1">
        <w:r w:rsidRPr="00097BBC">
          <w:rPr>
            <w:rStyle w:val="Hyperlink"/>
            <w:rFonts w:asciiTheme="minorHAnsi" w:hAnsiTheme="minorHAnsi" w:cstheme="minorHAnsi"/>
          </w:rPr>
          <w:t>https://www.strath.ac.uk/media/1newwebsite/documents/Historical_Links_to_Slavery_Report-FINAL.pdf</w:t>
        </w:r>
      </w:hyperlink>
      <w:r w:rsidR="004648CB" w:rsidRPr="00097BBC">
        <w:rPr>
          <w:rFonts w:asciiTheme="minorHAnsi" w:hAnsiTheme="minorHAnsi" w:cstheme="minorHAnsi"/>
        </w:rPr>
        <w:t xml:space="preserve">; Aileen Fyfe, ‘Chancellors and the Legacies of Empire at St Andrews, 1700–1900’, University of St. Andrews, March 2023, </w:t>
      </w:r>
      <w:hyperlink r:id="rId28" w:history="1">
        <w:r w:rsidR="004648CB" w:rsidRPr="00097BBC">
          <w:rPr>
            <w:rStyle w:val="Hyperlink"/>
            <w:rFonts w:asciiTheme="minorHAnsi" w:hAnsiTheme="minorHAnsi" w:cstheme="minorHAnsi"/>
          </w:rPr>
          <w:t>https://research-portal.st-andrews.ac.uk/en/publications/chancellors-and-the-legacies-of-empire-at-st-andrews-1700-1900</w:t>
        </w:r>
      </w:hyperlink>
      <w:r w:rsidR="004648CB" w:rsidRPr="00097BBC">
        <w:rPr>
          <w:rFonts w:asciiTheme="minorHAnsi" w:hAnsiTheme="minorHAnsi" w:cstheme="minorHAnsi"/>
        </w:rPr>
        <w:t>.</w:t>
      </w:r>
    </w:p>
  </w:footnote>
  <w:footnote w:id="22">
    <w:p w14:paraId="175743A3" w14:textId="3A075CE3" w:rsidR="003B112E" w:rsidRPr="00097BBC" w:rsidRDefault="003B112E"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Nalin Thakkar, ‘Race Matters at Manchester: Supporting the Representation and Inclusion of Black, Asian and Minority Ethnic (BAME) Staff and Students’, University of Manchester, October 2020, </w:t>
      </w:r>
      <w:hyperlink r:id="rId29" w:history="1">
        <w:r w:rsidRPr="00097BBC">
          <w:rPr>
            <w:rStyle w:val="Hyperlink"/>
            <w:rFonts w:asciiTheme="minorHAnsi" w:hAnsiTheme="minorHAnsi" w:cstheme="minorHAnsi"/>
          </w:rPr>
          <w:t>https://documents.manchester.ac.uk/display.aspx?DocID=51691</w:t>
        </w:r>
      </w:hyperlink>
      <w:r w:rsidRPr="00097BBC">
        <w:rPr>
          <w:rFonts w:asciiTheme="minorHAnsi" w:hAnsiTheme="minorHAnsi" w:cstheme="minorHAnsi"/>
        </w:rPr>
        <w:t xml:space="preserve">; Mary Chioti, ‘Exploring the Legacies of Slavery and Colonialism at The University of Manchester’, 18 August 2021, </w:t>
      </w:r>
      <w:hyperlink r:id="rId30" w:history="1">
        <w:r w:rsidRPr="00097BBC">
          <w:rPr>
            <w:rStyle w:val="Hyperlink"/>
            <w:rFonts w:asciiTheme="minorHAnsi" w:hAnsiTheme="minorHAnsi" w:cstheme="minorHAnsi"/>
            <w:color w:val="auto"/>
          </w:rPr>
          <w:t>https://sites.manchester.ac.uk/salc-making-a-difference/2021/08/18/exploring-the-legacies-of-slavery-and-colonialism-at-the-university-of-manchester/</w:t>
        </w:r>
      </w:hyperlink>
      <w:r w:rsidRPr="00097BBC">
        <w:rPr>
          <w:rFonts w:asciiTheme="minorHAnsi" w:hAnsiTheme="minorHAnsi" w:cstheme="minorHAnsi"/>
        </w:rPr>
        <w:t>.</w:t>
      </w:r>
    </w:p>
  </w:footnote>
  <w:footnote w:id="23">
    <w:p w14:paraId="63B9175B"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University of Strathclyde, ‘Report Sheds Light on Historical Links to Transatlantic Slavery of University of Strathclyde’s Forerunners’, 9 October 2023, </w:t>
      </w:r>
      <w:hyperlink r:id="rId31" w:anchor=":~:text=The%20University%20of%20Strathclyde%20has,from%20money%20derived%20from%20slavery" w:history="1">
        <w:r w:rsidRPr="00097BBC">
          <w:rPr>
            <w:rStyle w:val="Hyperlink"/>
            <w:rFonts w:asciiTheme="minorHAnsi" w:hAnsiTheme="minorHAnsi" w:cstheme="minorHAnsi"/>
            <w:color w:val="auto"/>
          </w:rPr>
          <w:t>https://www.strath.ac.uk/whystrathclyde/news/2023/reportshedslightonhistoricallinkstotransatlanticslavery/#:~:text=The%20University%20of%20Strathclyde%20has,from%20money%20derived%20from%20slavery</w:t>
        </w:r>
      </w:hyperlink>
      <w:r w:rsidRPr="00097BBC">
        <w:rPr>
          <w:rFonts w:asciiTheme="minorHAnsi" w:hAnsiTheme="minorHAnsi" w:cstheme="minorHAnsi"/>
        </w:rPr>
        <w:t xml:space="preserve">. </w:t>
      </w:r>
    </w:p>
  </w:footnote>
  <w:footnote w:id="24">
    <w:p w14:paraId="7D197D9D" w14:textId="35AB2613"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Stephen Mullen and Simon Newman, </w:t>
      </w:r>
      <w:r w:rsidRPr="00097BBC">
        <w:rPr>
          <w:rFonts w:asciiTheme="minorHAnsi" w:hAnsiTheme="minorHAnsi" w:cstheme="minorHAnsi"/>
          <w:i/>
          <w:iCs/>
        </w:rPr>
        <w:t>Slavery, Abolition, and the University of Glasgow</w:t>
      </w:r>
      <w:r w:rsidR="006C11BD">
        <w:rPr>
          <w:rFonts w:asciiTheme="minorHAnsi" w:hAnsiTheme="minorHAnsi" w:cstheme="minorHAnsi"/>
        </w:rPr>
        <w:t>,</w:t>
      </w:r>
      <w:r w:rsidRPr="00097BBC">
        <w:rPr>
          <w:rFonts w:asciiTheme="minorHAnsi" w:hAnsiTheme="minorHAnsi" w:cstheme="minorHAnsi"/>
        </w:rPr>
        <w:t xml:space="preserve"> University of Glasgow</w:t>
      </w:r>
      <w:r w:rsidR="006C11BD">
        <w:rPr>
          <w:rFonts w:asciiTheme="minorHAnsi" w:hAnsiTheme="minorHAnsi" w:cstheme="minorHAnsi"/>
        </w:rPr>
        <w:t xml:space="preserve"> (</w:t>
      </w:r>
      <w:r w:rsidRPr="00097BBC">
        <w:rPr>
          <w:rFonts w:asciiTheme="minorHAnsi" w:hAnsiTheme="minorHAnsi" w:cstheme="minorHAnsi"/>
        </w:rPr>
        <w:t>2018</w:t>
      </w:r>
      <w:r w:rsidRPr="00643BA0">
        <w:rPr>
          <w:rFonts w:asciiTheme="minorHAnsi" w:hAnsiTheme="minorHAnsi" w:cstheme="minorHAnsi"/>
        </w:rPr>
        <w:t>)</w:t>
      </w:r>
      <w:r w:rsidR="004B2688">
        <w:rPr>
          <w:rFonts w:asciiTheme="minorHAnsi" w:hAnsiTheme="minorHAnsi" w:cstheme="minorHAnsi"/>
        </w:rPr>
        <w:t xml:space="preserve">, </w:t>
      </w:r>
      <w:r w:rsidR="004B2688" w:rsidRPr="004B2688">
        <w:rPr>
          <w:rFonts w:asciiTheme="minorHAnsi" w:hAnsiTheme="minorHAnsi" w:cstheme="minorHAnsi"/>
        </w:rPr>
        <w:t>https://www.gla.ac.uk/media/Media_607547_smxx.pdf</w:t>
      </w:r>
      <w:r w:rsidRPr="00643BA0">
        <w:rPr>
          <w:rFonts w:asciiTheme="minorHAnsi" w:hAnsiTheme="minorHAnsi" w:cstheme="minorHAnsi"/>
        </w:rPr>
        <w:t>.</w:t>
      </w:r>
    </w:p>
  </w:footnote>
  <w:footnote w:id="25">
    <w:p w14:paraId="3D8F59CE" w14:textId="01E07CA0"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Exeter College Oxford, </w:t>
      </w:r>
      <w:r w:rsidRPr="00097BBC">
        <w:rPr>
          <w:rFonts w:asciiTheme="minorHAnsi" w:hAnsiTheme="minorHAnsi" w:cstheme="minorHAnsi"/>
          <w:i/>
          <w:iCs/>
        </w:rPr>
        <w:t>Exeter College and Legacies of Slavery</w:t>
      </w:r>
      <w:r w:rsidRPr="00097BBC">
        <w:rPr>
          <w:rFonts w:asciiTheme="minorHAnsi" w:hAnsiTheme="minorHAnsi" w:cstheme="minorHAnsi"/>
        </w:rPr>
        <w:t xml:space="preserve"> (2023</w:t>
      </w:r>
      <w:r w:rsidRPr="00643BA0">
        <w:rPr>
          <w:rFonts w:asciiTheme="minorHAnsi" w:hAnsiTheme="minorHAnsi" w:cstheme="minorHAnsi"/>
        </w:rPr>
        <w:t>)</w:t>
      </w:r>
      <w:r w:rsidR="00080EA1">
        <w:rPr>
          <w:rFonts w:asciiTheme="minorHAnsi" w:hAnsiTheme="minorHAnsi" w:cstheme="minorHAnsi"/>
        </w:rPr>
        <w:t xml:space="preserve">, </w:t>
      </w:r>
      <w:r w:rsidR="00080EA1" w:rsidRPr="00080EA1">
        <w:rPr>
          <w:rFonts w:asciiTheme="minorHAnsi" w:hAnsiTheme="minorHAnsi" w:cstheme="minorHAnsi"/>
        </w:rPr>
        <w:t>https://www.exeter.ox.ac.uk/documents/Exeter-College-and-the-Legacies-of-Slavery-Report.pdf</w:t>
      </w:r>
      <w:r w:rsidRPr="00643BA0">
        <w:rPr>
          <w:rFonts w:asciiTheme="minorHAnsi" w:hAnsiTheme="minorHAnsi" w:cstheme="minorHAnsi"/>
        </w:rPr>
        <w:t>.</w:t>
      </w:r>
      <w:r w:rsidRPr="00097BBC">
        <w:rPr>
          <w:rFonts w:asciiTheme="minorHAnsi" w:hAnsiTheme="minorHAnsi" w:cstheme="minorHAnsi"/>
        </w:rPr>
        <w:t xml:space="preserve"> See also the Balliol College report: Sebastian Raj Pender, </w:t>
      </w:r>
      <w:r w:rsidRPr="00097BBC">
        <w:rPr>
          <w:rFonts w:asciiTheme="minorHAnsi" w:hAnsiTheme="minorHAnsi" w:cstheme="minorHAnsi"/>
          <w:i/>
          <w:iCs/>
        </w:rPr>
        <w:t xml:space="preserve">Balliol and the Proceeds of Slavery Project Report </w:t>
      </w:r>
      <w:r w:rsidRPr="00097BBC">
        <w:rPr>
          <w:rFonts w:asciiTheme="minorHAnsi" w:hAnsiTheme="minorHAnsi" w:cstheme="minorHAnsi"/>
        </w:rPr>
        <w:t xml:space="preserve">(2021), </w:t>
      </w:r>
      <w:hyperlink r:id="rId32">
        <w:r w:rsidRPr="00097BBC">
          <w:rPr>
            <w:rStyle w:val="Hyperlink"/>
            <w:rFonts w:asciiTheme="minorHAnsi" w:hAnsiTheme="minorHAnsi" w:cstheme="minorHAnsi"/>
            <w:color w:val="auto"/>
          </w:rPr>
          <w:t>https://www.balliol.ox.ac.uk/sites/default/files/balliol_and_the_proceeds_of_slavery_-_project_report.pdf</w:t>
        </w:r>
      </w:hyperlink>
      <w:r w:rsidRPr="00097BBC">
        <w:rPr>
          <w:rFonts w:asciiTheme="minorHAnsi" w:hAnsiTheme="minorHAnsi" w:cstheme="minorHAnsi"/>
        </w:rPr>
        <w:t xml:space="preserve">. </w:t>
      </w:r>
    </w:p>
  </w:footnote>
  <w:footnote w:id="26">
    <w:p w14:paraId="247B5A0F" w14:textId="5E709042"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674E12E6" w:rsidRPr="00097BBC">
        <w:rPr>
          <w:rFonts w:asciiTheme="minorHAnsi" w:hAnsiTheme="minorHAnsi" w:cstheme="minorHAnsi"/>
        </w:rPr>
        <w:t xml:space="preserve"> </w:t>
      </w:r>
      <w:r w:rsidR="00C134C6" w:rsidRPr="00097BBC">
        <w:rPr>
          <w:rFonts w:asciiTheme="minorHAnsi" w:hAnsiTheme="minorHAnsi" w:cstheme="minorHAnsi"/>
        </w:rPr>
        <w:t>This is mentioned in passing in other reports. For example, i</w:t>
      </w:r>
      <w:r w:rsidR="007A5167" w:rsidRPr="00097BBC">
        <w:rPr>
          <w:rFonts w:asciiTheme="minorHAnsi" w:hAnsiTheme="minorHAnsi" w:cstheme="minorHAnsi"/>
        </w:rPr>
        <w:t>n</w:t>
      </w:r>
      <w:r w:rsidR="674E12E6" w:rsidRPr="00097BBC">
        <w:rPr>
          <w:rFonts w:asciiTheme="minorHAnsi" w:hAnsiTheme="minorHAnsi" w:cstheme="minorHAnsi"/>
        </w:rPr>
        <w:t xml:space="preserve"> section 4.2.6 of the Cambridge report</w:t>
      </w:r>
      <w:r w:rsidR="007A5167" w:rsidRPr="00097BBC">
        <w:rPr>
          <w:rFonts w:asciiTheme="minorHAnsi" w:hAnsiTheme="minorHAnsi" w:cstheme="minorHAnsi"/>
        </w:rPr>
        <w:t>,</w:t>
      </w:r>
      <w:r w:rsidR="674E12E6" w:rsidRPr="00097BBC">
        <w:rPr>
          <w:rFonts w:asciiTheme="minorHAnsi" w:hAnsiTheme="minorHAnsi" w:cstheme="minorHAnsi"/>
        </w:rPr>
        <w:t xml:space="preserve"> label</w:t>
      </w:r>
      <w:r w:rsidR="00E365EC" w:rsidRPr="00097BBC">
        <w:rPr>
          <w:rFonts w:asciiTheme="minorHAnsi" w:hAnsiTheme="minorHAnsi" w:cstheme="minorHAnsi"/>
        </w:rPr>
        <w:t>l</w:t>
      </w:r>
      <w:r w:rsidR="674E12E6" w:rsidRPr="00097BBC">
        <w:rPr>
          <w:rFonts w:asciiTheme="minorHAnsi" w:hAnsiTheme="minorHAnsi" w:cstheme="minorHAnsi"/>
        </w:rPr>
        <w:t xml:space="preserve">ed the </w:t>
      </w:r>
      <w:r w:rsidR="001A30C8">
        <w:rPr>
          <w:rFonts w:asciiTheme="minorHAnsi" w:hAnsiTheme="minorHAnsi" w:cstheme="minorHAnsi"/>
        </w:rPr>
        <w:t>‘</w:t>
      </w:r>
      <w:r w:rsidR="674E12E6" w:rsidRPr="00097BBC">
        <w:rPr>
          <w:rFonts w:asciiTheme="minorHAnsi" w:hAnsiTheme="minorHAnsi" w:cstheme="minorHAnsi"/>
        </w:rPr>
        <w:t>Role in intellectual underpinning of racism’</w:t>
      </w:r>
      <w:r w:rsidR="007A5167" w:rsidRPr="00097BBC">
        <w:rPr>
          <w:rFonts w:asciiTheme="minorHAnsi" w:hAnsiTheme="minorHAnsi" w:cstheme="minorHAnsi"/>
        </w:rPr>
        <w:t>,</w:t>
      </w:r>
      <w:r w:rsidR="674E12E6" w:rsidRPr="00097BBC">
        <w:rPr>
          <w:rFonts w:asciiTheme="minorHAnsi" w:hAnsiTheme="minorHAnsi" w:cstheme="minorHAnsi"/>
        </w:rPr>
        <w:t xml:space="preserve"> the authors write:</w:t>
      </w:r>
      <w:r w:rsidR="007A5167" w:rsidRPr="00097BBC">
        <w:rPr>
          <w:rFonts w:asciiTheme="minorHAnsi" w:hAnsiTheme="minorHAnsi" w:cstheme="minorHAnsi"/>
        </w:rPr>
        <w:t xml:space="preserve"> ‘</w:t>
      </w:r>
      <w:r w:rsidR="674E12E6" w:rsidRPr="00097BBC">
        <w:rPr>
          <w:rFonts w:asciiTheme="minorHAnsi" w:hAnsiTheme="minorHAnsi" w:cstheme="minorHAnsi"/>
        </w:rPr>
        <w:t>Throughout the period under discussion individuals at Cambridge were writing about race, and presenting ideas that were used to justify the enslavement and colonisation of other people. Our research has not focused on this in depth, but it is potentially very significant and deserves further research</w:t>
      </w:r>
      <w:r w:rsidR="00C134C6" w:rsidRPr="00097BBC">
        <w:rPr>
          <w:rFonts w:asciiTheme="minorHAnsi" w:hAnsiTheme="minorHAnsi" w:cstheme="minorHAnsi"/>
        </w:rPr>
        <w:t>’;</w:t>
      </w:r>
      <w:r w:rsidR="674E12E6" w:rsidRPr="00097BBC">
        <w:rPr>
          <w:rFonts w:asciiTheme="minorHAnsi" w:hAnsiTheme="minorHAnsi" w:cstheme="minorHAnsi"/>
        </w:rPr>
        <w:t xml:space="preserve"> </w:t>
      </w:r>
      <w:r w:rsidR="00542743" w:rsidRPr="00097BBC">
        <w:rPr>
          <w:rFonts w:asciiTheme="minorHAnsi" w:hAnsiTheme="minorHAnsi" w:cstheme="minorHAnsi"/>
        </w:rPr>
        <w:t>Adviso</w:t>
      </w:r>
      <w:r w:rsidR="00174FC2" w:rsidRPr="00097BBC">
        <w:rPr>
          <w:rFonts w:asciiTheme="minorHAnsi" w:hAnsiTheme="minorHAnsi" w:cstheme="minorHAnsi"/>
        </w:rPr>
        <w:t xml:space="preserve">ry </w:t>
      </w:r>
      <w:r w:rsidR="00A721AB" w:rsidRPr="00097BBC">
        <w:rPr>
          <w:rFonts w:asciiTheme="minorHAnsi" w:hAnsiTheme="minorHAnsi" w:cstheme="minorHAnsi"/>
        </w:rPr>
        <w:t>Group, ‘Legacies of Enslavement: Final Report’</w:t>
      </w:r>
      <w:r w:rsidR="0067568E">
        <w:rPr>
          <w:rFonts w:asciiTheme="minorHAnsi" w:hAnsiTheme="minorHAnsi" w:cstheme="minorHAnsi"/>
        </w:rPr>
        <w:t xml:space="preserve">, </w:t>
      </w:r>
      <w:r w:rsidR="674E12E6" w:rsidRPr="00097BBC">
        <w:rPr>
          <w:rFonts w:asciiTheme="minorHAnsi" w:hAnsiTheme="minorHAnsi" w:cstheme="minorHAnsi"/>
        </w:rPr>
        <w:t>University of Cambridge</w:t>
      </w:r>
      <w:r w:rsidR="0067568E">
        <w:rPr>
          <w:rFonts w:asciiTheme="minorHAnsi" w:hAnsiTheme="minorHAnsi" w:cstheme="minorHAnsi"/>
        </w:rPr>
        <w:t xml:space="preserve"> (</w:t>
      </w:r>
      <w:r w:rsidR="002D5F21" w:rsidRPr="00097BBC">
        <w:rPr>
          <w:rFonts w:asciiTheme="minorHAnsi" w:hAnsiTheme="minorHAnsi" w:cstheme="minorHAnsi"/>
        </w:rPr>
        <w:t>2022</w:t>
      </w:r>
      <w:r w:rsidR="00F31EA9">
        <w:rPr>
          <w:rFonts w:asciiTheme="minorHAnsi" w:hAnsiTheme="minorHAnsi" w:cstheme="minorHAnsi"/>
        </w:rPr>
        <w:t>)</w:t>
      </w:r>
      <w:r w:rsidR="002D5F21" w:rsidRPr="00097BBC">
        <w:rPr>
          <w:rFonts w:asciiTheme="minorHAnsi" w:hAnsiTheme="minorHAnsi" w:cstheme="minorHAnsi"/>
        </w:rPr>
        <w:t xml:space="preserve">, </w:t>
      </w:r>
      <w:hyperlink r:id="rId33" w:history="1">
        <w:r w:rsidR="002D5F21" w:rsidRPr="00097BBC">
          <w:rPr>
            <w:rStyle w:val="Hyperlink"/>
            <w:rFonts w:asciiTheme="minorHAnsi" w:hAnsiTheme="minorHAnsi" w:cstheme="minorHAnsi"/>
          </w:rPr>
          <w:t>https://www.cam.ac.uk/about-the-university/advisory-group-on-legacies-of-enslavement-final-report</w:t>
        </w:r>
      </w:hyperlink>
      <w:r w:rsidR="674E12E6" w:rsidRPr="00097BBC">
        <w:rPr>
          <w:rFonts w:asciiTheme="minorHAnsi" w:hAnsiTheme="minorHAnsi" w:cstheme="minorHAnsi"/>
        </w:rPr>
        <w:t>.</w:t>
      </w:r>
      <w:r w:rsidR="002D5F21" w:rsidRPr="00097BBC">
        <w:rPr>
          <w:rFonts w:asciiTheme="minorHAnsi" w:hAnsiTheme="minorHAnsi" w:cstheme="minorHAnsi"/>
        </w:rPr>
        <w:t xml:space="preserve"> Harvard University also has a </w:t>
      </w:r>
      <w:r w:rsidR="0034077B" w:rsidRPr="00097BBC">
        <w:rPr>
          <w:rFonts w:asciiTheme="minorHAnsi" w:hAnsiTheme="minorHAnsi" w:cstheme="minorHAnsi"/>
        </w:rPr>
        <w:t xml:space="preserve">chapter on ‘Legacies of Slavery in Scholarship: Race Science’, </w:t>
      </w:r>
      <w:r w:rsidR="005A362A" w:rsidRPr="00097BBC">
        <w:rPr>
          <w:rFonts w:asciiTheme="minorHAnsi" w:hAnsiTheme="minorHAnsi" w:cstheme="minorHAnsi"/>
        </w:rPr>
        <w:t xml:space="preserve">in </w:t>
      </w:r>
      <w:r w:rsidR="005A362A" w:rsidRPr="004868A0">
        <w:rPr>
          <w:rFonts w:asciiTheme="minorHAnsi" w:hAnsiTheme="minorHAnsi" w:cstheme="minorHAnsi"/>
          <w:i/>
          <w:iCs/>
        </w:rPr>
        <w:t>Harvard &amp; the Legacy of Slavery</w:t>
      </w:r>
      <w:r w:rsidR="005770CB">
        <w:rPr>
          <w:rFonts w:asciiTheme="minorHAnsi" w:hAnsiTheme="minorHAnsi" w:cstheme="minorHAnsi"/>
        </w:rPr>
        <w:t xml:space="preserve"> (</w:t>
      </w:r>
      <w:r w:rsidR="00072EC4" w:rsidRPr="00097BBC">
        <w:rPr>
          <w:rFonts w:asciiTheme="minorHAnsi" w:hAnsiTheme="minorHAnsi" w:cstheme="minorHAnsi"/>
        </w:rPr>
        <w:t>2022</w:t>
      </w:r>
      <w:r w:rsidR="005770CB">
        <w:rPr>
          <w:rFonts w:asciiTheme="minorHAnsi" w:hAnsiTheme="minorHAnsi" w:cstheme="minorHAnsi"/>
        </w:rPr>
        <w:t>)</w:t>
      </w:r>
      <w:r w:rsidR="00072EC4" w:rsidRPr="00097BBC">
        <w:rPr>
          <w:rFonts w:asciiTheme="minorHAnsi" w:hAnsiTheme="minorHAnsi" w:cstheme="minorHAnsi"/>
        </w:rPr>
        <w:t xml:space="preserve">, </w:t>
      </w:r>
      <w:hyperlink r:id="rId34" w:history="1">
        <w:r w:rsidR="00072EC4" w:rsidRPr="00097BBC">
          <w:rPr>
            <w:rStyle w:val="Hyperlink"/>
            <w:rFonts w:asciiTheme="minorHAnsi" w:hAnsiTheme="minorHAnsi" w:cstheme="minorHAnsi"/>
          </w:rPr>
          <w:t>https://legacyofslavery.harvard.edu/report/legacies-of-slavery-in-scholarship-race-science</w:t>
        </w:r>
      </w:hyperlink>
      <w:r w:rsidR="005A362A" w:rsidRPr="00097BBC">
        <w:rPr>
          <w:rFonts w:asciiTheme="minorHAnsi" w:hAnsiTheme="minorHAnsi" w:cstheme="minorHAnsi"/>
        </w:rPr>
        <w:t>.</w:t>
      </w:r>
      <w:r w:rsidR="0034077B" w:rsidRPr="00097BBC">
        <w:rPr>
          <w:rFonts w:asciiTheme="minorHAnsi" w:hAnsiTheme="minorHAnsi" w:cstheme="minorHAnsi"/>
        </w:rPr>
        <w:t xml:space="preserve"> </w:t>
      </w:r>
      <w:r w:rsidR="674E12E6" w:rsidRPr="00097BBC">
        <w:rPr>
          <w:rFonts w:asciiTheme="minorHAnsi" w:hAnsiTheme="minorHAnsi" w:cstheme="minorHAnsi"/>
        </w:rPr>
        <w:t xml:space="preserve"> </w:t>
      </w:r>
    </w:p>
  </w:footnote>
  <w:footnote w:id="27">
    <w:p w14:paraId="2B3ABCD4" w14:textId="0749ED45" w:rsidR="000A4A19" w:rsidRPr="00097BBC" w:rsidRDefault="000A4A19"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There are some examples of other UK institutions that have looked more into colonialism, including: Lioba Hirsch, ‘LSHTM and Colonialism: A Report on the Colonial History of the London School of Hygiene &amp; Tropical Medicine (1899–c.1960)’</w:t>
      </w:r>
      <w:r w:rsidR="003E4D15">
        <w:rPr>
          <w:rFonts w:asciiTheme="minorHAnsi" w:hAnsiTheme="minorHAnsi" w:cstheme="minorHAnsi"/>
        </w:rPr>
        <w:t>,</w:t>
      </w:r>
      <w:r w:rsidR="001A30C8">
        <w:rPr>
          <w:rFonts w:asciiTheme="minorHAnsi" w:hAnsiTheme="minorHAnsi" w:cstheme="minorHAnsi"/>
        </w:rPr>
        <w:t xml:space="preserve"> </w:t>
      </w:r>
      <w:r w:rsidRPr="00097BBC">
        <w:rPr>
          <w:rFonts w:asciiTheme="minorHAnsi" w:hAnsiTheme="minorHAnsi" w:cstheme="minorHAnsi"/>
        </w:rPr>
        <w:t>London School of Hygiene &amp; Tropical Medicine</w:t>
      </w:r>
      <w:r w:rsidR="003E4D15">
        <w:rPr>
          <w:rFonts w:asciiTheme="minorHAnsi" w:hAnsiTheme="minorHAnsi" w:cstheme="minorHAnsi"/>
        </w:rPr>
        <w:t xml:space="preserve"> (</w:t>
      </w:r>
      <w:r w:rsidRPr="00097BBC">
        <w:rPr>
          <w:rFonts w:asciiTheme="minorHAnsi" w:hAnsiTheme="minorHAnsi" w:cstheme="minorHAnsi"/>
        </w:rPr>
        <w:t>2022</w:t>
      </w:r>
      <w:r w:rsidR="00F31EA9">
        <w:rPr>
          <w:rFonts w:asciiTheme="minorHAnsi" w:hAnsiTheme="minorHAnsi" w:cstheme="minorHAnsi"/>
        </w:rPr>
        <w:t>)</w:t>
      </w:r>
      <w:r w:rsidRPr="00097BBC">
        <w:rPr>
          <w:rFonts w:asciiTheme="minorHAnsi" w:hAnsiTheme="minorHAnsi" w:cstheme="minorHAnsi"/>
        </w:rPr>
        <w:t xml:space="preserve">, </w:t>
      </w:r>
      <w:hyperlink r:id="rId35" w:history="1">
        <w:r w:rsidRPr="00097BBC">
          <w:rPr>
            <w:rStyle w:val="Hyperlink"/>
            <w:rFonts w:asciiTheme="minorHAnsi" w:hAnsiTheme="minorHAnsi" w:cstheme="minorHAnsi"/>
          </w:rPr>
          <w:t>https://researchonline.lshtm.ac.uk/id/eprint/4666958/</w:t>
        </w:r>
      </w:hyperlink>
      <w:r w:rsidR="00E365EC" w:rsidRPr="00097BBC">
        <w:rPr>
          <w:rFonts w:asciiTheme="minorHAnsi" w:hAnsiTheme="minorHAnsi" w:cstheme="minorHAnsi"/>
        </w:rPr>
        <w:t xml:space="preserve">. </w:t>
      </w:r>
      <w:r w:rsidR="00E365EC" w:rsidRPr="004C778C">
        <w:rPr>
          <w:rFonts w:asciiTheme="minorHAnsi" w:hAnsiTheme="minorHAnsi" w:cstheme="minorHAnsi"/>
        </w:rPr>
        <w:t xml:space="preserve">See also Historic Environment Scotland, ‘Surveying and Analysing Connections between Properties in Care and the British Empire, c.1600–1997’, </w:t>
      </w:r>
      <w:r w:rsidR="005E1EFB" w:rsidRPr="004C778C">
        <w:rPr>
          <w:rFonts w:asciiTheme="minorHAnsi" w:hAnsiTheme="minorHAnsi" w:cstheme="minorHAnsi"/>
        </w:rPr>
        <w:t xml:space="preserve">19 February 2024, </w:t>
      </w:r>
      <w:hyperlink r:id="rId36" w:history="1">
        <w:r w:rsidR="005E1EFB" w:rsidRPr="004C778C">
          <w:rPr>
            <w:rStyle w:val="Hyperlink"/>
            <w:rFonts w:asciiTheme="minorHAnsi" w:hAnsiTheme="minorHAnsi" w:cstheme="minorHAnsi"/>
          </w:rPr>
          <w:t>https://www.historicenvironment.scot/archives-and-research/publications/publication/?publicationId=e192ea9f-0d7e-4745-b499-b0fb010a167a</w:t>
        </w:r>
      </w:hyperlink>
      <w:r w:rsidR="005E1EFB" w:rsidRPr="004C778C">
        <w:rPr>
          <w:rFonts w:asciiTheme="minorHAnsi" w:hAnsiTheme="minorHAnsi" w:cstheme="minorHAnsi"/>
        </w:rPr>
        <w:t>.</w:t>
      </w:r>
    </w:p>
  </w:footnote>
  <w:footnote w:id="28">
    <w:p w14:paraId="4348F1C4" w14:textId="3AD93B7C" w:rsidR="00485375" w:rsidRPr="00097BBC" w:rsidRDefault="00485375"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643BA0">
        <w:rPr>
          <w:rFonts w:asciiTheme="minorHAnsi" w:hAnsiTheme="minorHAnsi" w:cstheme="minorHAnsi"/>
        </w:rPr>
        <w:t xml:space="preserve"> </w:t>
      </w:r>
      <w:r w:rsidR="00B4185B">
        <w:rPr>
          <w:rFonts w:asciiTheme="minorHAnsi" w:hAnsiTheme="minorHAnsi" w:cstheme="minorHAnsi"/>
        </w:rPr>
        <w:t>REAR</w:t>
      </w:r>
      <w:r w:rsidRPr="00643BA0">
        <w:rPr>
          <w:rFonts w:asciiTheme="minorHAnsi" w:hAnsiTheme="minorHAnsi" w:cstheme="minorHAnsi"/>
        </w:rPr>
        <w:t xml:space="preserve">, </w:t>
      </w:r>
      <w:r w:rsidR="00D26D06" w:rsidRPr="00643BA0">
        <w:rPr>
          <w:rFonts w:asciiTheme="minorHAnsi" w:hAnsiTheme="minorHAnsi" w:cstheme="minorHAnsi"/>
        </w:rPr>
        <w:t>‘Action Plan for 2020/21’</w:t>
      </w:r>
      <w:r w:rsidR="00911E5A">
        <w:rPr>
          <w:rFonts w:asciiTheme="minorHAnsi" w:hAnsiTheme="minorHAnsi" w:cstheme="minorHAnsi"/>
        </w:rPr>
        <w:t>.</w:t>
      </w:r>
    </w:p>
  </w:footnote>
  <w:footnote w:id="29">
    <w:p w14:paraId="6C4E3AE9" w14:textId="3670447E" w:rsidR="006B6CE2" w:rsidRPr="00097BBC" w:rsidRDefault="006B6CE2"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911E5A">
        <w:rPr>
          <w:rFonts w:asciiTheme="minorHAnsi" w:hAnsiTheme="minorHAnsi" w:cstheme="minorHAnsi"/>
        </w:rPr>
        <w:t>REAR</w:t>
      </w:r>
      <w:r w:rsidR="00911E5A" w:rsidRPr="00643BA0">
        <w:rPr>
          <w:rFonts w:asciiTheme="minorHAnsi" w:hAnsiTheme="minorHAnsi" w:cstheme="minorHAnsi"/>
        </w:rPr>
        <w:t>, ‘Action Plan for 2020/21’</w:t>
      </w:r>
      <w:r w:rsidR="00911E5A">
        <w:rPr>
          <w:rFonts w:asciiTheme="minorHAnsi" w:hAnsiTheme="minorHAnsi" w:cstheme="minorHAnsi"/>
        </w:rPr>
        <w:t>.</w:t>
      </w:r>
      <w:r w:rsidRPr="00097BBC">
        <w:rPr>
          <w:rFonts w:asciiTheme="minorHAnsi" w:hAnsiTheme="minorHAnsi" w:cstheme="minorHAnsi"/>
        </w:rPr>
        <w:t xml:space="preserve"> </w:t>
      </w:r>
    </w:p>
  </w:footnote>
  <w:footnote w:id="30">
    <w:p w14:paraId="1036E147" w14:textId="0C0055C4" w:rsidR="006B6CE2" w:rsidRPr="00097BBC" w:rsidRDefault="006B6CE2"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Rowena Arshad, ‘Thematic Review 2018–19: Black and Minority Ethnic Students. Final Report’, University of Edinburgh</w:t>
      </w:r>
      <w:r w:rsidR="00B60A0E">
        <w:rPr>
          <w:rFonts w:asciiTheme="minorHAnsi" w:hAnsiTheme="minorHAnsi" w:cstheme="minorHAnsi"/>
        </w:rPr>
        <w:t xml:space="preserve"> (</w:t>
      </w:r>
      <w:r w:rsidRPr="00097BBC">
        <w:rPr>
          <w:rFonts w:asciiTheme="minorHAnsi" w:hAnsiTheme="minorHAnsi" w:cstheme="minorHAnsi"/>
        </w:rPr>
        <w:t>2019</w:t>
      </w:r>
      <w:r w:rsidR="00B60A0E">
        <w:rPr>
          <w:rFonts w:asciiTheme="minorHAnsi" w:hAnsiTheme="minorHAnsi" w:cstheme="minorHAnsi"/>
        </w:rPr>
        <w:t>)</w:t>
      </w:r>
      <w:r w:rsidRPr="00643BA0">
        <w:rPr>
          <w:rFonts w:asciiTheme="minorHAnsi" w:hAnsiTheme="minorHAnsi" w:cstheme="minorHAnsi"/>
        </w:rPr>
        <w:t>,</w:t>
      </w:r>
      <w:r w:rsidRPr="00097BBC">
        <w:rPr>
          <w:rFonts w:asciiTheme="minorHAnsi" w:hAnsiTheme="minorHAnsi" w:cstheme="minorHAnsi"/>
        </w:rPr>
        <w:t xml:space="preserve"> </w:t>
      </w:r>
      <w:hyperlink r:id="rId37" w:history="1">
        <w:r w:rsidRPr="00097BBC">
          <w:rPr>
            <w:rStyle w:val="Hyperlink"/>
            <w:rFonts w:asciiTheme="minorHAnsi" w:hAnsiTheme="minorHAnsi" w:cstheme="minorHAnsi"/>
          </w:rPr>
          <w:t>https://edwebcontent.ed.ac.uk/sites/default/files/atoms/files/thematicreview2018-19-bme-students-finalreport.pdf</w:t>
        </w:r>
      </w:hyperlink>
      <w:r w:rsidRPr="00097BBC">
        <w:rPr>
          <w:rFonts w:asciiTheme="minorHAnsi" w:hAnsiTheme="minorHAnsi" w:cstheme="minorHAnsi"/>
        </w:rPr>
        <w:t>, p. 1.</w:t>
      </w:r>
    </w:p>
  </w:footnote>
  <w:footnote w:id="31">
    <w:p w14:paraId="246D122C" w14:textId="061C99CA" w:rsidR="006B6CE2" w:rsidRPr="00097BBC" w:rsidRDefault="006B6CE2"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Arshad,</w:t>
      </w:r>
      <w:r w:rsidR="00661AE8">
        <w:rPr>
          <w:rFonts w:asciiTheme="minorHAnsi" w:hAnsiTheme="minorHAnsi" w:cstheme="minorHAnsi"/>
        </w:rPr>
        <w:t xml:space="preserve"> ‘Thematic Review’,</w:t>
      </w:r>
      <w:r w:rsidRPr="00097BBC">
        <w:rPr>
          <w:rFonts w:asciiTheme="minorHAnsi" w:hAnsiTheme="minorHAnsi" w:cstheme="minorHAnsi"/>
        </w:rPr>
        <w:t xml:space="preserve"> pp. 8–10.</w:t>
      </w:r>
    </w:p>
  </w:footnote>
  <w:footnote w:id="32">
    <w:p w14:paraId="1F13AC16" w14:textId="1BEDB144" w:rsidR="00C84AB4" w:rsidRPr="00EE201F" w:rsidRDefault="00C84AB4" w:rsidP="00EE201F">
      <w:pPr>
        <w:rPr>
          <w:rFonts w:cstheme="minorHAnsi"/>
          <w:sz w:val="20"/>
          <w:szCs w:val="20"/>
          <w:shd w:val="clear" w:color="auto" w:fill="FFFFFF"/>
        </w:rPr>
      </w:pPr>
      <w:r w:rsidRPr="00097BBC">
        <w:rPr>
          <w:rStyle w:val="FootnoteReference"/>
          <w:rFonts w:cstheme="minorHAnsi"/>
          <w:sz w:val="20"/>
          <w:szCs w:val="20"/>
        </w:rPr>
        <w:footnoteRef/>
      </w:r>
      <w:r w:rsidRPr="00097BBC">
        <w:rPr>
          <w:rFonts w:cstheme="minorHAnsi"/>
          <w:sz w:val="20"/>
          <w:szCs w:val="20"/>
        </w:rPr>
        <w:t xml:space="preserve"> </w:t>
      </w:r>
      <w:r w:rsidR="008904BE" w:rsidRPr="00097BBC">
        <w:rPr>
          <w:rFonts w:cstheme="minorHAnsi"/>
          <w:sz w:val="20"/>
          <w:szCs w:val="20"/>
          <w:shd w:val="clear" w:color="auto" w:fill="FFFFFF"/>
        </w:rPr>
        <w:t xml:space="preserve">Budd L. Hall and Rajesh Tandon, ‘Decolonization of Knowledge, Epistemicide, Participatory Research and Higher Education’, </w:t>
      </w:r>
      <w:r w:rsidR="008904BE" w:rsidRPr="00097BBC">
        <w:rPr>
          <w:rFonts w:cstheme="minorHAnsi"/>
          <w:i/>
          <w:iCs/>
          <w:sz w:val="20"/>
          <w:szCs w:val="20"/>
          <w:shd w:val="clear" w:color="auto" w:fill="FFFFFF"/>
        </w:rPr>
        <w:t>Research for All</w:t>
      </w:r>
      <w:r w:rsidR="008904BE" w:rsidRPr="00097BBC">
        <w:rPr>
          <w:rFonts w:cstheme="minorHAnsi"/>
          <w:sz w:val="20"/>
          <w:szCs w:val="20"/>
          <w:shd w:val="clear" w:color="auto" w:fill="FFFFFF"/>
        </w:rPr>
        <w:t>, 1 (2017), 6–19.</w:t>
      </w:r>
    </w:p>
  </w:footnote>
  <w:footnote w:id="33">
    <w:p w14:paraId="4C021C06" w14:textId="0C2D7727" w:rsidR="00E10795" w:rsidRPr="00097BBC" w:rsidRDefault="00E10795"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United Nations Human Rights Office of the High Commissioner</w:t>
      </w:r>
      <w:r w:rsidR="00B1397C">
        <w:rPr>
          <w:rFonts w:asciiTheme="minorHAnsi" w:hAnsiTheme="minorHAnsi" w:cstheme="minorHAnsi"/>
        </w:rPr>
        <w:t xml:space="preserve"> (</w:t>
      </w:r>
      <w:r w:rsidR="00B1397C" w:rsidRPr="00B04460">
        <w:rPr>
          <w:rFonts w:asciiTheme="minorHAnsi" w:hAnsiTheme="minorHAnsi" w:cstheme="minorHAnsi"/>
        </w:rPr>
        <w:t>OHCHR)</w:t>
      </w:r>
      <w:r w:rsidRPr="00643BA0">
        <w:rPr>
          <w:rFonts w:asciiTheme="minorHAnsi" w:hAnsiTheme="minorHAnsi" w:cstheme="minorHAnsi"/>
        </w:rPr>
        <w:t>,</w:t>
      </w:r>
      <w:r w:rsidRPr="00097BBC">
        <w:rPr>
          <w:rFonts w:asciiTheme="minorHAnsi" w:hAnsiTheme="minorHAnsi" w:cstheme="minorHAnsi"/>
        </w:rPr>
        <w:t xml:space="preserve"> ‘Basic Principles and Guidelines on the Right to a Remedy and Reparation for Victims of Gross Violations of International Human Rights Law and Serious Violations of International Humanitarian Law’, 15 December 2005, </w:t>
      </w:r>
      <w:hyperlink r:id="rId38" w:history="1">
        <w:r w:rsidRPr="00097BBC">
          <w:rPr>
            <w:rStyle w:val="Hyperlink"/>
            <w:rFonts w:asciiTheme="minorHAnsi" w:hAnsiTheme="minorHAnsi" w:cstheme="minorHAnsi"/>
          </w:rPr>
          <w:t>https://www.ohchr.org/en/instruments-mechanisms/instruments/basic-principles-and-guidelines-right-remedy-and-reparation</w:t>
        </w:r>
      </w:hyperlink>
      <w:r w:rsidRPr="00097BBC">
        <w:rPr>
          <w:rFonts w:asciiTheme="minorHAnsi" w:hAnsiTheme="minorHAnsi" w:cstheme="minorHAnsi"/>
        </w:rPr>
        <w:t xml:space="preserve">. </w:t>
      </w:r>
    </w:p>
  </w:footnote>
  <w:footnote w:id="34">
    <w:p w14:paraId="0BCA31CC" w14:textId="20DF6307" w:rsidR="00E205CD" w:rsidRPr="00097BBC" w:rsidRDefault="00E205CD"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ED038B">
        <w:rPr>
          <w:rFonts w:asciiTheme="minorHAnsi" w:hAnsiTheme="minorHAnsi" w:cstheme="minorHAnsi"/>
        </w:rPr>
        <w:t>OH</w:t>
      </w:r>
      <w:r w:rsidR="008061C8">
        <w:rPr>
          <w:rFonts w:asciiTheme="minorHAnsi" w:hAnsiTheme="minorHAnsi" w:cstheme="minorHAnsi"/>
        </w:rPr>
        <w:t>CHR</w:t>
      </w:r>
      <w:r w:rsidRPr="00097BBC">
        <w:rPr>
          <w:rFonts w:asciiTheme="minorHAnsi" w:hAnsiTheme="minorHAnsi" w:cstheme="minorHAnsi"/>
        </w:rPr>
        <w:t>, ‘Basic Principles</w:t>
      </w:r>
      <w:r w:rsidR="008061C8">
        <w:rPr>
          <w:rFonts w:asciiTheme="minorHAnsi" w:hAnsiTheme="minorHAnsi" w:cstheme="minorHAnsi"/>
        </w:rPr>
        <w:t>’</w:t>
      </w:r>
      <w:r w:rsidRPr="00097BBC">
        <w:rPr>
          <w:rFonts w:asciiTheme="minorHAnsi" w:hAnsiTheme="minorHAnsi" w:cstheme="minorHAnsi"/>
        </w:rPr>
        <w:t xml:space="preserve">. </w:t>
      </w:r>
    </w:p>
  </w:footnote>
  <w:footnote w:id="35">
    <w:p w14:paraId="43CB1E7E" w14:textId="0663018E" w:rsidR="008A075E" w:rsidRPr="00097BBC" w:rsidRDefault="008A075E"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eastAsia="Calibri" w:hAnsiTheme="minorHAnsi" w:cstheme="minorHAnsi"/>
          <w:color w:val="000000" w:themeColor="text1"/>
          <w:lang w:eastAsia="en-GB"/>
        </w:rPr>
        <w:t>Th</w:t>
      </w:r>
      <w:r w:rsidR="00767B71">
        <w:rPr>
          <w:rFonts w:asciiTheme="minorHAnsi" w:eastAsia="Calibri" w:hAnsiTheme="minorHAnsi" w:cstheme="minorHAnsi"/>
          <w:color w:val="000000" w:themeColor="text1"/>
          <w:lang w:eastAsia="en-GB"/>
        </w:rPr>
        <w:t>e</w:t>
      </w:r>
      <w:r w:rsidRPr="00097BBC">
        <w:rPr>
          <w:rFonts w:asciiTheme="minorHAnsi" w:eastAsia="Calibri" w:hAnsiTheme="minorHAnsi" w:cstheme="minorHAnsi"/>
          <w:color w:val="000000" w:themeColor="text1"/>
          <w:lang w:eastAsia="en-GB"/>
        </w:rPr>
        <w:t xml:space="preserve"> work </w:t>
      </w:r>
      <w:r w:rsidR="00767B71">
        <w:rPr>
          <w:rFonts w:asciiTheme="minorHAnsi" w:eastAsia="Calibri" w:hAnsiTheme="minorHAnsi" w:cstheme="minorHAnsi"/>
          <w:color w:val="000000" w:themeColor="text1"/>
          <w:lang w:eastAsia="en-GB"/>
        </w:rPr>
        <w:t xml:space="preserve">for research strand 1 </w:t>
      </w:r>
      <w:r w:rsidRPr="00097BBC">
        <w:rPr>
          <w:rFonts w:asciiTheme="minorHAnsi" w:eastAsia="Calibri" w:hAnsiTheme="minorHAnsi" w:cstheme="minorHAnsi"/>
          <w:color w:val="000000" w:themeColor="text1"/>
          <w:lang w:eastAsia="en-GB"/>
        </w:rPr>
        <w:t>was conducted by research fellow, Simon Buck</w:t>
      </w:r>
      <w:r w:rsidR="009F3894">
        <w:rPr>
          <w:rFonts w:asciiTheme="minorHAnsi" w:eastAsia="Calibri" w:hAnsiTheme="minorHAnsi" w:cstheme="minorHAnsi"/>
          <w:color w:val="000000" w:themeColor="text1"/>
          <w:lang w:eastAsia="en-GB"/>
        </w:rPr>
        <w:t>. The work</w:t>
      </w:r>
      <w:r w:rsidR="00767B71">
        <w:rPr>
          <w:rFonts w:asciiTheme="minorHAnsi" w:eastAsia="Calibri" w:hAnsiTheme="minorHAnsi" w:cstheme="minorHAnsi"/>
          <w:color w:val="000000" w:themeColor="text1"/>
          <w:lang w:eastAsia="en-GB"/>
        </w:rPr>
        <w:t xml:space="preserve"> for research strand</w:t>
      </w:r>
      <w:r w:rsidR="009F3894">
        <w:rPr>
          <w:rFonts w:asciiTheme="minorHAnsi" w:eastAsia="Calibri" w:hAnsiTheme="minorHAnsi" w:cstheme="minorHAnsi"/>
          <w:color w:val="000000" w:themeColor="text1"/>
          <w:lang w:eastAsia="en-GB"/>
        </w:rPr>
        <w:t xml:space="preserve"> 2 was conducted by research fellow,</w:t>
      </w:r>
      <w:r w:rsidRPr="00097BBC">
        <w:rPr>
          <w:rFonts w:asciiTheme="minorHAnsi" w:eastAsia="Calibri" w:hAnsiTheme="minorHAnsi" w:cstheme="minorHAnsi"/>
          <w:color w:val="000000" w:themeColor="text1"/>
          <w:lang w:eastAsia="en-GB"/>
        </w:rPr>
        <w:t xml:space="preserve"> Ian Stewart</w:t>
      </w:r>
      <w:r w:rsidR="009F3894">
        <w:rPr>
          <w:rFonts w:asciiTheme="minorHAnsi" w:eastAsia="Calibri" w:hAnsiTheme="minorHAnsi" w:cstheme="minorHAnsi"/>
          <w:color w:val="000000" w:themeColor="text1"/>
          <w:lang w:eastAsia="en-GB"/>
        </w:rPr>
        <w:t xml:space="preserve">. </w:t>
      </w:r>
      <w:r w:rsidR="00B85973">
        <w:rPr>
          <w:rFonts w:asciiTheme="minorHAnsi" w:eastAsia="Calibri" w:hAnsiTheme="minorHAnsi" w:cstheme="minorHAnsi"/>
          <w:color w:val="000000" w:themeColor="text1"/>
          <w:lang w:eastAsia="en-GB"/>
        </w:rPr>
        <w:t>The</w:t>
      </w:r>
      <w:r w:rsidR="009F3894">
        <w:rPr>
          <w:rFonts w:asciiTheme="minorHAnsi" w:eastAsia="Calibri" w:hAnsiTheme="minorHAnsi" w:cstheme="minorHAnsi"/>
          <w:color w:val="000000" w:themeColor="text1"/>
          <w:lang w:eastAsia="en-GB"/>
        </w:rPr>
        <w:t xml:space="preserve"> work for research strand 3 was conducted by</w:t>
      </w:r>
      <w:r w:rsidRPr="00097BBC">
        <w:rPr>
          <w:rFonts w:asciiTheme="minorHAnsi" w:eastAsia="Calibri" w:hAnsiTheme="minorHAnsi" w:cstheme="minorHAnsi"/>
          <w:color w:val="000000" w:themeColor="text1"/>
          <w:lang w:eastAsia="en-GB"/>
        </w:rPr>
        <w:t xml:space="preserve"> two </w:t>
      </w:r>
      <w:r w:rsidR="00A27530">
        <w:rPr>
          <w:rFonts w:asciiTheme="minorHAnsi" w:eastAsia="Calibri" w:hAnsiTheme="minorHAnsi" w:cstheme="minorHAnsi"/>
          <w:color w:val="000000" w:themeColor="text1"/>
          <w:lang w:eastAsia="en-GB"/>
        </w:rPr>
        <w:t>University of Edinburgh</w:t>
      </w:r>
      <w:r w:rsidRPr="00097BBC">
        <w:rPr>
          <w:rFonts w:asciiTheme="minorHAnsi" w:eastAsia="Calibri" w:hAnsiTheme="minorHAnsi" w:cstheme="minorHAnsi"/>
          <w:color w:val="000000" w:themeColor="text1"/>
          <w:lang w:eastAsia="en-GB"/>
        </w:rPr>
        <w:t xml:space="preserve"> academics, Shaira Vadasaria and Nicola Perugini. </w:t>
      </w:r>
    </w:p>
  </w:footnote>
  <w:footnote w:id="36">
    <w:p w14:paraId="03F31840" w14:textId="0F88D053" w:rsidR="00387DED" w:rsidRPr="00097BBC" w:rsidRDefault="00387DED"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Many of these sections have been or are being transformed into chapters and journal articles. A chapter on the </w:t>
      </w:r>
      <w:r w:rsidRPr="00097BBC">
        <w:rPr>
          <w:rFonts w:asciiTheme="minorHAnsi" w:hAnsiTheme="minorHAnsi" w:cstheme="minorHAnsi"/>
          <w:color w:val="000000"/>
        </w:rPr>
        <w:t>Darien scheme (research finding 2) has been accepted for publication and will be coming out in</w:t>
      </w:r>
      <w:r w:rsidR="006A4B07">
        <w:rPr>
          <w:rFonts w:asciiTheme="minorHAnsi" w:hAnsiTheme="minorHAnsi" w:cstheme="minorHAnsi"/>
          <w:color w:val="000000"/>
        </w:rPr>
        <w:t xml:space="preserve"> the Institute for Advanced Studies in the Humanities’</w:t>
      </w:r>
      <w:r w:rsidRPr="00097BBC">
        <w:rPr>
          <w:rFonts w:asciiTheme="minorHAnsi" w:hAnsiTheme="minorHAnsi" w:cstheme="minorHAnsi"/>
          <w:color w:val="000000"/>
        </w:rPr>
        <w:t xml:space="preserve"> second volume on decoloniality. Two journal articles have been submitted and are under review: one on botany (research finding 3) with the </w:t>
      </w:r>
      <w:r w:rsidRPr="00097BBC">
        <w:rPr>
          <w:rFonts w:asciiTheme="minorHAnsi" w:hAnsiTheme="minorHAnsi" w:cstheme="minorHAnsi"/>
          <w:i/>
          <w:iCs/>
          <w:color w:val="000000"/>
        </w:rPr>
        <w:t>Archives of Natural History</w:t>
      </w:r>
      <w:r w:rsidRPr="00097BBC">
        <w:rPr>
          <w:rFonts w:asciiTheme="minorHAnsi" w:hAnsiTheme="minorHAnsi" w:cstheme="minorHAnsi"/>
          <w:color w:val="000000"/>
        </w:rPr>
        <w:t>; another on</w:t>
      </w:r>
      <w:r w:rsidRPr="00097BBC">
        <w:rPr>
          <w:rFonts w:asciiTheme="minorHAnsi" w:hAnsiTheme="minorHAnsi" w:cstheme="minorHAnsi"/>
          <w:i/>
          <w:iCs/>
          <w:color w:val="000000"/>
        </w:rPr>
        <w:t xml:space="preserve"> </w:t>
      </w:r>
      <w:r w:rsidRPr="00097BBC">
        <w:rPr>
          <w:rFonts w:asciiTheme="minorHAnsi" w:hAnsiTheme="minorHAnsi" w:cstheme="minorHAnsi"/>
          <w:color w:val="000000"/>
        </w:rPr>
        <w:t xml:space="preserve">medical philanthropy (research finding 4) with </w:t>
      </w:r>
      <w:r w:rsidRPr="00097BBC">
        <w:rPr>
          <w:rFonts w:asciiTheme="minorHAnsi" w:hAnsiTheme="minorHAnsi" w:cstheme="minorHAnsi"/>
          <w:i/>
          <w:iCs/>
          <w:color w:val="000000"/>
        </w:rPr>
        <w:t xml:space="preserve">Social History of Medicine </w:t>
      </w:r>
      <w:r w:rsidRPr="00097BBC">
        <w:rPr>
          <w:rFonts w:asciiTheme="minorHAnsi" w:hAnsiTheme="minorHAnsi" w:cstheme="minorHAnsi"/>
          <w:color w:val="000000"/>
        </w:rPr>
        <w:t xml:space="preserve">(journal). </w:t>
      </w:r>
    </w:p>
  </w:footnote>
  <w:footnote w:id="37">
    <w:p w14:paraId="7EF9266C" w14:textId="0EACAADD" w:rsidR="00591C1D" w:rsidRPr="00097BBC" w:rsidRDefault="00591C1D"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Several sources have been used to compile the list of endowers, including </w:t>
      </w:r>
      <w:r w:rsidRPr="00097BBC">
        <w:rPr>
          <w:rFonts w:asciiTheme="minorHAnsi" w:hAnsiTheme="minorHAnsi" w:cstheme="minorHAnsi"/>
          <w:i/>
          <w:iCs/>
        </w:rPr>
        <w:t>List of Deeds of Foundation of Bursaries, Scholarships, Fellowships, etc., in the University of Edinburgh</w:t>
      </w:r>
      <w:r w:rsidRPr="00097BBC">
        <w:rPr>
          <w:rFonts w:asciiTheme="minorHAnsi" w:hAnsiTheme="minorHAnsi" w:cstheme="minorHAnsi"/>
        </w:rPr>
        <w:t xml:space="preserve"> (Edinburgh: Neil and Company, 1891). For the Old College capital campaign, lists of subscribers were published in the </w:t>
      </w:r>
      <w:r w:rsidRPr="00097BBC">
        <w:rPr>
          <w:rFonts w:asciiTheme="minorHAnsi" w:hAnsiTheme="minorHAnsi" w:cstheme="minorHAnsi"/>
          <w:i/>
          <w:iCs/>
        </w:rPr>
        <w:t>Caledonian Mercury. S</w:t>
      </w:r>
      <w:r w:rsidRPr="00097BBC">
        <w:rPr>
          <w:rFonts w:asciiTheme="minorHAnsi" w:hAnsiTheme="minorHAnsi" w:cstheme="minorHAnsi"/>
        </w:rPr>
        <w:t xml:space="preserve">urviving ‘contribution lists’ exist for the Old Medical School capital campaign within the </w:t>
      </w:r>
      <w:r w:rsidR="00A27530" w:rsidRPr="00643BA0">
        <w:rPr>
          <w:rFonts w:asciiTheme="minorHAnsi" w:hAnsiTheme="minorHAnsi" w:cstheme="minorHAnsi"/>
        </w:rPr>
        <w:t>University</w:t>
      </w:r>
      <w:r w:rsidR="00A27530">
        <w:rPr>
          <w:rFonts w:asciiTheme="minorHAnsi" w:hAnsiTheme="minorHAnsi" w:cstheme="minorHAnsi"/>
        </w:rPr>
        <w:t xml:space="preserve"> of Edinburgh</w:t>
      </w:r>
      <w:r w:rsidRPr="00097BBC">
        <w:rPr>
          <w:rFonts w:asciiTheme="minorHAnsi" w:hAnsiTheme="minorHAnsi" w:cstheme="minorHAnsi"/>
        </w:rPr>
        <w:t>’s archive: University Buildings Extension Contribution List, 1873</w:t>
      </w:r>
      <w:r w:rsidR="00314317" w:rsidRPr="00097BBC">
        <w:rPr>
          <w:rFonts w:asciiTheme="minorHAnsi" w:hAnsiTheme="minorHAnsi" w:cstheme="minorHAnsi"/>
        </w:rPr>
        <w:t>–</w:t>
      </w:r>
      <w:r w:rsidRPr="00097BBC">
        <w:rPr>
          <w:rFonts w:asciiTheme="minorHAnsi" w:hAnsiTheme="minorHAnsi" w:cstheme="minorHAnsi"/>
        </w:rPr>
        <w:t>1881, and University Buildings Extension Contribution List, 1883</w:t>
      </w:r>
      <w:r w:rsidR="00314317" w:rsidRPr="00097BBC">
        <w:rPr>
          <w:rFonts w:asciiTheme="minorHAnsi" w:hAnsiTheme="minorHAnsi" w:cstheme="minorHAnsi"/>
        </w:rPr>
        <w:t>–</w:t>
      </w:r>
      <w:r w:rsidRPr="00097BBC">
        <w:rPr>
          <w:rFonts w:asciiTheme="minorHAnsi" w:hAnsiTheme="minorHAnsi" w:cstheme="minorHAnsi"/>
        </w:rPr>
        <w:t>1887, EUA IN1/COM/B2/4/1-2, Records of the University Buildings Extension Scheme, University of Edinburgh Library Archives (hereafter EUL).</w:t>
      </w:r>
    </w:p>
  </w:footnote>
  <w:footnote w:id="38">
    <w:p w14:paraId="486355CD" w14:textId="4FE7624C" w:rsidR="000176B4" w:rsidRPr="001548BC" w:rsidRDefault="000176B4" w:rsidP="00E52FD6">
      <w:pPr>
        <w:jc w:val="both"/>
        <w:rPr>
          <w:rFonts w:cstheme="minorHAnsi"/>
          <w:sz w:val="20"/>
          <w:szCs w:val="20"/>
        </w:rPr>
      </w:pPr>
    </w:p>
    <w:p w14:paraId="0D195019" w14:textId="2BA4A8E3" w:rsidR="00463091" w:rsidRPr="001548BC" w:rsidRDefault="00463091" w:rsidP="00057638">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Pr="001548BC">
        <w:rPr>
          <w:rFonts w:asciiTheme="minorHAnsi" w:eastAsia="Calibri" w:hAnsiTheme="minorHAnsi" w:cstheme="minorHAnsi"/>
        </w:rPr>
        <w:t xml:space="preserve">University of Edinburgh (Fellowships, Scholarships and Bursaries) Scheme (1971), No. 1849, UK Statutory Instruments, </w:t>
      </w:r>
      <w:hyperlink r:id="rId39" w:history="1">
        <w:r w:rsidRPr="001548BC">
          <w:rPr>
            <w:rStyle w:val="Hyperlink"/>
            <w:rFonts w:asciiTheme="minorHAnsi" w:eastAsia="Calibri" w:hAnsiTheme="minorHAnsi" w:cstheme="minorHAnsi"/>
          </w:rPr>
          <w:t>https://www.legislation.gov.uk/uksi/1971/1849/contents/made</w:t>
        </w:r>
      </w:hyperlink>
      <w:r w:rsidRPr="001548BC">
        <w:rPr>
          <w:rFonts w:asciiTheme="minorHAnsi" w:eastAsia="Calibri" w:hAnsiTheme="minorHAnsi" w:cstheme="minorHAnsi"/>
        </w:rPr>
        <w:t>.</w:t>
      </w:r>
    </w:p>
  </w:footnote>
  <w:footnote w:id="39">
    <w:p w14:paraId="17B3DCA6" w14:textId="5B2DC62B"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Simon Buck, ‘Subscriptions towards the University of Edinburgh’s Old College (1789</w:t>
      </w:r>
      <w:r w:rsidR="00CA3A13" w:rsidRPr="00097BBC">
        <w:rPr>
          <w:rFonts w:asciiTheme="minorHAnsi" w:hAnsiTheme="minorHAnsi" w:cstheme="minorHAnsi"/>
        </w:rPr>
        <w:t>–</w:t>
      </w:r>
      <w:r w:rsidRPr="00097BBC">
        <w:rPr>
          <w:rFonts w:asciiTheme="minorHAnsi" w:hAnsiTheme="minorHAnsi" w:cstheme="minorHAnsi"/>
        </w:rPr>
        <w:t>1794) and Old Medical School (1873</w:t>
      </w:r>
      <w:r w:rsidR="00CA3A13" w:rsidRPr="00097BBC">
        <w:rPr>
          <w:rFonts w:asciiTheme="minorHAnsi" w:hAnsiTheme="minorHAnsi" w:cstheme="minorHAnsi"/>
        </w:rPr>
        <w:t>–</w:t>
      </w:r>
      <w:r w:rsidRPr="00097BBC">
        <w:rPr>
          <w:rFonts w:asciiTheme="minorHAnsi" w:hAnsiTheme="minorHAnsi" w:cstheme="minorHAnsi"/>
        </w:rPr>
        <w:t>1887), 1789</w:t>
      </w:r>
      <w:r w:rsidR="00CA3A13" w:rsidRPr="00097BBC">
        <w:rPr>
          <w:rFonts w:asciiTheme="minorHAnsi" w:hAnsiTheme="minorHAnsi" w:cstheme="minorHAnsi"/>
        </w:rPr>
        <w:t>–</w:t>
      </w:r>
      <w:r w:rsidRPr="00097BBC">
        <w:rPr>
          <w:rFonts w:asciiTheme="minorHAnsi" w:hAnsiTheme="minorHAnsi" w:cstheme="minorHAnsi"/>
        </w:rPr>
        <w:t xml:space="preserve">1887’, dataset, Institute for Advanced Studies in the Humanities, University of Edinburgh, 2024, </w:t>
      </w:r>
      <w:hyperlink r:id="rId40" w:history="1">
        <w:r w:rsidR="00076DEB" w:rsidRPr="00097BBC">
          <w:rPr>
            <w:rStyle w:val="Hyperlink"/>
            <w:rFonts w:asciiTheme="minorHAnsi" w:hAnsiTheme="minorHAnsi" w:cstheme="minorHAnsi"/>
          </w:rPr>
          <w:t>https://doi.org/10.7488/ds/7844</w:t>
        </w:r>
      </w:hyperlink>
      <w:r w:rsidR="00076DEB" w:rsidRPr="00097BBC">
        <w:rPr>
          <w:rFonts w:asciiTheme="minorHAnsi" w:hAnsiTheme="minorHAnsi" w:cstheme="minorHAnsi"/>
        </w:rPr>
        <w:t>.</w:t>
      </w:r>
    </w:p>
  </w:footnote>
  <w:footnote w:id="40">
    <w:p w14:paraId="6A247DD4" w14:textId="30DA8A29"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Measuring Worth, </w:t>
      </w:r>
      <w:hyperlink r:id="rId41" w:history="1">
        <w:r w:rsidRPr="00097BBC">
          <w:rPr>
            <w:rStyle w:val="Hyperlink"/>
            <w:rFonts w:asciiTheme="minorHAnsi" w:hAnsiTheme="minorHAnsi" w:cstheme="minorHAnsi"/>
          </w:rPr>
          <w:t>https://www.measuringworth.com/calculators/ukcompare</w:t>
        </w:r>
      </w:hyperlink>
      <w:r w:rsidRPr="00097BBC">
        <w:rPr>
          <w:rFonts w:asciiTheme="minorHAnsi" w:hAnsiTheme="minorHAnsi" w:cstheme="minorHAnsi"/>
        </w:rPr>
        <w:t xml:space="preserve">. For more on this approach, see Newman and Mullen, </w:t>
      </w:r>
      <w:r w:rsidRPr="00097BBC">
        <w:rPr>
          <w:rFonts w:asciiTheme="minorHAnsi" w:hAnsiTheme="minorHAnsi" w:cstheme="minorHAnsi"/>
          <w:i/>
          <w:iCs/>
        </w:rPr>
        <w:t>Slavery, Abolition</w:t>
      </w:r>
      <w:r w:rsidR="00BE6B5E">
        <w:rPr>
          <w:rFonts w:asciiTheme="minorHAnsi" w:hAnsiTheme="minorHAnsi" w:cstheme="minorHAnsi"/>
        </w:rPr>
        <w:t>,</w:t>
      </w:r>
      <w:r w:rsidR="00BE6B5E">
        <w:rPr>
          <w:rFonts w:asciiTheme="minorHAnsi" w:hAnsiTheme="minorHAnsi" w:cstheme="minorHAnsi"/>
          <w:i/>
          <w:iCs/>
        </w:rPr>
        <w:t xml:space="preserve"> </w:t>
      </w:r>
      <w:r w:rsidR="008C5B0B" w:rsidRPr="00097BBC">
        <w:rPr>
          <w:rFonts w:asciiTheme="minorHAnsi" w:hAnsiTheme="minorHAnsi" w:cstheme="minorHAnsi"/>
        </w:rPr>
        <w:t xml:space="preserve">pp. </w:t>
      </w:r>
      <w:r w:rsidRPr="00097BBC">
        <w:rPr>
          <w:rFonts w:asciiTheme="minorHAnsi" w:hAnsiTheme="minorHAnsi" w:cstheme="minorHAnsi"/>
        </w:rPr>
        <w:t>12</w:t>
      </w:r>
      <w:r w:rsidR="008C5B0B" w:rsidRPr="00097BBC">
        <w:rPr>
          <w:rFonts w:asciiTheme="minorHAnsi" w:hAnsiTheme="minorHAnsi" w:cstheme="minorHAnsi"/>
        </w:rPr>
        <w:t>–</w:t>
      </w:r>
      <w:r w:rsidRPr="00097BBC">
        <w:rPr>
          <w:rFonts w:asciiTheme="minorHAnsi" w:hAnsiTheme="minorHAnsi" w:cstheme="minorHAnsi"/>
        </w:rPr>
        <w:t>21.</w:t>
      </w:r>
    </w:p>
  </w:footnote>
  <w:footnote w:id="41">
    <w:p w14:paraId="14FC30B2" w14:textId="225AA954"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Stephen Mullen, ‘Centring Transatlantic Slavery in Scottish Historiography’, </w:t>
      </w:r>
      <w:r w:rsidRPr="00097BBC">
        <w:rPr>
          <w:rFonts w:asciiTheme="minorHAnsi" w:hAnsiTheme="minorHAnsi" w:cstheme="minorHAnsi"/>
          <w:i/>
          <w:iCs/>
        </w:rPr>
        <w:t>History Compass</w:t>
      </w:r>
      <w:r w:rsidR="00795195" w:rsidRPr="00097BBC">
        <w:rPr>
          <w:rFonts w:asciiTheme="minorHAnsi" w:hAnsiTheme="minorHAnsi" w:cstheme="minorHAnsi"/>
        </w:rPr>
        <w:t>,</w:t>
      </w:r>
      <w:r w:rsidRPr="00097BBC">
        <w:rPr>
          <w:rFonts w:asciiTheme="minorHAnsi" w:hAnsiTheme="minorHAnsi" w:cstheme="minorHAnsi"/>
        </w:rPr>
        <w:t xml:space="preserve"> 20 (2022), </w:t>
      </w:r>
      <w:r w:rsidR="009B2868" w:rsidRPr="00097BBC">
        <w:rPr>
          <w:rFonts w:asciiTheme="minorHAnsi" w:hAnsiTheme="minorHAnsi" w:cstheme="minorHAnsi"/>
        </w:rPr>
        <w:t xml:space="preserve">p. </w:t>
      </w:r>
      <w:r w:rsidRPr="00097BBC">
        <w:rPr>
          <w:rFonts w:asciiTheme="minorHAnsi" w:hAnsiTheme="minorHAnsi" w:cstheme="minorHAnsi"/>
        </w:rPr>
        <w:t>67.</w:t>
      </w:r>
    </w:p>
  </w:footnote>
  <w:footnote w:id="42">
    <w:p w14:paraId="29E4C7C0" w14:textId="4AF309F4"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A Company of Scotland ship, the </w:t>
      </w:r>
      <w:r w:rsidRPr="00097BBC">
        <w:rPr>
          <w:rFonts w:asciiTheme="minorHAnsi" w:hAnsiTheme="minorHAnsi" w:cstheme="minorHAnsi"/>
          <w:i/>
          <w:iCs/>
        </w:rPr>
        <w:t>African Merchant</w:t>
      </w:r>
      <w:r w:rsidRPr="00097BBC">
        <w:rPr>
          <w:rFonts w:asciiTheme="minorHAnsi" w:hAnsiTheme="minorHAnsi" w:cstheme="minorHAnsi"/>
        </w:rPr>
        <w:t xml:space="preserve">, sailed to Africa in 1699, bringing back gold, ivory and rice (though no human cargo) from the Gold Coast. In 1698, another Company vessel, the </w:t>
      </w:r>
      <w:r w:rsidRPr="00097BBC">
        <w:rPr>
          <w:rFonts w:asciiTheme="minorHAnsi" w:hAnsiTheme="minorHAnsi" w:cstheme="minorHAnsi"/>
          <w:i/>
          <w:iCs/>
        </w:rPr>
        <w:t>Nasseu</w:t>
      </w:r>
      <w:r w:rsidRPr="00097BBC">
        <w:rPr>
          <w:rFonts w:asciiTheme="minorHAnsi" w:hAnsiTheme="minorHAnsi" w:cstheme="minorHAnsi"/>
        </w:rPr>
        <w:t xml:space="preserve">, purchased enslaved people in Madagascar, and in 1701 and 1708 the Company ‘initiated or licensed’ slaving vessels in the Indian Ocean: George Insh, </w:t>
      </w:r>
      <w:r w:rsidRPr="00097BBC">
        <w:rPr>
          <w:rFonts w:asciiTheme="minorHAnsi" w:hAnsiTheme="minorHAnsi" w:cstheme="minorHAnsi"/>
          <w:i/>
          <w:iCs/>
        </w:rPr>
        <w:t>Papers Relating to the Ships and Voyages of the Company of Scotland Trading to Africa and the Indies, 1696</w:t>
      </w:r>
      <w:r w:rsidR="00BD6C5E" w:rsidRPr="00097BBC">
        <w:rPr>
          <w:rFonts w:asciiTheme="minorHAnsi" w:hAnsiTheme="minorHAnsi" w:cstheme="minorHAnsi"/>
          <w:i/>
          <w:iCs/>
        </w:rPr>
        <w:t>–1</w:t>
      </w:r>
      <w:r w:rsidRPr="00097BBC">
        <w:rPr>
          <w:rFonts w:asciiTheme="minorHAnsi" w:hAnsiTheme="minorHAnsi" w:cstheme="minorHAnsi"/>
          <w:i/>
          <w:iCs/>
        </w:rPr>
        <w:t>707</w:t>
      </w:r>
      <w:r w:rsidRPr="00097BBC">
        <w:rPr>
          <w:rFonts w:asciiTheme="minorHAnsi" w:hAnsiTheme="minorHAnsi" w:cstheme="minorHAnsi"/>
        </w:rPr>
        <w:t xml:space="preserve"> (Edinburgh: Scottish History Society, 1924), xxi</w:t>
      </w:r>
      <w:r w:rsidR="00BD6C5E" w:rsidRPr="00097BBC">
        <w:rPr>
          <w:rFonts w:asciiTheme="minorHAnsi" w:hAnsiTheme="minorHAnsi" w:cstheme="minorHAnsi"/>
          <w:i/>
          <w:iCs/>
        </w:rPr>
        <w:t>–</w:t>
      </w:r>
      <w:r w:rsidRPr="00097BBC">
        <w:rPr>
          <w:rFonts w:asciiTheme="minorHAnsi" w:hAnsiTheme="minorHAnsi" w:cstheme="minorHAnsi"/>
        </w:rPr>
        <w:t xml:space="preserve">xxii, </w:t>
      </w:r>
      <w:r w:rsidR="00BD6C5E" w:rsidRPr="00097BBC">
        <w:rPr>
          <w:rFonts w:asciiTheme="minorHAnsi" w:hAnsiTheme="minorHAnsi" w:cstheme="minorHAnsi"/>
        </w:rPr>
        <w:t xml:space="preserve">p. </w:t>
      </w:r>
      <w:r w:rsidRPr="00097BBC">
        <w:rPr>
          <w:rFonts w:asciiTheme="minorHAnsi" w:hAnsiTheme="minorHAnsi" w:cstheme="minorHAnsi"/>
        </w:rPr>
        <w:t xml:space="preserve">260; Mark Duffill, ‘The Africa Trade from the Ports of Scotland, 1706–66’, </w:t>
      </w:r>
      <w:r w:rsidRPr="00097BBC">
        <w:rPr>
          <w:rFonts w:asciiTheme="minorHAnsi" w:hAnsiTheme="minorHAnsi" w:cstheme="minorHAnsi"/>
          <w:i/>
          <w:iCs/>
        </w:rPr>
        <w:t>Slavery &amp; Abolition</w:t>
      </w:r>
      <w:r w:rsidRPr="00097BBC">
        <w:rPr>
          <w:rFonts w:asciiTheme="minorHAnsi" w:hAnsiTheme="minorHAnsi" w:cstheme="minorHAnsi"/>
        </w:rPr>
        <w:t xml:space="preserve"> 25 (2004</w:t>
      </w:r>
      <w:r w:rsidRPr="00643BA0">
        <w:rPr>
          <w:rFonts w:asciiTheme="minorHAnsi" w:hAnsiTheme="minorHAnsi" w:cstheme="minorHAnsi"/>
        </w:rPr>
        <w:t>)</w:t>
      </w:r>
      <w:r w:rsidR="0001642F">
        <w:rPr>
          <w:rFonts w:asciiTheme="minorHAnsi" w:hAnsiTheme="minorHAnsi" w:cstheme="minorHAnsi"/>
        </w:rPr>
        <w:t>,</w:t>
      </w:r>
      <w:r w:rsidRPr="00097BBC">
        <w:rPr>
          <w:rFonts w:asciiTheme="minorHAnsi" w:hAnsiTheme="minorHAnsi" w:cstheme="minorHAnsi"/>
        </w:rPr>
        <w:t xml:space="preserve"> </w:t>
      </w:r>
      <w:r w:rsidR="00BD6C5E" w:rsidRPr="00097BBC">
        <w:rPr>
          <w:rFonts w:asciiTheme="minorHAnsi" w:hAnsiTheme="minorHAnsi" w:cstheme="minorHAnsi"/>
        </w:rPr>
        <w:t xml:space="preserve">p. </w:t>
      </w:r>
      <w:r w:rsidRPr="00097BBC">
        <w:rPr>
          <w:rFonts w:asciiTheme="minorHAnsi" w:hAnsiTheme="minorHAnsi" w:cstheme="minorHAnsi"/>
        </w:rPr>
        <w:t xml:space="preserve">115, </w:t>
      </w:r>
      <w:r w:rsidR="00377602" w:rsidRPr="00097BBC">
        <w:rPr>
          <w:rFonts w:asciiTheme="minorHAnsi" w:hAnsiTheme="minorHAnsi" w:cstheme="minorHAnsi"/>
        </w:rPr>
        <w:t>fn</w:t>
      </w:r>
      <w:r w:rsidRPr="00097BBC">
        <w:rPr>
          <w:rFonts w:asciiTheme="minorHAnsi" w:hAnsiTheme="minorHAnsi" w:cstheme="minorHAnsi"/>
        </w:rPr>
        <w:t xml:space="preserve">2 and </w:t>
      </w:r>
      <w:r w:rsidR="00377602" w:rsidRPr="00097BBC">
        <w:rPr>
          <w:rFonts w:asciiTheme="minorHAnsi" w:hAnsiTheme="minorHAnsi" w:cstheme="minorHAnsi"/>
        </w:rPr>
        <w:t>fn</w:t>
      </w:r>
      <w:r w:rsidRPr="00097BBC">
        <w:rPr>
          <w:rFonts w:asciiTheme="minorHAnsi" w:hAnsiTheme="minorHAnsi" w:cstheme="minorHAnsi"/>
        </w:rPr>
        <w:t xml:space="preserve">3. </w:t>
      </w:r>
    </w:p>
  </w:footnote>
  <w:footnote w:id="43">
    <w:p w14:paraId="48CFD53C"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Edinburgh Subscription Book, 1696, Adv. MS 83.1.1, Subscription Books of the Darien Company, Accounts and Papers of the Company of Scotland Trading to Africa and the Indies (Darien Company), National Library of Scotland.</w:t>
      </w:r>
    </w:p>
  </w:footnote>
  <w:footnote w:id="44">
    <w:p w14:paraId="68343962"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‘Theses hasce philosophicas, Unpaginated’, 1699, Edinburgh, EUA CA3/41, EUL, https://images.is.ed.ac.uk/luna/servlet/s/x9tmc2. </w:t>
      </w:r>
    </w:p>
  </w:footnote>
  <w:footnote w:id="45">
    <w:p w14:paraId="368A5598"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David Gregory, ‘A project for a Navigation school presented to the E: India company of Scotland’, 10 April 1696, Coll-33/Folio C [217], Papers of David Gregory, Coll-33, EUL, https://images.is.ed.ac.uk/luna/servlet/s/4edxm8. </w:t>
      </w:r>
    </w:p>
  </w:footnote>
  <w:footnote w:id="46">
    <w:p w14:paraId="74027EC2" w14:textId="2871F31D"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Simon Buck, ‘Dreams of Darien at the University of Edinburgh’, in </w:t>
      </w:r>
      <w:r w:rsidRPr="00097BBC">
        <w:rPr>
          <w:rFonts w:asciiTheme="minorHAnsi" w:hAnsiTheme="minorHAnsi" w:cstheme="minorHAnsi"/>
          <w:i/>
          <w:iCs/>
        </w:rPr>
        <w:t>Essays on Decoloniality: Volume 2</w:t>
      </w:r>
      <w:r w:rsidRPr="00097BBC">
        <w:rPr>
          <w:rFonts w:asciiTheme="minorHAnsi" w:hAnsiTheme="minorHAnsi" w:cstheme="minorHAnsi"/>
        </w:rPr>
        <w:t>, ed</w:t>
      </w:r>
      <w:r w:rsidR="002A6882" w:rsidRPr="00097BBC">
        <w:rPr>
          <w:rFonts w:asciiTheme="minorHAnsi" w:hAnsiTheme="minorHAnsi" w:cstheme="minorHAnsi"/>
        </w:rPr>
        <w:t>.</w:t>
      </w:r>
      <w:r w:rsidRPr="00097BBC">
        <w:rPr>
          <w:rFonts w:asciiTheme="minorHAnsi" w:hAnsiTheme="minorHAnsi" w:cstheme="minorHAnsi"/>
        </w:rPr>
        <w:t xml:space="preserve"> by Ben Fletcher-Watson, Lesley McAra and Désha Osborne (Edinburgh: IASH, </w:t>
      </w:r>
      <w:r w:rsidR="00D37E42">
        <w:rPr>
          <w:rFonts w:asciiTheme="minorHAnsi" w:hAnsiTheme="minorHAnsi" w:cstheme="minorHAnsi"/>
        </w:rPr>
        <w:t xml:space="preserve">The </w:t>
      </w:r>
      <w:r w:rsidRPr="00097BBC">
        <w:rPr>
          <w:rFonts w:asciiTheme="minorHAnsi" w:hAnsiTheme="minorHAnsi" w:cstheme="minorHAnsi"/>
        </w:rPr>
        <w:t>University of Edinburgh, forthcoming 2025);</w:t>
      </w:r>
      <w:r w:rsidRPr="00097BBC">
        <w:rPr>
          <w:rFonts w:asciiTheme="minorHAnsi" w:hAnsiTheme="minorHAnsi" w:cstheme="minorHAnsi"/>
          <w:i/>
          <w:iCs/>
        </w:rPr>
        <w:t xml:space="preserve"> Dreams of Darien</w:t>
      </w:r>
      <w:r w:rsidRPr="00097BBC">
        <w:rPr>
          <w:rFonts w:asciiTheme="minorHAnsi" w:hAnsiTheme="minorHAnsi" w:cstheme="minorHAnsi"/>
        </w:rPr>
        <w:t xml:space="preserve">, online exhibition, University of Edinburgh Library, </w:t>
      </w:r>
      <w:hyperlink r:id="rId42" w:history="1">
        <w:r w:rsidRPr="00097BBC">
          <w:rPr>
            <w:rStyle w:val="Hyperlink"/>
            <w:rFonts w:asciiTheme="minorHAnsi" w:hAnsiTheme="minorHAnsi" w:cstheme="minorHAnsi"/>
          </w:rPr>
          <w:t>https://exhibitions.ed.ac.uk/exhibitions/dreams-of-darien/</w:t>
        </w:r>
      </w:hyperlink>
      <w:r w:rsidRPr="00097BBC">
        <w:rPr>
          <w:rFonts w:asciiTheme="minorHAnsi" w:hAnsiTheme="minorHAnsi" w:cstheme="minorHAnsi"/>
        </w:rPr>
        <w:t xml:space="preserve">. </w:t>
      </w:r>
    </w:p>
  </w:footnote>
  <w:footnote w:id="47">
    <w:p w14:paraId="1EC5D0D0"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James Sutherland, </w:t>
      </w:r>
      <w:r w:rsidRPr="00097BBC">
        <w:rPr>
          <w:rFonts w:asciiTheme="minorHAnsi" w:hAnsiTheme="minorHAnsi" w:cstheme="minorHAnsi"/>
          <w:i/>
          <w:iCs/>
        </w:rPr>
        <w:t xml:space="preserve">Hortus Medicus Edinburgensis, or, A catalogue of the plants in the Physical Garden at Edinburgh: containing their most proper Latin and English names; with an English alphabetical index </w:t>
      </w:r>
      <w:r w:rsidRPr="00097BBC">
        <w:rPr>
          <w:rFonts w:asciiTheme="minorHAnsi" w:hAnsiTheme="minorHAnsi" w:cstheme="minorHAnsi"/>
        </w:rPr>
        <w:t xml:space="preserve">(Edinburgh: printed by the heir of Andrew Anderson, and to be sold by Mr. Henry Ferguson seed-merchant, at the head of Black Friar-Wynd, and at the Physical Garden by the author, 1683), i. </w:t>
      </w:r>
    </w:p>
  </w:footnote>
  <w:footnote w:id="48">
    <w:p w14:paraId="25E88A77" w14:textId="587D23D9"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643BA0">
        <w:rPr>
          <w:rFonts w:asciiTheme="minorHAnsi" w:hAnsiTheme="minorHAnsi" w:cstheme="minorHAnsi"/>
        </w:rPr>
        <w:t xml:space="preserve"> </w:t>
      </w:r>
      <w:r w:rsidR="00E04C2E">
        <w:rPr>
          <w:rFonts w:asciiTheme="minorHAnsi" w:hAnsiTheme="minorHAnsi" w:cstheme="minorHAnsi"/>
        </w:rPr>
        <w:t>James</w:t>
      </w:r>
      <w:r w:rsidRPr="00097BBC">
        <w:rPr>
          <w:rFonts w:asciiTheme="minorHAnsi" w:hAnsiTheme="minorHAnsi" w:cstheme="minorHAnsi"/>
        </w:rPr>
        <w:t xml:space="preserve"> Sutherland to </w:t>
      </w:r>
      <w:r w:rsidR="00E04C2E">
        <w:rPr>
          <w:rFonts w:asciiTheme="minorHAnsi" w:hAnsiTheme="minorHAnsi" w:cstheme="minorHAnsi"/>
        </w:rPr>
        <w:t xml:space="preserve">James </w:t>
      </w:r>
      <w:r w:rsidRPr="00097BBC">
        <w:rPr>
          <w:rFonts w:asciiTheme="minorHAnsi" w:hAnsiTheme="minorHAnsi" w:cstheme="minorHAnsi"/>
        </w:rPr>
        <w:t>Petiver, Edinburgh, 25 March 1700, Sloane MSS 4063, folios 9-10, British Library.</w:t>
      </w:r>
    </w:p>
  </w:footnote>
  <w:footnote w:id="49">
    <w:p w14:paraId="6514B4F8"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James Sutherland to James Petiver, Edinburgh, 17 September 1700, Sloane MSS 4063, folio 43, British Library.</w:t>
      </w:r>
    </w:p>
  </w:footnote>
  <w:footnote w:id="50">
    <w:p w14:paraId="666F81B5" w14:textId="0BE12C2A"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005967A2" w:rsidRPr="00097BBC">
        <w:rPr>
          <w:rFonts w:asciiTheme="minorHAnsi" w:hAnsiTheme="minorHAnsi" w:cstheme="minorHAnsi"/>
        </w:rPr>
        <w:t xml:space="preserve"> In April 2024, Simon Buck and Ian Stewart (IASH Fellows for the REWG) co-organised an international conference called ‘Race, Empire and the Edinburgh Medical School’ at the University of Edinburgh Library that brought together scholars and heritage workers based within and beyond the UK. A review of the conference has been published in </w:t>
      </w:r>
      <w:hyperlink r:id="rId43" w:history="1">
        <w:r w:rsidR="005967A2" w:rsidRPr="00097BBC">
          <w:rPr>
            <w:rStyle w:val="Hyperlink"/>
            <w:rFonts w:asciiTheme="minorHAnsi" w:hAnsiTheme="minorHAnsi" w:cstheme="minorHAnsi"/>
          </w:rPr>
          <w:t>The Polyphony</w:t>
        </w:r>
      </w:hyperlink>
      <w:r w:rsidR="005967A2" w:rsidRPr="00097BBC">
        <w:rPr>
          <w:rFonts w:asciiTheme="minorHAnsi" w:hAnsiTheme="minorHAnsi" w:cstheme="minorHAnsi"/>
        </w:rPr>
        <w:t xml:space="preserve">, an online forum for the medical humanities: Simon Buck and Ian Stewart, ‘Race, Empire, and the Edinburgh Medical School: Conference Review’, </w:t>
      </w:r>
      <w:r w:rsidR="005967A2" w:rsidRPr="00097BBC">
        <w:rPr>
          <w:rFonts w:asciiTheme="minorHAnsi" w:hAnsiTheme="minorHAnsi" w:cstheme="minorHAnsi"/>
          <w:i/>
          <w:iCs/>
        </w:rPr>
        <w:t>The Polyphony</w:t>
      </w:r>
      <w:r w:rsidR="005967A2" w:rsidRPr="00097BBC">
        <w:rPr>
          <w:rFonts w:asciiTheme="minorHAnsi" w:hAnsiTheme="minorHAnsi" w:cstheme="minorHAnsi"/>
        </w:rPr>
        <w:t>,</w:t>
      </w:r>
      <w:r w:rsidR="005967A2" w:rsidRPr="00097BBC">
        <w:rPr>
          <w:rFonts w:asciiTheme="minorHAnsi" w:hAnsiTheme="minorHAnsi" w:cstheme="minorHAnsi"/>
          <w:i/>
          <w:iCs/>
        </w:rPr>
        <w:t xml:space="preserve"> </w:t>
      </w:r>
      <w:hyperlink r:id="rId44" w:history="1">
        <w:r w:rsidR="005967A2" w:rsidRPr="00097BBC">
          <w:rPr>
            <w:rStyle w:val="Hyperlink"/>
            <w:rFonts w:asciiTheme="minorHAnsi" w:hAnsiTheme="minorHAnsi" w:cstheme="minorHAnsi"/>
          </w:rPr>
          <w:t>https://thepolyphony.org/2024/08/27/race-empire-uoe-conference-review/</w:t>
        </w:r>
      </w:hyperlink>
      <w:r w:rsidR="005967A2" w:rsidRPr="00097BBC">
        <w:rPr>
          <w:rFonts w:asciiTheme="minorHAnsi" w:hAnsiTheme="minorHAnsi" w:cstheme="minorHAnsi"/>
        </w:rPr>
        <w:t xml:space="preserve">. They are now working with participants to produce an edited collection of essays on the topic. </w:t>
      </w:r>
    </w:p>
  </w:footnote>
  <w:footnote w:id="51">
    <w:p w14:paraId="5ECFE102" w14:textId="6863E1DF"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hAnsiTheme="minorHAnsi" w:cstheme="minorHAnsi"/>
          <w:i/>
          <w:iCs/>
        </w:rPr>
        <w:t>History of the Dialectic Society</w:t>
      </w:r>
      <w:r w:rsidRPr="00097BBC">
        <w:rPr>
          <w:rFonts w:asciiTheme="minorHAnsi" w:hAnsiTheme="minorHAnsi" w:cstheme="minorHAnsi"/>
        </w:rPr>
        <w:t xml:space="preserve"> (Edinburgh: T. &amp; A. Constable, 1887); </w:t>
      </w:r>
      <w:r w:rsidRPr="00097BBC">
        <w:rPr>
          <w:rFonts w:asciiTheme="minorHAnsi" w:hAnsiTheme="minorHAnsi" w:cstheme="minorHAnsi"/>
          <w:i/>
          <w:iCs/>
        </w:rPr>
        <w:t>History of the Speculative Society of Edinburgh from its Institution in 1764</w:t>
      </w:r>
      <w:r w:rsidRPr="00097BBC">
        <w:rPr>
          <w:rFonts w:asciiTheme="minorHAnsi" w:hAnsiTheme="minorHAnsi" w:cstheme="minorHAnsi"/>
        </w:rPr>
        <w:t xml:space="preserve"> (Edinburgh: Printed for the Society, 1845); Records of University of Edinburgh Dialectic Society, EUA GD9, EUL; Simon Buck, ‘Debates on </w:t>
      </w:r>
      <w:r w:rsidR="00676213" w:rsidRPr="00097BBC">
        <w:rPr>
          <w:rFonts w:asciiTheme="minorHAnsi" w:hAnsiTheme="minorHAnsi" w:cstheme="minorHAnsi"/>
        </w:rPr>
        <w:t>S</w:t>
      </w:r>
      <w:r w:rsidRPr="00097BBC">
        <w:rPr>
          <w:rFonts w:asciiTheme="minorHAnsi" w:hAnsiTheme="minorHAnsi" w:cstheme="minorHAnsi"/>
        </w:rPr>
        <w:t xml:space="preserve">lavery and </w:t>
      </w:r>
      <w:r w:rsidR="00676213" w:rsidRPr="00097BBC">
        <w:rPr>
          <w:rFonts w:asciiTheme="minorHAnsi" w:hAnsiTheme="minorHAnsi" w:cstheme="minorHAnsi"/>
        </w:rPr>
        <w:t>A</w:t>
      </w:r>
      <w:r w:rsidRPr="00097BBC">
        <w:rPr>
          <w:rFonts w:asciiTheme="minorHAnsi" w:hAnsiTheme="minorHAnsi" w:cstheme="minorHAnsi"/>
        </w:rPr>
        <w:t xml:space="preserve">bolition held by </w:t>
      </w:r>
      <w:r w:rsidR="00676213" w:rsidRPr="00097BBC">
        <w:rPr>
          <w:rFonts w:asciiTheme="minorHAnsi" w:hAnsiTheme="minorHAnsi" w:cstheme="minorHAnsi"/>
        </w:rPr>
        <w:t>S</w:t>
      </w:r>
      <w:r w:rsidRPr="00097BBC">
        <w:rPr>
          <w:rFonts w:asciiTheme="minorHAnsi" w:hAnsiTheme="minorHAnsi" w:cstheme="minorHAnsi"/>
        </w:rPr>
        <w:t xml:space="preserve">tudent </w:t>
      </w:r>
      <w:r w:rsidR="00676213" w:rsidRPr="00097BBC">
        <w:rPr>
          <w:rFonts w:asciiTheme="minorHAnsi" w:hAnsiTheme="minorHAnsi" w:cstheme="minorHAnsi"/>
        </w:rPr>
        <w:t>D</w:t>
      </w:r>
      <w:r w:rsidRPr="00097BBC">
        <w:rPr>
          <w:rFonts w:asciiTheme="minorHAnsi" w:hAnsiTheme="minorHAnsi" w:cstheme="minorHAnsi"/>
        </w:rPr>
        <w:t xml:space="preserve">ebating </w:t>
      </w:r>
      <w:r w:rsidR="00676213" w:rsidRPr="00097BBC">
        <w:rPr>
          <w:rFonts w:asciiTheme="minorHAnsi" w:hAnsiTheme="minorHAnsi" w:cstheme="minorHAnsi"/>
        </w:rPr>
        <w:t>S</w:t>
      </w:r>
      <w:r w:rsidRPr="00097BBC">
        <w:rPr>
          <w:rFonts w:asciiTheme="minorHAnsi" w:hAnsiTheme="minorHAnsi" w:cstheme="minorHAnsi"/>
        </w:rPr>
        <w:t>ocieties at the University of Edinburgh, 1765</w:t>
      </w:r>
      <w:r w:rsidR="00676213" w:rsidRPr="00097BBC">
        <w:rPr>
          <w:rFonts w:asciiTheme="minorHAnsi" w:hAnsiTheme="minorHAnsi" w:cstheme="minorHAnsi"/>
        </w:rPr>
        <w:t>–</w:t>
      </w:r>
      <w:r w:rsidRPr="00097BBC">
        <w:rPr>
          <w:rFonts w:asciiTheme="minorHAnsi" w:hAnsiTheme="minorHAnsi" w:cstheme="minorHAnsi"/>
        </w:rPr>
        <w:t>1870’ (2024), dataset, University of Edinburgh. Institute for Advanced Studies in the Humanities, https://doi.org/10.7488/ds/7841.</w:t>
      </w:r>
    </w:p>
  </w:footnote>
  <w:footnote w:id="52">
    <w:p w14:paraId="67F7E4EA"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University of Edinburgh Dialectic Society Minute book, Vol 2, 12 May and 29 May 1792, EUA-A-150, Records of Members, Records of University of Edinburgh Dialectic Society, EUL.</w:t>
      </w:r>
    </w:p>
  </w:footnote>
  <w:footnote w:id="53">
    <w:p w14:paraId="2C15C105" w14:textId="72CA79ED"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hAnsiTheme="minorHAnsi" w:cstheme="minorHAnsi"/>
          <w:i/>
          <w:iCs/>
        </w:rPr>
        <w:t>History of the Dialectic Society</w:t>
      </w:r>
      <w:r w:rsidRPr="00097BBC">
        <w:rPr>
          <w:rFonts w:asciiTheme="minorHAnsi" w:hAnsiTheme="minorHAnsi" w:cstheme="minorHAnsi"/>
        </w:rPr>
        <w:t xml:space="preserve">, </w:t>
      </w:r>
      <w:r w:rsidR="00676213" w:rsidRPr="00097BBC">
        <w:rPr>
          <w:rFonts w:asciiTheme="minorHAnsi" w:hAnsiTheme="minorHAnsi" w:cstheme="minorHAnsi"/>
        </w:rPr>
        <w:t xml:space="preserve">p. </w:t>
      </w:r>
      <w:r w:rsidRPr="00097BBC">
        <w:rPr>
          <w:rFonts w:asciiTheme="minorHAnsi" w:hAnsiTheme="minorHAnsi" w:cstheme="minorHAnsi"/>
        </w:rPr>
        <w:t>145.</w:t>
      </w:r>
    </w:p>
  </w:footnote>
  <w:footnote w:id="54">
    <w:p w14:paraId="599AB8C1" w14:textId="03384AB5"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hAnsiTheme="minorHAnsi" w:cstheme="minorHAnsi"/>
          <w:i/>
          <w:iCs/>
        </w:rPr>
        <w:t>History of the Speculative Society of Edinburgh</w:t>
      </w:r>
      <w:r w:rsidRPr="00097BBC">
        <w:rPr>
          <w:rFonts w:asciiTheme="minorHAnsi" w:hAnsiTheme="minorHAnsi" w:cstheme="minorHAnsi"/>
        </w:rPr>
        <w:t xml:space="preserve">, </w:t>
      </w:r>
      <w:r w:rsidR="00676213" w:rsidRPr="00097BBC">
        <w:rPr>
          <w:rFonts w:asciiTheme="minorHAnsi" w:hAnsiTheme="minorHAnsi" w:cstheme="minorHAnsi"/>
        </w:rPr>
        <w:t xml:space="preserve">pp. </w:t>
      </w:r>
      <w:r w:rsidRPr="00097BBC">
        <w:rPr>
          <w:rFonts w:asciiTheme="minorHAnsi" w:hAnsiTheme="minorHAnsi" w:cstheme="minorHAnsi"/>
        </w:rPr>
        <w:t>24–25.</w:t>
      </w:r>
    </w:p>
  </w:footnote>
  <w:footnote w:id="55">
    <w:p w14:paraId="1FAE9916" w14:textId="033C4418"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Phrenological Society of Edinburgh, ‘Catalogue of the Phrenological Museum’, 1858, Records of the Phrenological Society of Edinburgh, Coll-227, EUL. </w:t>
      </w:r>
      <w:r w:rsidR="00590999">
        <w:rPr>
          <w:rFonts w:asciiTheme="minorHAnsi" w:hAnsiTheme="minorHAnsi" w:cstheme="minorHAnsi"/>
        </w:rPr>
        <w:t xml:space="preserve">For more, see Simon Buck, ‘The skulls of two students of African descent in the University of Edinburgh’s Anatomical Museum’, </w:t>
      </w:r>
      <w:r w:rsidR="00590999" w:rsidRPr="00590999">
        <w:rPr>
          <w:rFonts w:asciiTheme="minorHAnsi" w:hAnsiTheme="minorHAnsi" w:cstheme="minorHAnsi"/>
          <w:i/>
          <w:iCs/>
        </w:rPr>
        <w:t>Journal of the Royal College of Physicians of Edinburgh</w:t>
      </w:r>
      <w:r w:rsidR="00590999">
        <w:rPr>
          <w:rFonts w:asciiTheme="minorHAnsi" w:hAnsiTheme="minorHAnsi" w:cstheme="minorHAnsi"/>
        </w:rPr>
        <w:t xml:space="preserve">, 55 (2025), 114-22. </w:t>
      </w:r>
      <w:r w:rsidR="000B624B">
        <w:rPr>
          <w:rFonts w:asciiTheme="minorHAnsi" w:hAnsiTheme="minorHAnsi" w:cstheme="minorHAnsi"/>
        </w:rPr>
        <w:t>Our</w:t>
      </w:r>
      <w:r w:rsidR="000B624B" w:rsidRPr="00097BBC">
        <w:rPr>
          <w:rFonts w:asciiTheme="minorHAnsi" w:hAnsiTheme="minorHAnsi" w:cstheme="minorHAnsi"/>
        </w:rPr>
        <w:t xml:space="preserve"> </w:t>
      </w:r>
      <w:r w:rsidRPr="00097BBC">
        <w:rPr>
          <w:rFonts w:asciiTheme="minorHAnsi" w:hAnsiTheme="minorHAnsi" w:cstheme="minorHAnsi"/>
        </w:rPr>
        <w:t xml:space="preserve">thanks to Ruth Pollitt at the </w:t>
      </w:r>
      <w:r w:rsidRPr="00643BA0">
        <w:rPr>
          <w:rFonts w:asciiTheme="minorHAnsi" w:hAnsiTheme="minorHAnsi" w:cstheme="minorHAnsi"/>
        </w:rPr>
        <w:t>Anatom</w:t>
      </w:r>
      <w:r w:rsidR="00993A0E" w:rsidRPr="00643BA0">
        <w:rPr>
          <w:rFonts w:asciiTheme="minorHAnsi" w:hAnsiTheme="minorHAnsi" w:cstheme="minorHAnsi"/>
        </w:rPr>
        <w:t>ical</w:t>
      </w:r>
      <w:r w:rsidRPr="00097BBC">
        <w:rPr>
          <w:rFonts w:asciiTheme="minorHAnsi" w:hAnsiTheme="minorHAnsi" w:cstheme="minorHAnsi"/>
        </w:rPr>
        <w:t xml:space="preserve"> Museum for discussions about this case.</w:t>
      </w:r>
    </w:p>
  </w:footnote>
  <w:footnote w:id="56">
    <w:p w14:paraId="1E482FE0" w14:textId="515A9945" w:rsidR="005271B8" w:rsidRPr="00097BBC" w:rsidRDefault="005271B8"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C8718F" w:rsidRPr="00097BBC">
        <w:rPr>
          <w:rFonts w:asciiTheme="minorHAnsi" w:hAnsiTheme="minorHAnsi" w:cstheme="minorHAnsi"/>
        </w:rPr>
        <w:t>‘A Skull Collection Revisited: From Colonial Resistance to Repatriation’, https://exhibitions.ed.ac.uk/exhibitions/mind-shift/colonial-resistance-to-repatriation.</w:t>
      </w:r>
    </w:p>
  </w:footnote>
  <w:footnote w:id="57">
    <w:p w14:paraId="7520DDB1" w14:textId="6C1A6AD7" w:rsidR="00590999" w:rsidRDefault="00590999">
      <w:pPr>
        <w:pStyle w:val="FootnoteText"/>
      </w:pPr>
      <w:r>
        <w:rPr>
          <w:rStyle w:val="FootnoteReference"/>
        </w:rPr>
        <w:footnoteRef/>
      </w:r>
      <w:r>
        <w:t xml:space="preserve"> For more information, see Cressida Fforde, </w:t>
      </w:r>
      <w:r w:rsidRPr="00590999">
        <w:rPr>
          <w:i/>
          <w:iCs/>
        </w:rPr>
        <w:t>Collecti</w:t>
      </w:r>
      <w:r w:rsidR="0023196E">
        <w:rPr>
          <w:i/>
          <w:iCs/>
        </w:rPr>
        <w:t>ng</w:t>
      </w:r>
      <w:r w:rsidRPr="00590999">
        <w:rPr>
          <w:i/>
          <w:iCs/>
        </w:rPr>
        <w:t xml:space="preserve"> the Dead: Archaeology and the Reburial Issue</w:t>
      </w:r>
      <w:r>
        <w:t xml:space="preserve"> (London: Duckworth, 2004), pp.180-181.</w:t>
      </w:r>
    </w:p>
  </w:footnote>
  <w:footnote w:id="58">
    <w:p w14:paraId="3DB6D28F" w14:textId="70CD1205"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‘A Skull Collection Revisited</w:t>
      </w:r>
      <w:r w:rsidR="007A735C" w:rsidRPr="00097BBC">
        <w:rPr>
          <w:rFonts w:asciiTheme="minorHAnsi" w:hAnsiTheme="minorHAnsi" w:cstheme="minorHAnsi"/>
        </w:rPr>
        <w:t>’</w:t>
      </w:r>
      <w:r w:rsidRPr="00097BBC">
        <w:rPr>
          <w:rFonts w:asciiTheme="minorHAnsi" w:hAnsiTheme="minorHAnsi" w:cstheme="minorHAnsi"/>
        </w:rPr>
        <w:t xml:space="preserve">. </w:t>
      </w:r>
    </w:p>
  </w:footnote>
  <w:footnote w:id="59">
    <w:p w14:paraId="29B89430" w14:textId="1ED481A2"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For reference to the family, including notices of the death of the children in Edinburgh, see </w:t>
      </w:r>
      <w:r w:rsidRPr="00097BBC">
        <w:rPr>
          <w:rFonts w:asciiTheme="minorHAnsi" w:hAnsiTheme="minorHAnsi" w:cstheme="minorHAnsi"/>
          <w:i/>
          <w:iCs/>
        </w:rPr>
        <w:t>The Barbadian</w:t>
      </w:r>
      <w:r w:rsidRPr="00097BBC">
        <w:rPr>
          <w:rFonts w:asciiTheme="minorHAnsi" w:hAnsiTheme="minorHAnsi" w:cstheme="minorHAnsi"/>
        </w:rPr>
        <w:t xml:space="preserve">, 8 August, 1828, </w:t>
      </w:r>
      <w:r w:rsidR="00F94208">
        <w:rPr>
          <w:rFonts w:asciiTheme="minorHAnsi" w:hAnsiTheme="minorHAnsi" w:cstheme="minorHAnsi"/>
        </w:rPr>
        <w:t xml:space="preserve">p. </w:t>
      </w:r>
      <w:r w:rsidRPr="00097BBC">
        <w:rPr>
          <w:rFonts w:asciiTheme="minorHAnsi" w:hAnsiTheme="minorHAnsi" w:cstheme="minorHAnsi"/>
        </w:rPr>
        <w:t>2</w:t>
      </w:r>
      <w:r w:rsidR="00F94208" w:rsidRPr="00643BA0">
        <w:rPr>
          <w:rFonts w:asciiTheme="minorHAnsi" w:hAnsiTheme="minorHAnsi" w:cstheme="minorHAnsi"/>
        </w:rPr>
        <w:t>,</w:t>
      </w:r>
      <w:r w:rsidRPr="00097BBC">
        <w:rPr>
          <w:rFonts w:asciiTheme="minorHAnsi" w:hAnsiTheme="minorHAnsi" w:cstheme="minorHAnsi"/>
        </w:rPr>
        <w:t xml:space="preserve"> 15 February 1832, </w:t>
      </w:r>
      <w:r w:rsidR="00F94208">
        <w:rPr>
          <w:rFonts w:asciiTheme="minorHAnsi" w:hAnsiTheme="minorHAnsi" w:cstheme="minorHAnsi"/>
        </w:rPr>
        <w:t xml:space="preserve">p. </w:t>
      </w:r>
      <w:r w:rsidRPr="00097BBC">
        <w:rPr>
          <w:rFonts w:asciiTheme="minorHAnsi" w:hAnsiTheme="minorHAnsi" w:cstheme="minorHAnsi"/>
        </w:rPr>
        <w:t>3</w:t>
      </w:r>
      <w:r w:rsidR="00F94208">
        <w:rPr>
          <w:rFonts w:asciiTheme="minorHAnsi" w:hAnsiTheme="minorHAnsi" w:cstheme="minorHAnsi"/>
        </w:rPr>
        <w:t xml:space="preserve"> and </w:t>
      </w:r>
      <w:r w:rsidRPr="00097BBC">
        <w:rPr>
          <w:rFonts w:asciiTheme="minorHAnsi" w:hAnsiTheme="minorHAnsi" w:cstheme="minorHAnsi"/>
        </w:rPr>
        <w:t>11 May 1833,</w:t>
      </w:r>
      <w:r w:rsidR="00F94208">
        <w:rPr>
          <w:rFonts w:asciiTheme="minorHAnsi" w:hAnsiTheme="minorHAnsi" w:cstheme="minorHAnsi"/>
        </w:rPr>
        <w:t xml:space="preserve"> p.</w:t>
      </w:r>
      <w:r w:rsidRPr="00097BBC">
        <w:rPr>
          <w:rFonts w:asciiTheme="minorHAnsi" w:hAnsiTheme="minorHAnsi" w:cstheme="minorHAnsi"/>
        </w:rPr>
        <w:t xml:space="preserve"> 2.</w:t>
      </w:r>
    </w:p>
  </w:footnote>
  <w:footnote w:id="60">
    <w:p w14:paraId="2919BFEB" w14:textId="560A0670"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For a study of the global ‘science’ of phrenology, of which Edinburgh was an epicentre, see James Poskett, </w:t>
      </w:r>
      <w:r w:rsidRPr="00097BBC">
        <w:rPr>
          <w:rFonts w:asciiTheme="minorHAnsi" w:hAnsiTheme="minorHAnsi" w:cstheme="minorHAnsi"/>
          <w:i/>
          <w:iCs/>
        </w:rPr>
        <w:t>Materials of the Mind: Phrenology, Race, and the Global History of Science, 1815</w:t>
      </w:r>
      <w:r w:rsidR="00CD0850">
        <w:rPr>
          <w:rFonts w:asciiTheme="minorHAnsi" w:hAnsiTheme="minorHAnsi" w:cstheme="minorHAnsi"/>
          <w:i/>
          <w:iCs/>
        </w:rPr>
        <w:t>̶̶̶</w:t>
      </w:r>
      <w:r w:rsidR="00CD0850" w:rsidRPr="00097BBC">
        <w:rPr>
          <w:rFonts w:asciiTheme="minorHAnsi" w:hAnsiTheme="minorHAnsi" w:cstheme="minorHAnsi"/>
        </w:rPr>
        <w:t>–</w:t>
      </w:r>
      <w:r w:rsidRPr="00097BBC">
        <w:rPr>
          <w:rFonts w:asciiTheme="minorHAnsi" w:hAnsiTheme="minorHAnsi" w:cstheme="minorHAnsi"/>
          <w:i/>
          <w:iCs/>
        </w:rPr>
        <w:t xml:space="preserve">1920 </w:t>
      </w:r>
      <w:r w:rsidRPr="00097BBC">
        <w:rPr>
          <w:rFonts w:asciiTheme="minorHAnsi" w:hAnsiTheme="minorHAnsi" w:cstheme="minorHAnsi"/>
        </w:rPr>
        <w:t>(Chicago: University of Chicago Press, 2020).</w:t>
      </w:r>
    </w:p>
  </w:footnote>
  <w:footnote w:id="61">
    <w:p w14:paraId="111FF8A9" w14:textId="7216502A" w:rsidR="00991C62" w:rsidRPr="00097BBC" w:rsidRDefault="00991C62"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C51915" w:rsidRPr="00097BBC">
        <w:rPr>
          <w:rFonts w:asciiTheme="minorHAnsi" w:hAnsiTheme="minorHAnsi" w:cstheme="minorHAnsi"/>
        </w:rPr>
        <w:t xml:space="preserve">On </w:t>
      </w:r>
      <w:r w:rsidR="00CE5E98" w:rsidRPr="00097BBC">
        <w:rPr>
          <w:rFonts w:asciiTheme="minorHAnsi" w:hAnsiTheme="minorHAnsi" w:cstheme="minorHAnsi"/>
        </w:rPr>
        <w:t xml:space="preserve">5 November 2024, an event was held with the School of Divinity </w:t>
      </w:r>
      <w:r w:rsidR="004A11EA" w:rsidRPr="00097BBC">
        <w:rPr>
          <w:rFonts w:asciiTheme="minorHAnsi" w:hAnsiTheme="minorHAnsi" w:cstheme="minorHAnsi"/>
        </w:rPr>
        <w:t>regarding Gunning’s endowment called ‘Enslavement, Brazil and the Gunning Lectures’</w:t>
      </w:r>
      <w:r w:rsidR="001A7A52" w:rsidRPr="00097BBC">
        <w:rPr>
          <w:rFonts w:asciiTheme="minorHAnsi" w:hAnsiTheme="minorHAnsi" w:cstheme="minorHAnsi"/>
        </w:rPr>
        <w:t xml:space="preserve">, </w:t>
      </w:r>
      <w:hyperlink r:id="rId45" w:history="1">
        <w:r w:rsidR="001A7A52" w:rsidRPr="00097BBC">
          <w:rPr>
            <w:rStyle w:val="Hyperlink"/>
            <w:rFonts w:asciiTheme="minorHAnsi" w:hAnsiTheme="minorHAnsi" w:cstheme="minorHAnsi"/>
          </w:rPr>
          <w:t>https://www.eventbrite.co.uk/e/enslavement-brazil-and-the-gunning-lectures-tickets-1044925649747?aff=oddtdtcreator</w:t>
        </w:r>
      </w:hyperlink>
      <w:r w:rsidR="001A7A52" w:rsidRPr="00097BBC">
        <w:rPr>
          <w:rFonts w:asciiTheme="minorHAnsi" w:hAnsiTheme="minorHAnsi" w:cstheme="minorHAnsi"/>
        </w:rPr>
        <w:t>.</w:t>
      </w:r>
      <w:r w:rsidR="004A11EA" w:rsidRPr="00097BBC">
        <w:rPr>
          <w:rFonts w:asciiTheme="minorHAnsi" w:hAnsiTheme="minorHAnsi" w:cstheme="minorHAnsi"/>
        </w:rPr>
        <w:t xml:space="preserve"> </w:t>
      </w:r>
    </w:p>
  </w:footnote>
  <w:footnote w:id="62">
    <w:p w14:paraId="5BE462FA" w14:textId="602537DB"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There is an extensive literature on the multiple possible meanings of the term ‘racial capitalism’. For a historiographic overview, see Catherine Hall, ‘Racial Capitalism: What’s in a Name?’, </w:t>
      </w:r>
      <w:r w:rsidRPr="00097BBC">
        <w:rPr>
          <w:rFonts w:asciiTheme="minorHAnsi" w:hAnsiTheme="minorHAnsi" w:cstheme="minorHAnsi"/>
          <w:i/>
          <w:iCs/>
        </w:rPr>
        <w:t>History Workshop Journal</w:t>
      </w:r>
      <w:r w:rsidR="004420A6" w:rsidRPr="00097BBC">
        <w:rPr>
          <w:rFonts w:asciiTheme="minorHAnsi" w:hAnsiTheme="minorHAnsi" w:cstheme="minorHAnsi"/>
        </w:rPr>
        <w:t>,</w:t>
      </w:r>
      <w:r w:rsidRPr="00097BBC">
        <w:rPr>
          <w:rFonts w:asciiTheme="minorHAnsi" w:hAnsiTheme="minorHAnsi" w:cstheme="minorHAnsi"/>
        </w:rPr>
        <w:t xml:space="preserve"> 94 (2022)</w:t>
      </w:r>
      <w:r w:rsidR="004420A6" w:rsidRPr="00097BBC">
        <w:rPr>
          <w:rFonts w:asciiTheme="minorHAnsi" w:hAnsiTheme="minorHAnsi" w:cstheme="minorHAnsi"/>
        </w:rPr>
        <w:t>,</w:t>
      </w:r>
      <w:r w:rsidRPr="00097BBC">
        <w:rPr>
          <w:rFonts w:asciiTheme="minorHAnsi" w:hAnsiTheme="minorHAnsi" w:cstheme="minorHAnsi"/>
        </w:rPr>
        <w:t xml:space="preserve"> 5–21.</w:t>
      </w:r>
    </w:p>
  </w:footnote>
  <w:footnote w:id="63">
    <w:p w14:paraId="281F82DC" w14:textId="6CB64DF7" w:rsidR="001931EB" w:rsidRPr="00097BBC" w:rsidRDefault="001931EB" w:rsidP="00057638">
      <w:pPr>
        <w:pStyle w:val="FootnoteText"/>
        <w:jc w:val="left"/>
        <w:rPr>
          <w:rFonts w:asciiTheme="minorHAnsi" w:hAnsiTheme="minorHAnsi" w:cstheme="minorHAnsi"/>
          <w:color w:val="000000"/>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hAnsiTheme="minorHAnsi" w:cstheme="minorHAnsi"/>
          <w:color w:val="000000"/>
        </w:rPr>
        <w:t>The main findings of this section have been</w:t>
      </w:r>
      <w:r w:rsidR="00FC1DC2">
        <w:rPr>
          <w:rFonts w:asciiTheme="minorHAnsi" w:hAnsiTheme="minorHAnsi" w:cstheme="minorHAnsi"/>
          <w:color w:val="000000"/>
        </w:rPr>
        <w:t>,</w:t>
      </w:r>
      <w:r w:rsidRPr="00097BBC">
        <w:rPr>
          <w:rFonts w:asciiTheme="minorHAnsi" w:hAnsiTheme="minorHAnsi" w:cstheme="minorHAnsi"/>
          <w:color w:val="000000"/>
        </w:rPr>
        <w:t xml:space="preserve"> or are being</w:t>
      </w:r>
      <w:r w:rsidR="00FC1DC2">
        <w:rPr>
          <w:rFonts w:asciiTheme="minorHAnsi" w:hAnsiTheme="minorHAnsi" w:cstheme="minorHAnsi"/>
          <w:color w:val="000000"/>
        </w:rPr>
        <w:t>,</w:t>
      </w:r>
      <w:r w:rsidRPr="00097BBC">
        <w:rPr>
          <w:rFonts w:asciiTheme="minorHAnsi" w:hAnsiTheme="minorHAnsi" w:cstheme="minorHAnsi"/>
          <w:color w:val="000000"/>
        </w:rPr>
        <w:t xml:space="preserve"> written up for publication. </w:t>
      </w:r>
      <w:r w:rsidR="008B159A" w:rsidRPr="00097BBC">
        <w:rPr>
          <w:rFonts w:asciiTheme="minorHAnsi" w:hAnsiTheme="minorHAnsi" w:cstheme="minorHAnsi"/>
          <w:color w:val="000000"/>
        </w:rPr>
        <w:t xml:space="preserve">Two journal articles </w:t>
      </w:r>
      <w:r w:rsidR="007515EE" w:rsidRPr="00097BBC">
        <w:rPr>
          <w:rFonts w:asciiTheme="minorHAnsi" w:hAnsiTheme="minorHAnsi" w:cstheme="minorHAnsi"/>
          <w:color w:val="000000"/>
        </w:rPr>
        <w:t xml:space="preserve">have been submitted and are under review: one </w:t>
      </w:r>
      <w:r w:rsidRPr="00097BBC">
        <w:rPr>
          <w:rFonts w:asciiTheme="minorHAnsi" w:hAnsiTheme="minorHAnsi" w:cstheme="minorHAnsi"/>
          <w:color w:val="000000"/>
        </w:rPr>
        <w:t>on Dugald</w:t>
      </w:r>
      <w:r w:rsidRPr="00097BBC">
        <w:rPr>
          <w:rStyle w:val="apple-converted-space"/>
          <w:rFonts w:asciiTheme="minorHAnsi" w:hAnsiTheme="minorHAnsi" w:cstheme="minorHAnsi"/>
          <w:color w:val="000000"/>
        </w:rPr>
        <w:t> </w:t>
      </w:r>
      <w:r w:rsidRPr="00097BBC">
        <w:rPr>
          <w:rStyle w:val="outlook-search-highlight"/>
          <w:rFonts w:asciiTheme="minorHAnsi" w:hAnsiTheme="minorHAnsi" w:cstheme="minorHAnsi"/>
          <w:color w:val="000000"/>
        </w:rPr>
        <w:t>Stewart</w:t>
      </w:r>
      <w:r w:rsidRPr="00097BBC">
        <w:rPr>
          <w:rFonts w:asciiTheme="minorHAnsi" w:hAnsiTheme="minorHAnsi" w:cstheme="minorHAnsi"/>
          <w:color w:val="000000"/>
        </w:rPr>
        <w:t xml:space="preserve">’s racial theory </w:t>
      </w:r>
      <w:r w:rsidR="007515EE" w:rsidRPr="00097BBC">
        <w:rPr>
          <w:rFonts w:asciiTheme="minorHAnsi" w:hAnsiTheme="minorHAnsi" w:cstheme="minorHAnsi"/>
          <w:color w:val="000000"/>
        </w:rPr>
        <w:t>with the</w:t>
      </w:r>
      <w:r w:rsidR="00206FFF">
        <w:rPr>
          <w:rStyle w:val="apple-converted-space"/>
          <w:rFonts w:asciiTheme="minorHAnsi" w:hAnsiTheme="minorHAnsi" w:cstheme="minorHAnsi"/>
          <w:color w:val="000000"/>
        </w:rPr>
        <w:t xml:space="preserve"> </w:t>
      </w:r>
      <w:r w:rsidRPr="00097BBC">
        <w:rPr>
          <w:rFonts w:asciiTheme="minorHAnsi" w:hAnsiTheme="minorHAnsi" w:cstheme="minorHAnsi"/>
          <w:i/>
          <w:iCs/>
          <w:color w:val="000000"/>
        </w:rPr>
        <w:t>Journal of the History of Ideas</w:t>
      </w:r>
      <w:r w:rsidRPr="00097BBC">
        <w:rPr>
          <w:rFonts w:asciiTheme="minorHAnsi" w:hAnsiTheme="minorHAnsi" w:cstheme="minorHAnsi"/>
          <w:color w:val="000000"/>
        </w:rPr>
        <w:t xml:space="preserve">; another article on James Mackintosh and the attempts of other </w:t>
      </w:r>
      <w:r w:rsidR="00A27530" w:rsidRPr="00643BA0">
        <w:rPr>
          <w:rFonts w:asciiTheme="minorHAnsi" w:hAnsiTheme="minorHAnsi" w:cstheme="minorHAnsi"/>
          <w:color w:val="000000"/>
        </w:rPr>
        <w:t>University</w:t>
      </w:r>
      <w:r w:rsidRPr="00643BA0">
        <w:rPr>
          <w:rFonts w:asciiTheme="minorHAnsi" w:hAnsiTheme="minorHAnsi" w:cstheme="minorHAnsi"/>
          <w:color w:val="000000"/>
        </w:rPr>
        <w:t>alumni</w:t>
      </w:r>
      <w:r w:rsidRPr="00097BBC">
        <w:rPr>
          <w:rFonts w:asciiTheme="minorHAnsi" w:hAnsiTheme="minorHAnsi" w:cstheme="minorHAnsi"/>
          <w:color w:val="000000"/>
        </w:rPr>
        <w:t xml:space="preserve"> to survey the languages of India </w:t>
      </w:r>
      <w:r w:rsidR="007515EE" w:rsidRPr="00097BBC">
        <w:rPr>
          <w:rFonts w:asciiTheme="minorHAnsi" w:hAnsiTheme="minorHAnsi" w:cstheme="minorHAnsi"/>
          <w:color w:val="000000"/>
        </w:rPr>
        <w:t xml:space="preserve">with </w:t>
      </w:r>
      <w:r w:rsidRPr="00097BBC">
        <w:rPr>
          <w:rFonts w:asciiTheme="minorHAnsi" w:hAnsiTheme="minorHAnsi" w:cstheme="minorHAnsi"/>
          <w:color w:val="000000"/>
        </w:rPr>
        <w:t>the</w:t>
      </w:r>
      <w:r w:rsidR="00206FFF">
        <w:rPr>
          <w:rStyle w:val="apple-converted-space"/>
          <w:rFonts w:asciiTheme="minorHAnsi" w:hAnsiTheme="minorHAnsi" w:cstheme="minorHAnsi"/>
          <w:color w:val="000000"/>
        </w:rPr>
        <w:t xml:space="preserve"> </w:t>
      </w:r>
      <w:r w:rsidRPr="00097BBC">
        <w:rPr>
          <w:rFonts w:asciiTheme="minorHAnsi" w:hAnsiTheme="minorHAnsi" w:cstheme="minorHAnsi"/>
          <w:i/>
          <w:iCs/>
          <w:color w:val="000000"/>
        </w:rPr>
        <w:t>Journal of the Royal Asiatic Society</w:t>
      </w:r>
      <w:r w:rsidR="007515EE" w:rsidRPr="00097BBC">
        <w:rPr>
          <w:rFonts w:asciiTheme="minorHAnsi" w:hAnsiTheme="minorHAnsi" w:cstheme="minorHAnsi"/>
          <w:color w:val="000000"/>
        </w:rPr>
        <w:t xml:space="preserve">. </w:t>
      </w:r>
      <w:r w:rsidR="00C974FA" w:rsidRPr="00097BBC">
        <w:rPr>
          <w:rFonts w:asciiTheme="minorHAnsi" w:hAnsiTheme="minorHAnsi" w:cstheme="minorHAnsi"/>
          <w:color w:val="000000"/>
        </w:rPr>
        <w:t xml:space="preserve">Another article, co-authored </w:t>
      </w:r>
      <w:r w:rsidR="000B624B">
        <w:rPr>
          <w:rFonts w:asciiTheme="minorHAnsi" w:hAnsiTheme="minorHAnsi" w:cstheme="minorHAnsi"/>
          <w:color w:val="000000"/>
        </w:rPr>
        <w:t>by Ian Stewart and</w:t>
      </w:r>
      <w:r w:rsidR="00C974FA" w:rsidRPr="00097BBC">
        <w:rPr>
          <w:rFonts w:asciiTheme="minorHAnsi" w:hAnsiTheme="minorHAnsi" w:cstheme="minorHAnsi"/>
          <w:color w:val="000000"/>
        </w:rPr>
        <w:t xml:space="preserve"> Tommy Curry, is being prepared for publication</w:t>
      </w:r>
      <w:r w:rsidR="00231EC8" w:rsidRPr="00097BBC">
        <w:rPr>
          <w:rFonts w:asciiTheme="minorHAnsi" w:hAnsiTheme="minorHAnsi" w:cstheme="minorHAnsi"/>
          <w:color w:val="000000"/>
        </w:rPr>
        <w:t xml:space="preserve"> and </w:t>
      </w:r>
      <w:r w:rsidR="009E56E3" w:rsidRPr="00097BBC">
        <w:rPr>
          <w:rFonts w:asciiTheme="minorHAnsi" w:hAnsiTheme="minorHAnsi" w:cstheme="minorHAnsi"/>
          <w:color w:val="000000"/>
        </w:rPr>
        <w:t xml:space="preserve">is </w:t>
      </w:r>
      <w:r w:rsidR="00C974FA" w:rsidRPr="00097BBC">
        <w:rPr>
          <w:rFonts w:asciiTheme="minorHAnsi" w:hAnsiTheme="minorHAnsi" w:cstheme="minorHAnsi"/>
          <w:color w:val="000000"/>
        </w:rPr>
        <w:t>looking into</w:t>
      </w:r>
      <w:r w:rsidRPr="00097BBC">
        <w:rPr>
          <w:rFonts w:asciiTheme="minorHAnsi" w:hAnsiTheme="minorHAnsi" w:cstheme="minorHAnsi"/>
          <w:color w:val="000000"/>
        </w:rPr>
        <w:t xml:space="preserve"> the origins of </w:t>
      </w:r>
      <w:r w:rsidR="003914D3" w:rsidRPr="00643BA0">
        <w:rPr>
          <w:rFonts w:asciiTheme="minorHAnsi" w:hAnsiTheme="minorHAnsi" w:cstheme="minorHAnsi"/>
          <w:color w:val="000000"/>
        </w:rPr>
        <w:t>e</w:t>
      </w:r>
      <w:r w:rsidRPr="00643BA0">
        <w:rPr>
          <w:rFonts w:asciiTheme="minorHAnsi" w:hAnsiTheme="minorHAnsi" w:cstheme="minorHAnsi"/>
          <w:color w:val="000000"/>
        </w:rPr>
        <w:t>thnology</w:t>
      </w:r>
      <w:r w:rsidRPr="00097BBC">
        <w:rPr>
          <w:rFonts w:asciiTheme="minorHAnsi" w:hAnsiTheme="minorHAnsi" w:cstheme="minorHAnsi"/>
          <w:color w:val="000000"/>
        </w:rPr>
        <w:t xml:space="preserve"> at the </w:t>
      </w:r>
      <w:r w:rsidR="00A27530" w:rsidRPr="00643BA0">
        <w:rPr>
          <w:rFonts w:asciiTheme="minorHAnsi" w:hAnsiTheme="minorHAnsi" w:cstheme="minorHAnsi"/>
          <w:color w:val="000000"/>
        </w:rPr>
        <w:t>University</w:t>
      </w:r>
      <w:r w:rsidR="00A27530">
        <w:rPr>
          <w:rFonts w:asciiTheme="minorHAnsi" w:hAnsiTheme="minorHAnsi" w:cstheme="minorHAnsi"/>
          <w:color w:val="000000"/>
        </w:rPr>
        <w:t xml:space="preserve"> of Edinburgh</w:t>
      </w:r>
      <w:r w:rsidR="009E56E3" w:rsidRPr="00097BBC">
        <w:rPr>
          <w:rFonts w:asciiTheme="minorHAnsi" w:hAnsiTheme="minorHAnsi" w:cstheme="minorHAnsi"/>
          <w:color w:val="000000"/>
        </w:rPr>
        <w:t>. Th</w:t>
      </w:r>
      <w:r w:rsidR="00231EC8" w:rsidRPr="00097BBC">
        <w:rPr>
          <w:rFonts w:asciiTheme="minorHAnsi" w:hAnsiTheme="minorHAnsi" w:cstheme="minorHAnsi"/>
          <w:color w:val="000000"/>
        </w:rPr>
        <w:t>is</w:t>
      </w:r>
      <w:r w:rsidR="00C974FA" w:rsidRPr="00097BBC">
        <w:rPr>
          <w:rFonts w:asciiTheme="minorHAnsi" w:hAnsiTheme="minorHAnsi" w:cstheme="minorHAnsi"/>
          <w:color w:val="000000"/>
        </w:rPr>
        <w:t xml:space="preserve"> </w:t>
      </w:r>
      <w:r w:rsidRPr="00097BBC">
        <w:rPr>
          <w:rFonts w:asciiTheme="minorHAnsi" w:hAnsiTheme="minorHAnsi" w:cstheme="minorHAnsi"/>
          <w:color w:val="000000"/>
        </w:rPr>
        <w:t>will be submitted to the</w:t>
      </w:r>
      <w:r w:rsidR="00206FFF">
        <w:rPr>
          <w:rStyle w:val="apple-converted-space"/>
          <w:rFonts w:asciiTheme="minorHAnsi" w:hAnsiTheme="minorHAnsi" w:cstheme="minorHAnsi"/>
          <w:color w:val="000000"/>
        </w:rPr>
        <w:t xml:space="preserve"> </w:t>
      </w:r>
      <w:r w:rsidRPr="00097BBC">
        <w:rPr>
          <w:rFonts w:asciiTheme="minorHAnsi" w:hAnsiTheme="minorHAnsi" w:cstheme="minorHAnsi"/>
          <w:i/>
          <w:iCs/>
          <w:color w:val="000000"/>
        </w:rPr>
        <w:t>Journal of the History of Philosophy</w:t>
      </w:r>
      <w:r w:rsidRPr="00097BBC">
        <w:rPr>
          <w:rFonts w:asciiTheme="minorHAnsi" w:hAnsiTheme="minorHAnsi" w:cstheme="minorHAnsi"/>
          <w:color w:val="000000"/>
        </w:rPr>
        <w:t xml:space="preserve">. Finally, a short essay co-authored </w:t>
      </w:r>
      <w:r w:rsidR="000B624B">
        <w:rPr>
          <w:rFonts w:asciiTheme="minorHAnsi" w:hAnsiTheme="minorHAnsi" w:cstheme="minorHAnsi"/>
          <w:color w:val="000000"/>
        </w:rPr>
        <w:t>by Ian Stewart and</w:t>
      </w:r>
      <w:r w:rsidR="000B624B" w:rsidRPr="00097BBC">
        <w:rPr>
          <w:rFonts w:asciiTheme="minorHAnsi" w:hAnsiTheme="minorHAnsi" w:cstheme="minorHAnsi"/>
          <w:color w:val="000000"/>
        </w:rPr>
        <w:t xml:space="preserve"> </w:t>
      </w:r>
      <w:r w:rsidRPr="00097BBC">
        <w:rPr>
          <w:rFonts w:asciiTheme="minorHAnsi" w:hAnsiTheme="minorHAnsi" w:cstheme="minorHAnsi"/>
          <w:color w:val="000000"/>
        </w:rPr>
        <w:t xml:space="preserve">Simon Buck on the legacies of slavery and race at the </w:t>
      </w:r>
      <w:r w:rsidR="00A27530" w:rsidRPr="00643BA0">
        <w:rPr>
          <w:rFonts w:asciiTheme="minorHAnsi" w:hAnsiTheme="minorHAnsi" w:cstheme="minorHAnsi"/>
          <w:color w:val="000000"/>
        </w:rPr>
        <w:t>University</w:t>
      </w:r>
      <w:r w:rsidR="00A27530">
        <w:rPr>
          <w:rFonts w:asciiTheme="minorHAnsi" w:hAnsiTheme="minorHAnsi" w:cstheme="minorHAnsi"/>
          <w:color w:val="000000"/>
        </w:rPr>
        <w:t xml:space="preserve"> of Edinburgh</w:t>
      </w:r>
      <w:r w:rsidRPr="00097BBC">
        <w:rPr>
          <w:rFonts w:asciiTheme="minorHAnsi" w:hAnsiTheme="minorHAnsi" w:cstheme="minorHAnsi"/>
          <w:color w:val="000000"/>
        </w:rPr>
        <w:t xml:space="preserve"> will appear in an edited collection published by Edinburgh University Press titled</w:t>
      </w:r>
      <w:r w:rsidR="00206FFF">
        <w:rPr>
          <w:rStyle w:val="apple-converted-space"/>
          <w:rFonts w:asciiTheme="minorHAnsi" w:hAnsiTheme="minorHAnsi" w:cstheme="minorHAnsi"/>
          <w:color w:val="000000"/>
        </w:rPr>
        <w:t xml:space="preserve"> </w:t>
      </w:r>
      <w:r w:rsidRPr="00097BBC">
        <w:rPr>
          <w:rFonts w:asciiTheme="minorHAnsi" w:hAnsiTheme="minorHAnsi" w:cstheme="minorHAnsi"/>
          <w:i/>
          <w:iCs/>
          <w:color w:val="000000"/>
        </w:rPr>
        <w:t>European University Legacies: Problematic Heritage and Contemporary Practice</w:t>
      </w:r>
      <w:r w:rsidR="00231EC8" w:rsidRPr="00097BBC">
        <w:rPr>
          <w:rFonts w:asciiTheme="minorHAnsi" w:hAnsiTheme="minorHAnsi" w:cstheme="minorHAnsi"/>
          <w:color w:val="000000"/>
        </w:rPr>
        <w:t>,</w:t>
      </w:r>
      <w:r w:rsidR="00231EC8" w:rsidRPr="00097BBC">
        <w:rPr>
          <w:rStyle w:val="apple-converted-space"/>
          <w:rFonts w:asciiTheme="minorHAnsi" w:hAnsiTheme="minorHAnsi" w:cstheme="minorHAnsi"/>
          <w:i/>
          <w:iCs/>
          <w:color w:val="000000"/>
        </w:rPr>
        <w:t xml:space="preserve"> </w:t>
      </w:r>
      <w:r w:rsidRPr="00097BBC">
        <w:rPr>
          <w:rFonts w:asciiTheme="minorHAnsi" w:hAnsiTheme="minorHAnsi" w:cstheme="minorHAnsi"/>
          <w:color w:val="000000"/>
        </w:rPr>
        <w:t>edited by Peter Bille Larsen and Markéta Križová.</w:t>
      </w:r>
    </w:p>
  </w:footnote>
  <w:footnote w:id="64">
    <w:p w14:paraId="10BBFBA8" w14:textId="2CD4C8FF" w:rsidR="001C4759" w:rsidRPr="00643BA0" w:rsidRDefault="001C4759" w:rsidP="00057638">
      <w:pPr>
        <w:pStyle w:val="FootnoteText"/>
        <w:jc w:val="left"/>
        <w:rPr>
          <w:rFonts w:asciiTheme="minorHAnsi" w:hAnsiTheme="minorHAnsi" w:cstheme="minorHAnsi"/>
        </w:rPr>
      </w:pPr>
      <w:r w:rsidRPr="00643BA0">
        <w:rPr>
          <w:rStyle w:val="FootnoteReference"/>
          <w:rFonts w:asciiTheme="minorHAnsi" w:hAnsiTheme="minorHAnsi" w:cstheme="minorHAnsi"/>
        </w:rPr>
        <w:footnoteRef/>
      </w:r>
      <w:r w:rsidR="4F20518F" w:rsidRPr="00643BA0">
        <w:rPr>
          <w:rFonts w:asciiTheme="minorHAnsi" w:hAnsiTheme="minorHAnsi" w:cstheme="minorHAnsi"/>
        </w:rPr>
        <w:t xml:space="preserve"> For defences</w:t>
      </w:r>
      <w:r w:rsidR="006A4826" w:rsidRPr="00643BA0">
        <w:rPr>
          <w:rFonts w:asciiTheme="minorHAnsi" w:hAnsiTheme="minorHAnsi" w:cstheme="minorHAnsi"/>
        </w:rPr>
        <w:t>,</w:t>
      </w:r>
      <w:r w:rsidR="4F20518F" w:rsidRPr="00643BA0">
        <w:rPr>
          <w:rFonts w:asciiTheme="minorHAnsi" w:hAnsiTheme="minorHAnsi" w:cstheme="minorHAnsi"/>
        </w:rPr>
        <w:t xml:space="preserve"> see Anthony Pagden, </w:t>
      </w:r>
      <w:r w:rsidR="4F20518F" w:rsidRPr="00643BA0">
        <w:rPr>
          <w:rFonts w:asciiTheme="minorHAnsi" w:hAnsiTheme="minorHAnsi" w:cstheme="minorHAnsi"/>
          <w:i/>
        </w:rPr>
        <w:t>The Enlightenment and Why it Still Matters</w:t>
      </w:r>
      <w:r w:rsidR="4F20518F" w:rsidRPr="00643BA0">
        <w:rPr>
          <w:rFonts w:asciiTheme="minorHAnsi" w:hAnsiTheme="minorHAnsi" w:cstheme="minorHAnsi"/>
        </w:rPr>
        <w:t xml:space="preserve"> (Oxford: Oxford University Press, 2013); Steven Pinker, </w:t>
      </w:r>
      <w:r w:rsidR="4F20518F" w:rsidRPr="00643BA0">
        <w:rPr>
          <w:rFonts w:asciiTheme="minorHAnsi" w:hAnsiTheme="minorHAnsi" w:cstheme="minorHAnsi"/>
          <w:i/>
        </w:rPr>
        <w:t>Enlightenment Now: The Case for Reason, Science, Humanism, and Progress</w:t>
      </w:r>
      <w:r w:rsidR="4F20518F" w:rsidRPr="00643BA0">
        <w:rPr>
          <w:rFonts w:asciiTheme="minorHAnsi" w:hAnsiTheme="minorHAnsi" w:cstheme="minorHAnsi"/>
        </w:rPr>
        <w:t xml:space="preserve"> (London: Vikinh, 2018).For critical interpretations</w:t>
      </w:r>
      <w:r w:rsidR="00763120" w:rsidRPr="00643BA0">
        <w:rPr>
          <w:rFonts w:asciiTheme="minorHAnsi" w:hAnsiTheme="minorHAnsi" w:cstheme="minorHAnsi"/>
        </w:rPr>
        <w:t>,</w:t>
      </w:r>
      <w:r w:rsidR="4F20518F" w:rsidRPr="00643BA0">
        <w:rPr>
          <w:rFonts w:asciiTheme="minorHAnsi" w:hAnsiTheme="minorHAnsi" w:cstheme="minorHAnsi"/>
        </w:rPr>
        <w:t xml:space="preserve"> see Max Horkheimer and Theodor Adorno, </w:t>
      </w:r>
      <w:r w:rsidR="4F20518F" w:rsidRPr="00643BA0">
        <w:rPr>
          <w:rFonts w:asciiTheme="minorHAnsi" w:hAnsiTheme="minorHAnsi" w:cstheme="minorHAnsi"/>
          <w:i/>
        </w:rPr>
        <w:t>Dialectic of Enlightenment</w:t>
      </w:r>
      <w:r w:rsidR="4F20518F" w:rsidRPr="00643BA0">
        <w:rPr>
          <w:rFonts w:asciiTheme="minorHAnsi" w:hAnsiTheme="minorHAnsi" w:cstheme="minorHAnsi"/>
        </w:rPr>
        <w:t>, trans. by John Cumming (London: Verso, 2016; first</w:t>
      </w:r>
      <w:r w:rsidR="00763120" w:rsidRPr="00643BA0">
        <w:rPr>
          <w:rFonts w:asciiTheme="minorHAnsi" w:hAnsiTheme="minorHAnsi" w:cstheme="minorHAnsi"/>
        </w:rPr>
        <w:t xml:space="preserve"> publ.</w:t>
      </w:r>
      <w:r w:rsidR="4F20518F" w:rsidRPr="00643BA0">
        <w:rPr>
          <w:rFonts w:asciiTheme="minorHAnsi" w:hAnsiTheme="minorHAnsi" w:cstheme="minorHAnsi"/>
        </w:rPr>
        <w:t xml:space="preserve"> </w:t>
      </w:r>
      <w:r w:rsidR="00763120" w:rsidRPr="00643BA0">
        <w:rPr>
          <w:rFonts w:asciiTheme="minorHAnsi" w:hAnsiTheme="minorHAnsi" w:cstheme="minorHAnsi"/>
        </w:rPr>
        <w:t>in</w:t>
      </w:r>
      <w:r w:rsidR="4F20518F" w:rsidRPr="00643BA0">
        <w:rPr>
          <w:rFonts w:asciiTheme="minorHAnsi" w:hAnsiTheme="minorHAnsi" w:cstheme="minorHAnsi"/>
        </w:rPr>
        <w:t xml:space="preserve">1944); Richard H. Popkin, ‘The Philosophical Basis of Modern Racism’, in </w:t>
      </w:r>
      <w:r w:rsidR="4F20518F" w:rsidRPr="00643BA0">
        <w:rPr>
          <w:rFonts w:asciiTheme="minorHAnsi" w:hAnsiTheme="minorHAnsi" w:cstheme="minorHAnsi"/>
          <w:i/>
        </w:rPr>
        <w:t>Racism in the Eighteenth Century</w:t>
      </w:r>
      <w:r w:rsidR="4F20518F" w:rsidRPr="00643BA0">
        <w:rPr>
          <w:rFonts w:asciiTheme="minorHAnsi" w:hAnsiTheme="minorHAnsi" w:cstheme="minorHAnsi"/>
        </w:rPr>
        <w:t xml:space="preserve">, ed. by Harold E. Pagliaro (Cleveland: Case Western Reserve University Press, 1973), pp. 245–62; Emmanuel Chukwudi Eze, </w:t>
      </w:r>
      <w:r w:rsidR="4F20518F" w:rsidRPr="00643BA0">
        <w:rPr>
          <w:rFonts w:asciiTheme="minorHAnsi" w:hAnsiTheme="minorHAnsi" w:cstheme="minorHAnsi"/>
          <w:i/>
        </w:rPr>
        <w:t>Race and the Enlightenment: A Reader</w:t>
      </w:r>
      <w:r w:rsidR="4F20518F" w:rsidRPr="00643BA0">
        <w:rPr>
          <w:rFonts w:asciiTheme="minorHAnsi" w:hAnsiTheme="minorHAnsi" w:cstheme="minorHAnsi"/>
        </w:rPr>
        <w:t xml:space="preserve"> (Oxford: Oxford University Press, 1997).</w:t>
      </w:r>
    </w:p>
  </w:footnote>
  <w:footnote w:id="65">
    <w:p w14:paraId="12C67B6F" w14:textId="4E6C7991" w:rsidR="001C4759" w:rsidRPr="00097BBC" w:rsidRDefault="001C4759"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Ronald Meek, </w:t>
      </w:r>
      <w:r w:rsidRPr="00097BBC">
        <w:rPr>
          <w:rFonts w:asciiTheme="minorHAnsi" w:hAnsiTheme="minorHAnsi" w:cstheme="minorHAnsi"/>
          <w:i/>
          <w:iCs/>
        </w:rPr>
        <w:t>Social Science and the Ignoble Savage</w:t>
      </w:r>
      <w:r w:rsidRPr="00097BBC">
        <w:rPr>
          <w:rFonts w:asciiTheme="minorHAnsi" w:hAnsiTheme="minorHAnsi" w:cstheme="minorHAnsi"/>
        </w:rPr>
        <w:t xml:space="preserve"> (Cambridge: Cambridge University Press, 1976); J.G.A. Pocock, </w:t>
      </w:r>
      <w:r w:rsidRPr="00097BBC">
        <w:rPr>
          <w:rFonts w:asciiTheme="minorHAnsi" w:hAnsiTheme="minorHAnsi" w:cstheme="minorHAnsi"/>
          <w:i/>
          <w:iCs/>
        </w:rPr>
        <w:t>Barbarism and Religion</w:t>
      </w:r>
      <w:r w:rsidRPr="00097BBC">
        <w:rPr>
          <w:rFonts w:asciiTheme="minorHAnsi" w:hAnsiTheme="minorHAnsi" w:cstheme="minorHAnsi"/>
        </w:rPr>
        <w:t xml:space="preserve">, 6 vols (Cambridge: Cambridge University Press, 1999–2015), esp. vols. </w:t>
      </w:r>
      <w:r w:rsidR="00E61268" w:rsidRPr="00643BA0">
        <w:rPr>
          <w:rFonts w:asciiTheme="minorHAnsi" w:hAnsiTheme="minorHAnsi" w:cstheme="minorHAnsi"/>
        </w:rPr>
        <w:t>II</w:t>
      </w:r>
      <w:r w:rsidRPr="00097BBC">
        <w:rPr>
          <w:rFonts w:asciiTheme="minorHAnsi" w:hAnsiTheme="minorHAnsi" w:cstheme="minorHAnsi"/>
        </w:rPr>
        <w:t xml:space="preserve"> and </w:t>
      </w:r>
      <w:r w:rsidR="00E61268" w:rsidRPr="00643BA0">
        <w:rPr>
          <w:rFonts w:asciiTheme="minorHAnsi" w:hAnsiTheme="minorHAnsi" w:cstheme="minorHAnsi"/>
        </w:rPr>
        <w:t>IV</w:t>
      </w:r>
      <w:r w:rsidRPr="00097BBC">
        <w:rPr>
          <w:rFonts w:asciiTheme="minorHAnsi" w:hAnsiTheme="minorHAnsi" w:cstheme="minorHAnsi"/>
        </w:rPr>
        <w:t xml:space="preserve">. </w:t>
      </w:r>
    </w:p>
  </w:footnote>
  <w:footnote w:id="66">
    <w:p w14:paraId="57569558" w14:textId="26E03407" w:rsidR="002C21AB" w:rsidRPr="00097BBC" w:rsidRDefault="002C21AB"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Uday Singh Mehta, </w:t>
      </w:r>
      <w:r w:rsidRPr="00097BBC">
        <w:rPr>
          <w:rFonts w:asciiTheme="minorHAnsi" w:hAnsiTheme="minorHAnsi" w:cstheme="minorHAnsi"/>
          <w:i/>
          <w:iCs/>
        </w:rPr>
        <w:t>Liberalism and Empire: A Study in Nineteenth-Century British Liberal Thought</w:t>
      </w:r>
      <w:r w:rsidRPr="00097BBC">
        <w:rPr>
          <w:rFonts w:asciiTheme="minorHAnsi" w:hAnsiTheme="minorHAnsi" w:cstheme="minorHAnsi"/>
        </w:rPr>
        <w:t xml:space="preserve"> (Chicago, 1999); Onni Gust, </w:t>
      </w:r>
      <w:r w:rsidRPr="00097BBC">
        <w:rPr>
          <w:rFonts w:asciiTheme="minorHAnsi" w:hAnsiTheme="minorHAnsi" w:cstheme="minorHAnsi"/>
          <w:i/>
          <w:iCs/>
        </w:rPr>
        <w:t>Unhomely Empire: Whiteness and Belonging, c.1760</w:t>
      </w:r>
      <w:r w:rsidR="00685670" w:rsidRPr="00E52FD6">
        <w:rPr>
          <w:rFonts w:asciiTheme="minorHAnsi" w:hAnsiTheme="minorHAnsi" w:cstheme="minorHAnsi"/>
          <w:i/>
          <w:iCs/>
        </w:rPr>
        <w:t>–</w:t>
      </w:r>
      <w:r w:rsidRPr="00097BBC">
        <w:rPr>
          <w:rFonts w:asciiTheme="minorHAnsi" w:hAnsiTheme="minorHAnsi" w:cstheme="minorHAnsi"/>
          <w:i/>
          <w:iCs/>
        </w:rPr>
        <w:t>1830</w:t>
      </w:r>
      <w:r w:rsidRPr="00097BBC">
        <w:rPr>
          <w:rFonts w:asciiTheme="minorHAnsi" w:hAnsiTheme="minorHAnsi" w:cstheme="minorHAnsi"/>
        </w:rPr>
        <w:t xml:space="preserve"> (London, 2021). </w:t>
      </w:r>
    </w:p>
  </w:footnote>
  <w:footnote w:id="67">
    <w:p w14:paraId="41E05923" w14:textId="1890C0F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William Robertson, </w:t>
      </w:r>
      <w:r w:rsidRPr="00097BBC">
        <w:rPr>
          <w:rFonts w:asciiTheme="minorHAnsi" w:hAnsiTheme="minorHAnsi" w:cstheme="minorHAnsi"/>
          <w:i/>
          <w:iCs/>
        </w:rPr>
        <w:t>The History of America</w:t>
      </w:r>
      <w:r w:rsidR="003113C0" w:rsidRPr="00097BBC">
        <w:rPr>
          <w:rFonts w:asciiTheme="minorHAnsi" w:hAnsiTheme="minorHAnsi" w:cstheme="minorHAnsi"/>
        </w:rPr>
        <w:t xml:space="preserve">, </w:t>
      </w:r>
      <w:r w:rsidRPr="00097BBC">
        <w:rPr>
          <w:rFonts w:asciiTheme="minorHAnsi" w:hAnsiTheme="minorHAnsi" w:cstheme="minorHAnsi"/>
        </w:rPr>
        <w:t>2 vols.</w:t>
      </w:r>
      <w:r w:rsidR="003113C0" w:rsidRPr="00097BBC">
        <w:rPr>
          <w:rFonts w:asciiTheme="minorHAnsi" w:hAnsiTheme="minorHAnsi" w:cstheme="minorHAnsi"/>
        </w:rPr>
        <w:t xml:space="preserve"> (</w:t>
      </w:r>
      <w:r w:rsidRPr="00097BBC">
        <w:rPr>
          <w:rFonts w:asciiTheme="minorHAnsi" w:hAnsiTheme="minorHAnsi" w:cstheme="minorHAnsi"/>
        </w:rPr>
        <w:t xml:space="preserve">London, 1777), I, </w:t>
      </w:r>
      <w:r w:rsidR="003113C0" w:rsidRPr="00097BBC">
        <w:rPr>
          <w:rFonts w:asciiTheme="minorHAnsi" w:hAnsiTheme="minorHAnsi" w:cstheme="minorHAnsi"/>
        </w:rPr>
        <w:t xml:space="preserve">p. </w:t>
      </w:r>
      <w:r w:rsidRPr="00097BBC">
        <w:rPr>
          <w:rFonts w:asciiTheme="minorHAnsi" w:hAnsiTheme="minorHAnsi" w:cstheme="minorHAnsi"/>
        </w:rPr>
        <w:t xml:space="preserve">283. </w:t>
      </w:r>
    </w:p>
  </w:footnote>
  <w:footnote w:id="68">
    <w:p w14:paraId="41434E36" w14:textId="5E84D0B2" w:rsidR="00AF3187" w:rsidRPr="00643BA0" w:rsidRDefault="00AF3187" w:rsidP="00057638">
      <w:pPr>
        <w:spacing w:line="259" w:lineRule="auto"/>
        <w:rPr>
          <w:rFonts w:cstheme="minorHAnsi"/>
          <w:sz w:val="20"/>
          <w:szCs w:val="20"/>
        </w:rPr>
      </w:pPr>
      <w:r w:rsidRPr="00643BA0">
        <w:rPr>
          <w:rStyle w:val="FootnoteReference"/>
          <w:rFonts w:cstheme="minorHAnsi"/>
          <w:sz w:val="20"/>
          <w:szCs w:val="20"/>
        </w:rPr>
        <w:footnoteRef/>
      </w:r>
      <w:r w:rsidRPr="00643BA0">
        <w:rPr>
          <w:rFonts w:cstheme="minorHAnsi"/>
          <w:sz w:val="20"/>
          <w:szCs w:val="20"/>
        </w:rPr>
        <w:t xml:space="preserve"> David Hume, ‘Of National Characters’, in </w:t>
      </w:r>
      <w:r w:rsidRPr="00643BA0">
        <w:rPr>
          <w:rFonts w:cstheme="minorHAnsi"/>
          <w:i/>
          <w:sz w:val="20"/>
          <w:szCs w:val="20"/>
        </w:rPr>
        <w:t>Essays and Treatises on Several Subjects</w:t>
      </w:r>
      <w:r w:rsidRPr="00643BA0">
        <w:rPr>
          <w:rFonts w:cstheme="minorHAnsi"/>
          <w:sz w:val="20"/>
          <w:szCs w:val="20"/>
        </w:rPr>
        <w:t xml:space="preserve"> 4 vols. </w:t>
      </w:r>
      <w:r w:rsidR="00E33E86" w:rsidRPr="00643BA0">
        <w:rPr>
          <w:rFonts w:cstheme="minorHAnsi"/>
          <w:sz w:val="20"/>
          <w:szCs w:val="20"/>
        </w:rPr>
        <w:t>(</w:t>
      </w:r>
      <w:r w:rsidRPr="00643BA0">
        <w:rPr>
          <w:rFonts w:cstheme="minorHAnsi"/>
          <w:sz w:val="20"/>
          <w:szCs w:val="20"/>
        </w:rPr>
        <w:t>London, 1753), I, 291n.</w:t>
      </w:r>
    </w:p>
  </w:footnote>
  <w:footnote w:id="69">
    <w:p w14:paraId="36F2A7A6" w14:textId="51142F35" w:rsidR="00AF3187" w:rsidRPr="001548BC" w:rsidRDefault="00AF3187" w:rsidP="00057638">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00561C7D" w:rsidRPr="001548BC">
        <w:rPr>
          <w:rFonts w:asciiTheme="minorHAnsi" w:hAnsiTheme="minorHAnsi" w:cstheme="minorHAnsi"/>
        </w:rPr>
        <w:t xml:space="preserve"> </w:t>
      </w:r>
      <w:r w:rsidRPr="001548BC">
        <w:rPr>
          <w:rFonts w:asciiTheme="minorHAnsi" w:hAnsiTheme="minorHAnsi" w:cstheme="minorHAnsi"/>
        </w:rPr>
        <w:t>Hume, ‘Of National Characters’, 291n.</w:t>
      </w:r>
    </w:p>
  </w:footnote>
  <w:footnote w:id="70">
    <w:p w14:paraId="30CD751E" w14:textId="29E1D7B0" w:rsidR="00AF3187" w:rsidRPr="001548BC" w:rsidRDefault="00AF3187" w:rsidP="00057638">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For a recent summary</w:t>
      </w:r>
      <w:r w:rsidR="00E33E86" w:rsidRPr="001548BC">
        <w:rPr>
          <w:rFonts w:asciiTheme="minorHAnsi" w:hAnsiTheme="minorHAnsi" w:cstheme="minorHAnsi"/>
        </w:rPr>
        <w:t>,</w:t>
      </w:r>
      <w:r w:rsidRPr="001548BC">
        <w:rPr>
          <w:rFonts w:asciiTheme="minorHAnsi" w:hAnsiTheme="minorHAnsi" w:cstheme="minorHAnsi"/>
        </w:rPr>
        <w:t xml:space="preserve"> see Aaron Garrett and Silvia Sebastiani, ’David Hume on Race’, in </w:t>
      </w:r>
      <w:r w:rsidRPr="001548BC">
        <w:rPr>
          <w:rFonts w:asciiTheme="minorHAnsi" w:hAnsiTheme="minorHAnsi" w:cstheme="minorHAnsi"/>
          <w:i/>
        </w:rPr>
        <w:t>The Oxford Handbook of Philosophy and Race</w:t>
      </w:r>
      <w:r w:rsidR="00945EA2" w:rsidRPr="001548BC">
        <w:rPr>
          <w:rFonts w:asciiTheme="minorHAnsi" w:hAnsiTheme="minorHAnsi" w:cstheme="minorHAnsi"/>
        </w:rPr>
        <w:t>, ed. by Naomi Zack</w:t>
      </w:r>
      <w:r w:rsidRPr="001548BC">
        <w:rPr>
          <w:rFonts w:asciiTheme="minorHAnsi" w:hAnsiTheme="minorHAnsi" w:cstheme="minorHAnsi"/>
        </w:rPr>
        <w:t xml:space="preserve"> (Oxford, 2017), pp. 31</w:t>
      </w:r>
      <w:r w:rsidRPr="00097BBC">
        <w:rPr>
          <w:rFonts w:asciiTheme="minorHAnsi" w:hAnsiTheme="minorHAnsi" w:cstheme="minorHAnsi"/>
          <w:i/>
          <w:iCs/>
        </w:rPr>
        <w:t>–</w:t>
      </w:r>
      <w:r w:rsidRPr="001548BC">
        <w:rPr>
          <w:rFonts w:asciiTheme="minorHAnsi" w:hAnsiTheme="minorHAnsi" w:cstheme="minorHAnsi"/>
        </w:rPr>
        <w:t>43.</w:t>
      </w:r>
    </w:p>
  </w:footnote>
  <w:footnote w:id="71">
    <w:p w14:paraId="64925610" w14:textId="12F71ED0"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643BA0">
        <w:rPr>
          <w:rFonts w:asciiTheme="minorHAnsi" w:hAnsiTheme="minorHAnsi" w:cstheme="minorHAnsi"/>
        </w:rPr>
        <w:t xml:space="preserve"> Mehta, </w:t>
      </w:r>
      <w:r w:rsidRPr="00643BA0">
        <w:rPr>
          <w:rFonts w:asciiTheme="minorHAnsi" w:hAnsiTheme="minorHAnsi" w:cstheme="minorHAnsi"/>
          <w:i/>
          <w:iCs/>
        </w:rPr>
        <w:t>Liberalism and Empire</w:t>
      </w:r>
      <w:r w:rsidRPr="00643BA0">
        <w:rPr>
          <w:rFonts w:asciiTheme="minorHAnsi" w:hAnsiTheme="minorHAnsi" w:cstheme="minorHAnsi"/>
        </w:rPr>
        <w:t>;</w:t>
      </w:r>
      <w:r w:rsidR="00945EA2" w:rsidRPr="00643BA0">
        <w:rPr>
          <w:rFonts w:asciiTheme="minorHAnsi" w:hAnsiTheme="minorHAnsi" w:cstheme="minorHAnsi"/>
        </w:rPr>
        <w:t xml:space="preserve"> </w:t>
      </w:r>
      <w:r w:rsidRPr="00643BA0">
        <w:rPr>
          <w:rFonts w:asciiTheme="minorHAnsi" w:hAnsiTheme="minorHAnsi" w:cstheme="minorHAnsi"/>
        </w:rPr>
        <w:t xml:space="preserve">Gust, </w:t>
      </w:r>
      <w:r w:rsidRPr="00643BA0">
        <w:rPr>
          <w:rFonts w:asciiTheme="minorHAnsi" w:hAnsiTheme="minorHAnsi" w:cstheme="minorHAnsi"/>
          <w:i/>
          <w:iCs/>
        </w:rPr>
        <w:t>Unhomely Empire</w:t>
      </w:r>
      <w:r w:rsidRPr="00643BA0">
        <w:rPr>
          <w:rFonts w:asciiTheme="minorHAnsi" w:hAnsiTheme="minorHAnsi" w:cstheme="minorHAnsi"/>
        </w:rPr>
        <w:t xml:space="preserve">. </w:t>
      </w:r>
    </w:p>
  </w:footnote>
  <w:footnote w:id="72">
    <w:p w14:paraId="5CFC9387" w14:textId="61A1A7BF"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[Adam Ferguson], ‘Heads of Lectures’, EUL Coll-1848/20-0060.</w:t>
      </w:r>
      <w:r w:rsidR="001679D6" w:rsidRPr="00097BBC">
        <w:rPr>
          <w:rFonts w:asciiTheme="minorHAnsi" w:hAnsiTheme="minorHAnsi" w:cstheme="minorHAnsi"/>
        </w:rPr>
        <w:t xml:space="preserve"> Note that the use of square brackets around the name here</w:t>
      </w:r>
      <w:r w:rsidR="004D6897" w:rsidRPr="00097BBC">
        <w:rPr>
          <w:rFonts w:asciiTheme="minorHAnsi" w:hAnsiTheme="minorHAnsi" w:cstheme="minorHAnsi"/>
        </w:rPr>
        <w:t xml:space="preserve"> and elsewhere in this section</w:t>
      </w:r>
      <w:r w:rsidR="001679D6" w:rsidRPr="00097BBC">
        <w:rPr>
          <w:rFonts w:asciiTheme="minorHAnsi" w:hAnsiTheme="minorHAnsi" w:cstheme="minorHAnsi"/>
        </w:rPr>
        <w:t xml:space="preserve"> indicates </w:t>
      </w:r>
      <w:r w:rsidR="004D6897" w:rsidRPr="00097BBC">
        <w:rPr>
          <w:rFonts w:asciiTheme="minorHAnsi" w:hAnsiTheme="minorHAnsi" w:cstheme="minorHAnsi"/>
        </w:rPr>
        <w:t xml:space="preserve">that the ideas belong to the author, in this case Adam Ferguson, but were recorded </w:t>
      </w:r>
      <w:r w:rsidR="00907FA6" w:rsidRPr="00097BBC">
        <w:rPr>
          <w:rFonts w:asciiTheme="minorHAnsi" w:hAnsiTheme="minorHAnsi" w:cstheme="minorHAnsi"/>
        </w:rPr>
        <w:t xml:space="preserve">by someone else. </w:t>
      </w:r>
    </w:p>
  </w:footnote>
  <w:footnote w:id="73">
    <w:p w14:paraId="60B49B93" w14:textId="301C3961"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Bruce Buchan and Silvia Sebastiani, ‘“No distinction of Black or Fair”: The Natural History of Race in Adam Ferguson’s Lectures on Moral Philosophy’, </w:t>
      </w:r>
      <w:r w:rsidRPr="00097BBC">
        <w:rPr>
          <w:rFonts w:asciiTheme="minorHAnsi" w:hAnsiTheme="minorHAnsi" w:cstheme="minorHAnsi"/>
          <w:i/>
          <w:iCs/>
        </w:rPr>
        <w:t>Journal of the History of Ideas</w:t>
      </w:r>
      <w:r w:rsidR="00201A74" w:rsidRPr="00097BBC">
        <w:rPr>
          <w:rFonts w:asciiTheme="minorHAnsi" w:hAnsiTheme="minorHAnsi" w:cstheme="minorHAnsi"/>
        </w:rPr>
        <w:t>,</w:t>
      </w:r>
      <w:r w:rsidRPr="00097BBC">
        <w:rPr>
          <w:rFonts w:asciiTheme="minorHAnsi" w:hAnsiTheme="minorHAnsi" w:cstheme="minorHAnsi"/>
        </w:rPr>
        <w:t xml:space="preserve"> 82 (2021), 207</w:t>
      </w:r>
      <w:r w:rsidR="00201A74" w:rsidRPr="00097BBC">
        <w:rPr>
          <w:rFonts w:asciiTheme="minorHAnsi" w:hAnsiTheme="minorHAnsi" w:cstheme="minorHAnsi"/>
        </w:rPr>
        <w:t>–</w:t>
      </w:r>
      <w:r w:rsidRPr="00097BBC">
        <w:rPr>
          <w:rFonts w:asciiTheme="minorHAnsi" w:hAnsiTheme="minorHAnsi" w:cstheme="minorHAnsi"/>
        </w:rPr>
        <w:t>29.</w:t>
      </w:r>
    </w:p>
  </w:footnote>
  <w:footnote w:id="74">
    <w:p w14:paraId="68E218A9" w14:textId="3A76B4F0" w:rsidR="001F785E" w:rsidRPr="001548BC" w:rsidRDefault="001F785E" w:rsidP="00057638">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Pr="00097BBC">
        <w:rPr>
          <w:rFonts w:asciiTheme="minorHAnsi" w:hAnsiTheme="minorHAnsi" w:cstheme="minorHAnsi"/>
        </w:rPr>
        <w:t>Ferguson], ‘Heads of Lectures’</w:t>
      </w:r>
      <w:r>
        <w:rPr>
          <w:rFonts w:asciiTheme="minorHAnsi" w:hAnsiTheme="minorHAnsi" w:cstheme="minorHAnsi"/>
        </w:rPr>
        <w:t>.</w:t>
      </w:r>
    </w:p>
  </w:footnote>
  <w:footnote w:id="75">
    <w:p w14:paraId="0BC14812"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[Adam Ferguson] ‘Lectures on Moral Philosophy’, EUL, Dc.1.84, Vol. 1, 30 November 1780, F. 127v. It is possible this is another idea borrowed from Buffon, viz. the primeval humans were white skinned but had ‘degenerated’ into darker shades. </w:t>
      </w:r>
    </w:p>
  </w:footnote>
  <w:footnote w:id="76">
    <w:p w14:paraId="7A81F6F7" w14:textId="26BBAAAE" w:rsidR="00030C40" w:rsidRPr="00097BBC" w:rsidRDefault="00030C40"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1C21B3" w:rsidRPr="00097BBC">
        <w:rPr>
          <w:rFonts w:asciiTheme="minorHAnsi" w:hAnsiTheme="minorHAnsi" w:cstheme="minorHAnsi"/>
        </w:rPr>
        <w:t xml:space="preserve">Monogenism refers to </w:t>
      </w:r>
      <w:r w:rsidR="007B7349" w:rsidRPr="00097BBC">
        <w:rPr>
          <w:rFonts w:asciiTheme="minorHAnsi" w:hAnsiTheme="minorHAnsi" w:cstheme="minorHAnsi"/>
        </w:rPr>
        <w:t xml:space="preserve">the theory of human origins which posit a common descent for all human races. </w:t>
      </w:r>
    </w:p>
  </w:footnote>
  <w:footnote w:id="77">
    <w:p w14:paraId="10F6A313" w14:textId="5E1E9D01" w:rsidR="00773F7C" w:rsidRPr="00097BBC" w:rsidRDefault="00773F7C" w:rsidP="00057638">
      <w:pPr>
        <w:tabs>
          <w:tab w:val="left" w:pos="5812"/>
        </w:tabs>
        <w:rPr>
          <w:rFonts w:cstheme="minorHAnsi"/>
          <w:sz w:val="20"/>
          <w:szCs w:val="20"/>
        </w:rPr>
      </w:pPr>
      <w:r w:rsidRPr="00097BBC">
        <w:rPr>
          <w:rStyle w:val="FootnoteReference"/>
          <w:rFonts w:cstheme="minorHAnsi"/>
          <w:sz w:val="20"/>
          <w:szCs w:val="20"/>
        </w:rPr>
        <w:footnoteRef/>
      </w:r>
      <w:r w:rsidRPr="00097BBC">
        <w:rPr>
          <w:rFonts w:cstheme="minorHAnsi"/>
          <w:sz w:val="20"/>
          <w:szCs w:val="20"/>
        </w:rPr>
        <w:t xml:space="preserve"> [Dugald Stewart], ‘</w:t>
      </w:r>
      <w:r w:rsidR="00FF49FF" w:rsidRPr="00643BA0">
        <w:rPr>
          <w:rFonts w:cstheme="minorHAnsi"/>
          <w:sz w:val="20"/>
          <w:szCs w:val="20"/>
        </w:rPr>
        <w:t>Abbreviation’s</w:t>
      </w:r>
      <w:r w:rsidRPr="00097BBC">
        <w:rPr>
          <w:rFonts w:cstheme="minorHAnsi"/>
          <w:sz w:val="20"/>
          <w:szCs w:val="20"/>
        </w:rPr>
        <w:t xml:space="preserve"> from Lectures on Moral Philosophy’ [1778</w:t>
      </w:r>
      <w:r w:rsidR="00697E97" w:rsidRPr="00097BBC">
        <w:rPr>
          <w:rFonts w:cstheme="minorHAnsi"/>
          <w:sz w:val="20"/>
          <w:szCs w:val="20"/>
        </w:rPr>
        <w:t>–</w:t>
      </w:r>
      <w:r w:rsidR="00E87313" w:rsidRPr="00097BBC">
        <w:rPr>
          <w:rFonts w:cstheme="minorHAnsi"/>
          <w:sz w:val="20"/>
          <w:szCs w:val="20"/>
        </w:rPr>
        <w:t>7</w:t>
      </w:r>
      <w:r w:rsidRPr="00097BBC">
        <w:rPr>
          <w:rFonts w:cstheme="minorHAnsi"/>
          <w:sz w:val="20"/>
          <w:szCs w:val="20"/>
        </w:rPr>
        <w:t xml:space="preserve">9], EUL, Gen 2023, </w:t>
      </w:r>
      <w:r w:rsidR="00E87313" w:rsidRPr="00097BBC">
        <w:rPr>
          <w:rFonts w:cstheme="minorHAnsi"/>
          <w:sz w:val="20"/>
          <w:szCs w:val="20"/>
        </w:rPr>
        <w:t xml:space="preserve">p. </w:t>
      </w:r>
      <w:r w:rsidRPr="00097BBC">
        <w:rPr>
          <w:rFonts w:cstheme="minorHAnsi"/>
          <w:sz w:val="20"/>
          <w:szCs w:val="20"/>
        </w:rPr>
        <w:t xml:space="preserve">360; [Dugald Stewart], EUL Gen 1987, ‘Lectures on Moral Philosophy’, (1789), EUL Gen 1987, np. </w:t>
      </w:r>
    </w:p>
  </w:footnote>
  <w:footnote w:id="78">
    <w:p w14:paraId="60DABCC8" w14:textId="43904284"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[Stewart], ‘Abbreviations’, </w:t>
      </w:r>
      <w:r w:rsidR="00E87313" w:rsidRPr="00097BBC">
        <w:rPr>
          <w:rFonts w:asciiTheme="minorHAnsi" w:hAnsiTheme="minorHAnsi" w:cstheme="minorHAnsi"/>
        </w:rPr>
        <w:t xml:space="preserve">p. </w:t>
      </w:r>
      <w:r w:rsidRPr="00097BBC">
        <w:rPr>
          <w:rFonts w:asciiTheme="minorHAnsi" w:hAnsiTheme="minorHAnsi" w:cstheme="minorHAnsi"/>
        </w:rPr>
        <w:t xml:space="preserve">360. </w:t>
      </w:r>
    </w:p>
  </w:footnote>
  <w:footnote w:id="79">
    <w:p w14:paraId="22ACD1B0" w14:textId="4B2491B3" w:rsidR="0071173F" w:rsidRPr="001548BC" w:rsidRDefault="0071173F">
      <w:pPr>
        <w:pStyle w:val="FootnoteTex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Pr="001548BC">
        <w:rPr>
          <w:rFonts w:asciiTheme="minorHAnsi" w:eastAsia="Calibri" w:hAnsiTheme="minorHAnsi" w:cstheme="minorHAnsi"/>
        </w:rPr>
        <w:t>[Stewart], ‘Lectures on Moral Philosophy’.</w:t>
      </w:r>
    </w:p>
  </w:footnote>
  <w:footnote w:id="80">
    <w:p w14:paraId="6CE768D6" w14:textId="38A47AAA" w:rsidR="00E87313" w:rsidRPr="00097BBC" w:rsidRDefault="00E87313"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933E6E" w:rsidRPr="00097BBC">
        <w:rPr>
          <w:rFonts w:asciiTheme="minorHAnsi" w:hAnsiTheme="minorHAnsi" w:cstheme="minorHAnsi"/>
        </w:rPr>
        <w:t xml:space="preserve">Walker to Lord Kames, 18 February 1773, in Alexander Fraser-Tytler, </w:t>
      </w:r>
      <w:r w:rsidR="00933E6E" w:rsidRPr="00097BBC">
        <w:rPr>
          <w:rFonts w:asciiTheme="minorHAnsi" w:hAnsiTheme="minorHAnsi" w:cstheme="minorHAnsi"/>
          <w:i/>
          <w:iCs/>
        </w:rPr>
        <w:t>Memoirs of the Life and Writings of the Honourable Henry Home of Kames</w:t>
      </w:r>
      <w:r w:rsidR="00933E6E" w:rsidRPr="00097BBC">
        <w:rPr>
          <w:rFonts w:asciiTheme="minorHAnsi" w:hAnsiTheme="minorHAnsi" w:cstheme="minorHAnsi"/>
        </w:rPr>
        <w:t xml:space="preserve"> (Edinburgh, 1807), p. 33.</w:t>
      </w:r>
      <w:r w:rsidR="00933E6E">
        <w:rPr>
          <w:rFonts w:asciiTheme="minorHAnsi" w:hAnsiTheme="minorHAnsi" w:cstheme="minorHAnsi"/>
        </w:rPr>
        <w:t xml:space="preserve"> </w:t>
      </w:r>
      <w:r w:rsidRPr="00097BBC">
        <w:rPr>
          <w:rFonts w:asciiTheme="minorHAnsi" w:hAnsiTheme="minorHAnsi" w:cstheme="minorHAnsi"/>
        </w:rPr>
        <w:t xml:space="preserve">John Walker, ‘Mixture of the </w:t>
      </w:r>
      <w:r w:rsidR="00F31576" w:rsidRPr="00643BA0">
        <w:rPr>
          <w:rFonts w:asciiTheme="minorHAnsi" w:hAnsiTheme="minorHAnsi" w:cstheme="minorHAnsi"/>
        </w:rPr>
        <w:t>D</w:t>
      </w:r>
      <w:r w:rsidRPr="00643BA0">
        <w:rPr>
          <w:rFonts w:asciiTheme="minorHAnsi" w:hAnsiTheme="minorHAnsi" w:cstheme="minorHAnsi"/>
        </w:rPr>
        <w:t>ifferent</w:t>
      </w:r>
      <w:r w:rsidRPr="00097BBC">
        <w:rPr>
          <w:rFonts w:asciiTheme="minorHAnsi" w:hAnsiTheme="minorHAnsi" w:cstheme="minorHAnsi"/>
        </w:rPr>
        <w:t xml:space="preserve"> Races of Mankind’, EUL, Dc.2.39, f. 155r.</w:t>
      </w:r>
      <w:r w:rsidR="007E0791" w:rsidRPr="00097BBC">
        <w:rPr>
          <w:rFonts w:asciiTheme="minorHAnsi" w:hAnsiTheme="minorHAnsi" w:cstheme="minorHAnsi"/>
        </w:rPr>
        <w:t xml:space="preserve"> John Walker, </w:t>
      </w:r>
      <w:r w:rsidR="007E0791" w:rsidRPr="00097BBC">
        <w:rPr>
          <w:rFonts w:asciiTheme="minorHAnsi" w:hAnsiTheme="minorHAnsi" w:cstheme="minorHAnsi"/>
          <w:i/>
          <w:iCs/>
        </w:rPr>
        <w:t>Essays on Natural History and Rural Economy</w:t>
      </w:r>
      <w:r w:rsidR="007E0791" w:rsidRPr="00097BBC">
        <w:rPr>
          <w:rFonts w:asciiTheme="minorHAnsi" w:hAnsiTheme="minorHAnsi" w:cstheme="minorHAnsi"/>
        </w:rPr>
        <w:t xml:space="preserve"> (London and Edinburgh, 1812),</w:t>
      </w:r>
      <w:r w:rsidR="00AE3997" w:rsidRPr="00097BBC">
        <w:rPr>
          <w:rFonts w:asciiTheme="minorHAnsi" w:hAnsiTheme="minorHAnsi" w:cstheme="minorHAnsi"/>
        </w:rPr>
        <w:t xml:space="preserve"> pp. </w:t>
      </w:r>
      <w:r w:rsidR="007E0791" w:rsidRPr="00097BBC">
        <w:rPr>
          <w:rFonts w:asciiTheme="minorHAnsi" w:hAnsiTheme="minorHAnsi" w:cstheme="minorHAnsi"/>
        </w:rPr>
        <w:t>93</w:t>
      </w:r>
      <w:r w:rsidR="00AE3997" w:rsidRPr="00097BBC">
        <w:rPr>
          <w:rFonts w:asciiTheme="minorHAnsi" w:hAnsiTheme="minorHAnsi" w:cstheme="minorHAnsi"/>
        </w:rPr>
        <w:t>–</w:t>
      </w:r>
      <w:r w:rsidR="007E0791" w:rsidRPr="00097BBC">
        <w:rPr>
          <w:rFonts w:asciiTheme="minorHAnsi" w:hAnsiTheme="minorHAnsi" w:cstheme="minorHAnsi"/>
        </w:rPr>
        <w:t>110; John Walker, ‘Natural history of the inhabitants of the Highlands’, Walker Papers, Dc.1.18 EUL.</w:t>
      </w:r>
    </w:p>
  </w:footnote>
  <w:footnote w:id="81">
    <w:p w14:paraId="24DFCF6B" w14:textId="27AC89EF"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AE3997" w:rsidRPr="00097BBC">
        <w:rPr>
          <w:rFonts w:asciiTheme="minorHAnsi" w:hAnsiTheme="minorHAnsi" w:cstheme="minorHAnsi"/>
        </w:rPr>
        <w:t>[</w:t>
      </w:r>
      <w:r w:rsidRPr="00097BBC">
        <w:rPr>
          <w:rFonts w:asciiTheme="minorHAnsi" w:hAnsiTheme="minorHAnsi" w:cstheme="minorHAnsi"/>
        </w:rPr>
        <w:t>Robert Jameson], ‘Sketches of Lectures on Natural History’, EUL MS Dc.10.32.</w:t>
      </w:r>
    </w:p>
  </w:footnote>
  <w:footnote w:id="82">
    <w:p w14:paraId="3925120A" w14:textId="68A59083"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643BA0">
        <w:rPr>
          <w:rFonts w:asciiTheme="minorHAnsi" w:hAnsiTheme="minorHAnsi" w:cstheme="minorHAnsi"/>
        </w:rPr>
        <w:t xml:space="preserve"> </w:t>
      </w:r>
      <w:r w:rsidR="00AE3997" w:rsidRPr="00643BA0">
        <w:rPr>
          <w:rFonts w:asciiTheme="minorHAnsi" w:hAnsiTheme="minorHAnsi" w:cstheme="minorHAnsi"/>
        </w:rPr>
        <w:t>[</w:t>
      </w:r>
      <w:r w:rsidRPr="00643BA0">
        <w:rPr>
          <w:rFonts w:asciiTheme="minorHAnsi" w:hAnsiTheme="minorHAnsi" w:cstheme="minorHAnsi"/>
        </w:rPr>
        <w:t>Jameson], ‘Sketches of Lectures</w:t>
      </w:r>
      <w:r w:rsidR="002C6201">
        <w:rPr>
          <w:rFonts w:asciiTheme="minorHAnsi" w:hAnsiTheme="minorHAnsi" w:cstheme="minorHAnsi"/>
        </w:rPr>
        <w:t>’</w:t>
      </w:r>
      <w:r w:rsidRPr="00643BA0">
        <w:rPr>
          <w:rFonts w:asciiTheme="minorHAnsi" w:hAnsiTheme="minorHAnsi" w:cstheme="minorHAnsi"/>
        </w:rPr>
        <w:t>.</w:t>
      </w:r>
    </w:p>
  </w:footnote>
  <w:footnote w:id="83">
    <w:p w14:paraId="5E31DF20" w14:textId="13B13E5B"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[Robert Jameson], ‘Notes from Lectures on Natural History delivered in the Edinburgh University by Professor James during the winter of 1830</w:t>
      </w:r>
      <w:r w:rsidR="006521A6" w:rsidRPr="00097BBC">
        <w:rPr>
          <w:rFonts w:asciiTheme="minorHAnsi" w:hAnsiTheme="minorHAnsi" w:cstheme="minorHAnsi"/>
        </w:rPr>
        <w:t>–</w:t>
      </w:r>
      <w:r w:rsidRPr="00097BBC">
        <w:rPr>
          <w:rFonts w:asciiTheme="minorHAnsi" w:hAnsiTheme="minorHAnsi" w:cstheme="minorHAnsi"/>
        </w:rPr>
        <w:t>31’, Wellcome Collection, MS. 3358.</w:t>
      </w:r>
    </w:p>
  </w:footnote>
  <w:footnote w:id="84">
    <w:p w14:paraId="3A49B221"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Alexander Monro, ‘Memoir of Alexander Monro Secundus’, in Alexander Munro, </w:t>
      </w:r>
      <w:r w:rsidRPr="00097BBC">
        <w:rPr>
          <w:rFonts w:asciiTheme="minorHAnsi" w:hAnsiTheme="minorHAnsi" w:cstheme="minorHAnsi"/>
          <w:i/>
          <w:iCs/>
        </w:rPr>
        <w:t xml:space="preserve">Essays and Heads of Lectures on Anatomy, Physiology, Pathology, and Surgery </w:t>
      </w:r>
      <w:r w:rsidRPr="00097BBC">
        <w:rPr>
          <w:rFonts w:asciiTheme="minorHAnsi" w:hAnsiTheme="minorHAnsi" w:cstheme="minorHAnsi"/>
        </w:rPr>
        <w:t>(Edinburgh, 1840), c-ci.</w:t>
      </w:r>
    </w:p>
  </w:footnote>
  <w:footnote w:id="85">
    <w:p w14:paraId="38437E38" w14:textId="46F4F53B" w:rsidR="00773F7C" w:rsidRPr="00097BBC" w:rsidRDefault="00773F7C" w:rsidP="00057638">
      <w:pPr>
        <w:pStyle w:val="FootnoteText"/>
        <w:jc w:val="left"/>
        <w:rPr>
          <w:rFonts w:asciiTheme="minorHAnsi" w:hAnsiTheme="minorHAnsi" w:cstheme="minorHAnsi"/>
          <w:i/>
          <w:iCs/>
        </w:rPr>
      </w:pPr>
      <w:r w:rsidRPr="00097BBC">
        <w:rPr>
          <w:rStyle w:val="FootnoteReference"/>
          <w:rFonts w:asciiTheme="minorHAnsi" w:hAnsiTheme="minorHAnsi" w:cstheme="minorHAnsi"/>
        </w:rPr>
        <w:footnoteRef/>
      </w:r>
      <w:r w:rsidRPr="00097BBC">
        <w:rPr>
          <w:rFonts w:asciiTheme="minorHAnsi" w:hAnsiTheme="minorHAnsi" w:cstheme="minorHAnsi"/>
        </w:rPr>
        <w:t xml:space="preserve"> An Edinburgh Students Notebook</w:t>
      </w:r>
      <w:r w:rsidR="005F33C9" w:rsidRPr="00643BA0">
        <w:rPr>
          <w:rFonts w:asciiTheme="minorHAnsi" w:hAnsiTheme="minorHAnsi" w:cstheme="minorHAnsi"/>
        </w:rPr>
        <w:t>,</w:t>
      </w:r>
      <w:r w:rsidRPr="00097BBC">
        <w:rPr>
          <w:rFonts w:asciiTheme="minorHAnsi" w:hAnsiTheme="minorHAnsi" w:cstheme="minorHAnsi"/>
        </w:rPr>
        <w:t xml:space="preserve"> Lectures on Anatomy and Surgery by Alex Munro (Secundus) and possibly by Alexander </w:t>
      </w:r>
      <w:r w:rsidRPr="00643BA0">
        <w:rPr>
          <w:rFonts w:asciiTheme="minorHAnsi" w:hAnsiTheme="minorHAnsi" w:cstheme="minorHAnsi"/>
        </w:rPr>
        <w:t>Tertius</w:t>
      </w:r>
      <w:r w:rsidR="005F33C9">
        <w:rPr>
          <w:rFonts w:asciiTheme="minorHAnsi" w:hAnsiTheme="minorHAnsi" w:cstheme="minorHAnsi"/>
        </w:rPr>
        <w:t xml:space="preserve"> (Edinburgh: </w:t>
      </w:r>
      <w:r w:rsidRPr="00097BBC">
        <w:rPr>
          <w:rFonts w:asciiTheme="minorHAnsi" w:hAnsiTheme="minorHAnsi" w:cstheme="minorHAnsi"/>
        </w:rPr>
        <w:t>Royal College of Surgeons Edinburgh</w:t>
      </w:r>
      <w:r w:rsidR="006521A6" w:rsidRPr="00097BBC">
        <w:rPr>
          <w:rFonts w:asciiTheme="minorHAnsi" w:hAnsiTheme="minorHAnsi" w:cstheme="minorHAnsi"/>
        </w:rPr>
        <w:t>)</w:t>
      </w:r>
      <w:r w:rsidRPr="00097BBC">
        <w:rPr>
          <w:rFonts w:asciiTheme="minorHAnsi" w:hAnsiTheme="minorHAnsi" w:cstheme="minorHAnsi"/>
        </w:rPr>
        <w:t xml:space="preserve">, </w:t>
      </w:r>
      <w:r w:rsidR="00766F65" w:rsidRPr="00097BBC">
        <w:rPr>
          <w:rFonts w:asciiTheme="minorHAnsi" w:hAnsiTheme="minorHAnsi" w:cstheme="minorHAnsi"/>
        </w:rPr>
        <w:t xml:space="preserve">p. </w:t>
      </w:r>
      <w:r w:rsidRPr="00097BBC">
        <w:rPr>
          <w:rFonts w:asciiTheme="minorHAnsi" w:hAnsiTheme="minorHAnsi" w:cstheme="minorHAnsi"/>
        </w:rPr>
        <w:t>31.</w:t>
      </w:r>
    </w:p>
  </w:footnote>
  <w:footnote w:id="86">
    <w:p w14:paraId="104E0935" w14:textId="7B933AA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Jessie M. Sweet, ‘Instructions to Collectors: John Walker (1793) and Robert Jameson (1817); with Biographical Notes on James Anderson (LL.D.) and James Anderson (M.D.)’, </w:t>
      </w:r>
      <w:r w:rsidRPr="00097BBC">
        <w:rPr>
          <w:rFonts w:asciiTheme="minorHAnsi" w:hAnsiTheme="minorHAnsi" w:cstheme="minorHAnsi"/>
          <w:i/>
          <w:iCs/>
        </w:rPr>
        <w:t>Annals of Science</w:t>
      </w:r>
      <w:r w:rsidR="00766F65" w:rsidRPr="00097BBC">
        <w:rPr>
          <w:rFonts w:asciiTheme="minorHAnsi" w:hAnsiTheme="minorHAnsi" w:cstheme="minorHAnsi"/>
        </w:rPr>
        <w:t>,</w:t>
      </w:r>
      <w:r w:rsidRPr="00097BBC">
        <w:rPr>
          <w:rFonts w:asciiTheme="minorHAnsi" w:hAnsiTheme="minorHAnsi" w:cstheme="minorHAnsi"/>
        </w:rPr>
        <w:t xml:space="preserve"> 29 (1972), 397</w:t>
      </w:r>
      <w:r w:rsidR="00766F65" w:rsidRPr="00097BBC">
        <w:rPr>
          <w:rFonts w:asciiTheme="minorHAnsi" w:hAnsiTheme="minorHAnsi" w:cstheme="minorHAnsi"/>
        </w:rPr>
        <w:t>–</w:t>
      </w:r>
      <w:r w:rsidRPr="00097BBC">
        <w:rPr>
          <w:rFonts w:asciiTheme="minorHAnsi" w:hAnsiTheme="minorHAnsi" w:cstheme="minorHAnsi"/>
        </w:rPr>
        <w:t>414</w:t>
      </w:r>
      <w:r w:rsidR="00766F65" w:rsidRPr="00097BBC">
        <w:rPr>
          <w:rFonts w:asciiTheme="minorHAnsi" w:hAnsiTheme="minorHAnsi" w:cstheme="minorHAnsi"/>
        </w:rPr>
        <w:t xml:space="preserve"> (p. </w:t>
      </w:r>
      <w:r w:rsidRPr="00097BBC">
        <w:rPr>
          <w:rFonts w:asciiTheme="minorHAnsi" w:hAnsiTheme="minorHAnsi" w:cstheme="minorHAnsi"/>
        </w:rPr>
        <w:t>403</w:t>
      </w:r>
      <w:r w:rsidR="00766F65" w:rsidRPr="00097BBC">
        <w:rPr>
          <w:rFonts w:asciiTheme="minorHAnsi" w:hAnsiTheme="minorHAnsi" w:cstheme="minorHAnsi"/>
        </w:rPr>
        <w:t>)</w:t>
      </w:r>
      <w:r w:rsidRPr="00097BBC">
        <w:rPr>
          <w:rFonts w:asciiTheme="minorHAnsi" w:hAnsiTheme="minorHAnsi" w:cstheme="minorHAnsi"/>
        </w:rPr>
        <w:t xml:space="preserve">. </w:t>
      </w:r>
    </w:p>
  </w:footnote>
  <w:footnote w:id="87">
    <w:p w14:paraId="1CC3E815" w14:textId="3E70BE69" w:rsidR="00773F7C" w:rsidRPr="00097BBC" w:rsidRDefault="00773F7C" w:rsidP="00057638">
      <w:pPr>
        <w:rPr>
          <w:rFonts w:cstheme="minorHAnsi"/>
          <w:sz w:val="20"/>
          <w:szCs w:val="20"/>
        </w:rPr>
      </w:pPr>
      <w:r w:rsidRPr="00097BBC">
        <w:rPr>
          <w:rStyle w:val="FootnoteReference"/>
          <w:rFonts w:cstheme="minorHAnsi"/>
          <w:sz w:val="20"/>
          <w:szCs w:val="20"/>
        </w:rPr>
        <w:footnoteRef/>
      </w:r>
      <w:r w:rsidRPr="00097BBC">
        <w:rPr>
          <w:rFonts w:cstheme="minorHAnsi"/>
          <w:sz w:val="20"/>
          <w:szCs w:val="20"/>
        </w:rPr>
        <w:t xml:space="preserve"> Bill Jenkins, ‘Race before Darwin: Variation, </w:t>
      </w:r>
      <w:r w:rsidR="00766F65" w:rsidRPr="00097BBC">
        <w:rPr>
          <w:rFonts w:cstheme="minorHAnsi"/>
          <w:sz w:val="20"/>
          <w:szCs w:val="20"/>
        </w:rPr>
        <w:t>A</w:t>
      </w:r>
      <w:r w:rsidRPr="00097BBC">
        <w:rPr>
          <w:rFonts w:cstheme="minorHAnsi"/>
          <w:sz w:val="20"/>
          <w:szCs w:val="20"/>
        </w:rPr>
        <w:t xml:space="preserve">daptation and the </w:t>
      </w:r>
      <w:r w:rsidR="00766F65" w:rsidRPr="00097BBC">
        <w:rPr>
          <w:rFonts w:cstheme="minorHAnsi"/>
          <w:sz w:val="20"/>
          <w:szCs w:val="20"/>
        </w:rPr>
        <w:t>N</w:t>
      </w:r>
      <w:r w:rsidRPr="00097BBC">
        <w:rPr>
          <w:rFonts w:cstheme="minorHAnsi"/>
          <w:sz w:val="20"/>
          <w:szCs w:val="20"/>
        </w:rPr>
        <w:t xml:space="preserve">atural </w:t>
      </w:r>
      <w:r w:rsidR="00766F65" w:rsidRPr="00097BBC">
        <w:rPr>
          <w:rFonts w:cstheme="minorHAnsi"/>
          <w:sz w:val="20"/>
          <w:szCs w:val="20"/>
        </w:rPr>
        <w:t>H</w:t>
      </w:r>
      <w:r w:rsidRPr="00097BBC">
        <w:rPr>
          <w:rFonts w:cstheme="minorHAnsi"/>
          <w:sz w:val="20"/>
          <w:szCs w:val="20"/>
        </w:rPr>
        <w:t xml:space="preserve">istory of </w:t>
      </w:r>
      <w:r w:rsidR="00766F65" w:rsidRPr="00097BBC">
        <w:rPr>
          <w:rFonts w:cstheme="minorHAnsi"/>
          <w:sz w:val="20"/>
          <w:szCs w:val="20"/>
        </w:rPr>
        <w:t>M</w:t>
      </w:r>
      <w:r w:rsidRPr="00097BBC">
        <w:rPr>
          <w:rFonts w:cstheme="minorHAnsi"/>
          <w:sz w:val="20"/>
          <w:szCs w:val="20"/>
        </w:rPr>
        <w:t xml:space="preserve">an in </w:t>
      </w:r>
      <w:r w:rsidR="00766F65" w:rsidRPr="00097BBC">
        <w:rPr>
          <w:rFonts w:cstheme="minorHAnsi"/>
          <w:sz w:val="20"/>
          <w:szCs w:val="20"/>
        </w:rPr>
        <w:t>P</w:t>
      </w:r>
      <w:r w:rsidRPr="00097BBC">
        <w:rPr>
          <w:rFonts w:cstheme="minorHAnsi"/>
          <w:sz w:val="20"/>
          <w:szCs w:val="20"/>
        </w:rPr>
        <w:t>ost-Enlightenment Edinburgh, 1790</w:t>
      </w:r>
      <w:r w:rsidR="00766F65" w:rsidRPr="00097BBC">
        <w:rPr>
          <w:rFonts w:cstheme="minorHAnsi"/>
          <w:sz w:val="20"/>
          <w:szCs w:val="20"/>
        </w:rPr>
        <w:t>–</w:t>
      </w:r>
      <w:r w:rsidRPr="00097BBC">
        <w:rPr>
          <w:rFonts w:cstheme="minorHAnsi"/>
          <w:sz w:val="20"/>
          <w:szCs w:val="20"/>
        </w:rPr>
        <w:t xml:space="preserve">1835’, </w:t>
      </w:r>
      <w:r w:rsidRPr="00097BBC">
        <w:rPr>
          <w:rFonts w:cstheme="minorHAnsi"/>
          <w:i/>
          <w:iCs/>
          <w:sz w:val="20"/>
          <w:szCs w:val="20"/>
        </w:rPr>
        <w:t>British Journal for the History of Science</w:t>
      </w:r>
      <w:r w:rsidR="00766F65" w:rsidRPr="00097BBC">
        <w:rPr>
          <w:rFonts w:cstheme="minorHAnsi"/>
          <w:sz w:val="20"/>
          <w:szCs w:val="20"/>
        </w:rPr>
        <w:t>,</w:t>
      </w:r>
      <w:r w:rsidRPr="00097BBC">
        <w:rPr>
          <w:rFonts w:cstheme="minorHAnsi"/>
          <w:sz w:val="20"/>
          <w:szCs w:val="20"/>
        </w:rPr>
        <w:t xml:space="preserve"> 53 (2020), 333</w:t>
      </w:r>
      <w:r w:rsidR="00766F65" w:rsidRPr="00097BBC">
        <w:rPr>
          <w:rFonts w:cstheme="minorHAnsi"/>
          <w:sz w:val="20"/>
          <w:szCs w:val="20"/>
        </w:rPr>
        <w:t>–</w:t>
      </w:r>
      <w:r w:rsidRPr="00097BBC">
        <w:rPr>
          <w:rFonts w:cstheme="minorHAnsi"/>
          <w:sz w:val="20"/>
          <w:szCs w:val="20"/>
        </w:rPr>
        <w:t xml:space="preserve">50; Colin Kidd, ‘Medicine, Race, and Radicalism in the Later Scottish Enlightenment’, in </w:t>
      </w:r>
      <w:r w:rsidRPr="00097BBC">
        <w:rPr>
          <w:rFonts w:cstheme="minorHAnsi"/>
          <w:i/>
          <w:iCs/>
          <w:sz w:val="20"/>
          <w:szCs w:val="20"/>
        </w:rPr>
        <w:t>The Practice of Reform in Health, Medicine, and Science, 1500</w:t>
      </w:r>
      <w:r w:rsidR="00766F65" w:rsidRPr="00097BBC">
        <w:rPr>
          <w:rFonts w:cstheme="minorHAnsi"/>
          <w:i/>
          <w:iCs/>
          <w:sz w:val="20"/>
          <w:szCs w:val="20"/>
        </w:rPr>
        <w:t>–</w:t>
      </w:r>
      <w:r w:rsidRPr="00097BBC">
        <w:rPr>
          <w:rFonts w:cstheme="minorHAnsi"/>
          <w:i/>
          <w:iCs/>
          <w:sz w:val="20"/>
          <w:szCs w:val="20"/>
        </w:rPr>
        <w:t>2000</w:t>
      </w:r>
      <w:r w:rsidR="00766F65" w:rsidRPr="00097BBC">
        <w:rPr>
          <w:rFonts w:cstheme="minorHAnsi"/>
          <w:sz w:val="20"/>
          <w:szCs w:val="20"/>
        </w:rPr>
        <w:t>, ed. by Margaret Pelling and Scott Mandelbrote</w:t>
      </w:r>
      <w:r w:rsidRPr="00097BBC">
        <w:rPr>
          <w:rFonts w:cstheme="minorHAnsi"/>
          <w:sz w:val="20"/>
          <w:szCs w:val="20"/>
        </w:rPr>
        <w:t xml:space="preserve"> (Aldershot</w:t>
      </w:r>
      <w:r w:rsidR="00325757" w:rsidRPr="00097BBC">
        <w:rPr>
          <w:rFonts w:cstheme="minorHAnsi"/>
          <w:sz w:val="20"/>
          <w:szCs w:val="20"/>
        </w:rPr>
        <w:t>: Ashgate,</w:t>
      </w:r>
      <w:r w:rsidRPr="00097BBC">
        <w:rPr>
          <w:rFonts w:cstheme="minorHAnsi"/>
          <w:sz w:val="20"/>
          <w:szCs w:val="20"/>
        </w:rPr>
        <w:t xml:space="preserve"> 2005); </w:t>
      </w:r>
      <w:r w:rsidR="00A47C89" w:rsidRPr="00097BBC">
        <w:rPr>
          <w:rFonts w:cstheme="minorHAnsi"/>
          <w:sz w:val="20"/>
          <w:szCs w:val="20"/>
        </w:rPr>
        <w:t xml:space="preserve">Colin </w:t>
      </w:r>
      <w:r w:rsidRPr="00097BBC">
        <w:rPr>
          <w:rFonts w:cstheme="minorHAnsi"/>
          <w:sz w:val="20"/>
          <w:szCs w:val="20"/>
        </w:rPr>
        <w:t xml:space="preserve">Kidd, </w:t>
      </w:r>
      <w:r w:rsidRPr="00097BBC">
        <w:rPr>
          <w:rFonts w:cstheme="minorHAnsi"/>
          <w:i/>
          <w:iCs/>
          <w:sz w:val="20"/>
          <w:szCs w:val="20"/>
        </w:rPr>
        <w:t>The Forging of Races</w:t>
      </w:r>
      <w:r w:rsidR="00A47C89" w:rsidRPr="00097BBC">
        <w:rPr>
          <w:rFonts w:cstheme="minorHAnsi"/>
          <w:i/>
          <w:iCs/>
          <w:sz w:val="20"/>
          <w:szCs w:val="20"/>
        </w:rPr>
        <w:t>: Race and Scripture in the Protestant Atlantic World, 1600–2000</w:t>
      </w:r>
      <w:r w:rsidR="00A47C89" w:rsidRPr="00097BBC">
        <w:rPr>
          <w:rFonts w:cstheme="minorHAnsi"/>
          <w:sz w:val="20"/>
          <w:szCs w:val="20"/>
        </w:rPr>
        <w:t xml:space="preserve"> (Cambridge: Cambridge University Press, </w:t>
      </w:r>
      <w:r w:rsidR="00312D19" w:rsidRPr="00097BBC">
        <w:rPr>
          <w:rFonts w:cstheme="minorHAnsi"/>
          <w:sz w:val="20"/>
          <w:szCs w:val="20"/>
        </w:rPr>
        <w:t>2006), pp.</w:t>
      </w:r>
      <w:r w:rsidRPr="00097BBC">
        <w:rPr>
          <w:rFonts w:cstheme="minorHAnsi"/>
          <w:sz w:val="20"/>
          <w:szCs w:val="20"/>
        </w:rPr>
        <w:t xml:space="preserve"> 100</w:t>
      </w:r>
      <w:r w:rsidR="00312D19" w:rsidRPr="00097BBC">
        <w:rPr>
          <w:rFonts w:cstheme="minorHAnsi"/>
          <w:sz w:val="20"/>
          <w:szCs w:val="20"/>
        </w:rPr>
        <w:t>–</w:t>
      </w:r>
      <w:r w:rsidRPr="00643BA0">
        <w:rPr>
          <w:rFonts w:cstheme="minorHAnsi"/>
          <w:sz w:val="20"/>
          <w:szCs w:val="20"/>
        </w:rPr>
        <w:t>05</w:t>
      </w:r>
      <w:r w:rsidRPr="00097BBC">
        <w:rPr>
          <w:rFonts w:cstheme="minorHAnsi"/>
          <w:sz w:val="20"/>
          <w:szCs w:val="20"/>
        </w:rPr>
        <w:t>.</w:t>
      </w:r>
    </w:p>
  </w:footnote>
  <w:footnote w:id="88">
    <w:p w14:paraId="22AB3F74" w14:textId="04737E52" w:rsidR="00773F7C" w:rsidRPr="00097BBC" w:rsidRDefault="00773F7C" w:rsidP="00057638">
      <w:pPr>
        <w:rPr>
          <w:rFonts w:cstheme="minorHAnsi"/>
          <w:sz w:val="20"/>
          <w:szCs w:val="20"/>
        </w:rPr>
      </w:pPr>
      <w:r w:rsidRPr="00097BBC">
        <w:rPr>
          <w:rStyle w:val="FootnoteReference"/>
          <w:rFonts w:cstheme="minorHAnsi"/>
          <w:sz w:val="20"/>
          <w:szCs w:val="20"/>
        </w:rPr>
        <w:footnoteRef/>
      </w:r>
      <w:r w:rsidRPr="00097BBC">
        <w:rPr>
          <w:rFonts w:cstheme="minorHAnsi"/>
          <w:sz w:val="20"/>
          <w:szCs w:val="20"/>
        </w:rPr>
        <w:t xml:space="preserve"> James Buchan, ‘Whether are Moral and Physical causes sufficient to account for the varieties which occur in the Human Species?’, Royal Medical Society Dissertations, Vol. 26 (1790</w:t>
      </w:r>
      <w:r w:rsidR="00DA27E0" w:rsidRPr="00097BBC">
        <w:rPr>
          <w:rFonts w:cstheme="minorHAnsi"/>
          <w:sz w:val="20"/>
          <w:szCs w:val="20"/>
        </w:rPr>
        <w:t>–</w:t>
      </w:r>
      <w:r w:rsidRPr="00097BBC">
        <w:rPr>
          <w:rFonts w:cstheme="minorHAnsi"/>
          <w:sz w:val="20"/>
          <w:szCs w:val="20"/>
        </w:rPr>
        <w:t xml:space="preserve">91), </w:t>
      </w:r>
      <w:r w:rsidR="00DA27E0" w:rsidRPr="00097BBC">
        <w:rPr>
          <w:rFonts w:cstheme="minorHAnsi"/>
          <w:sz w:val="20"/>
          <w:szCs w:val="20"/>
        </w:rPr>
        <w:t xml:space="preserve">pp. </w:t>
      </w:r>
      <w:r w:rsidRPr="00097BBC">
        <w:rPr>
          <w:rFonts w:cstheme="minorHAnsi"/>
          <w:sz w:val="20"/>
          <w:szCs w:val="20"/>
        </w:rPr>
        <w:t>310</w:t>
      </w:r>
      <w:r w:rsidR="00DA27E0" w:rsidRPr="00097BBC">
        <w:rPr>
          <w:rFonts w:cstheme="minorHAnsi"/>
          <w:sz w:val="20"/>
          <w:szCs w:val="20"/>
        </w:rPr>
        <w:t>–</w:t>
      </w:r>
      <w:r w:rsidRPr="00097BBC">
        <w:rPr>
          <w:rFonts w:cstheme="minorHAnsi"/>
          <w:sz w:val="20"/>
          <w:szCs w:val="20"/>
        </w:rPr>
        <w:t xml:space="preserve">11, </w:t>
      </w:r>
      <w:r w:rsidR="00DA27E0" w:rsidRPr="00097BBC">
        <w:rPr>
          <w:rFonts w:cstheme="minorHAnsi"/>
          <w:sz w:val="20"/>
          <w:szCs w:val="20"/>
        </w:rPr>
        <w:t xml:space="preserve">p. </w:t>
      </w:r>
      <w:r w:rsidRPr="00097BBC">
        <w:rPr>
          <w:rFonts w:cstheme="minorHAnsi"/>
          <w:sz w:val="20"/>
          <w:szCs w:val="20"/>
        </w:rPr>
        <w:t xml:space="preserve">317. </w:t>
      </w:r>
    </w:p>
  </w:footnote>
  <w:footnote w:id="89">
    <w:p w14:paraId="1EAE061B" w14:textId="55DDBC8D"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Nicholas Pitta, ‘What is the influence of climate on the human species? And what are the varieties of men which result from it?’, RMS Dissertations, Vol. 66 (1811</w:t>
      </w:r>
      <w:r w:rsidR="00DA27E0" w:rsidRPr="00097BBC">
        <w:rPr>
          <w:rFonts w:asciiTheme="minorHAnsi" w:hAnsiTheme="minorHAnsi" w:cstheme="minorHAnsi"/>
        </w:rPr>
        <w:t>–</w:t>
      </w:r>
      <w:r w:rsidRPr="00097BBC">
        <w:rPr>
          <w:rFonts w:asciiTheme="minorHAnsi" w:hAnsiTheme="minorHAnsi" w:cstheme="minorHAnsi"/>
        </w:rPr>
        <w:t xml:space="preserve">12), </w:t>
      </w:r>
      <w:r w:rsidR="00DA27E0" w:rsidRPr="00097BBC">
        <w:rPr>
          <w:rFonts w:asciiTheme="minorHAnsi" w:hAnsiTheme="minorHAnsi" w:cstheme="minorHAnsi"/>
        </w:rPr>
        <w:t xml:space="preserve">pp. </w:t>
      </w:r>
      <w:r w:rsidRPr="00097BBC">
        <w:rPr>
          <w:rFonts w:asciiTheme="minorHAnsi" w:hAnsiTheme="minorHAnsi" w:cstheme="minorHAnsi"/>
        </w:rPr>
        <w:t>283</w:t>
      </w:r>
      <w:r w:rsidR="00DA27E0" w:rsidRPr="00097BBC">
        <w:rPr>
          <w:rFonts w:asciiTheme="minorHAnsi" w:hAnsiTheme="minorHAnsi" w:cstheme="minorHAnsi"/>
        </w:rPr>
        <w:t>–</w:t>
      </w:r>
      <w:r w:rsidRPr="00097BBC">
        <w:rPr>
          <w:rFonts w:asciiTheme="minorHAnsi" w:hAnsiTheme="minorHAnsi" w:cstheme="minorHAnsi"/>
        </w:rPr>
        <w:t xml:space="preserve">307; Nicholas Pitta, </w:t>
      </w:r>
      <w:r w:rsidRPr="00097BBC">
        <w:rPr>
          <w:rFonts w:asciiTheme="minorHAnsi" w:hAnsiTheme="minorHAnsi" w:cstheme="minorHAnsi"/>
          <w:i/>
          <w:iCs/>
        </w:rPr>
        <w:t>Treatise on the Influence of Climate on the Human Species</w:t>
      </w:r>
      <w:r w:rsidRPr="00097BBC">
        <w:rPr>
          <w:rFonts w:asciiTheme="minorHAnsi" w:hAnsiTheme="minorHAnsi" w:cstheme="minorHAnsi"/>
        </w:rPr>
        <w:t xml:space="preserve"> (London</w:t>
      </w:r>
      <w:r w:rsidR="009174BB">
        <w:rPr>
          <w:rFonts w:asciiTheme="minorHAnsi" w:hAnsiTheme="minorHAnsi" w:cstheme="minorHAnsi"/>
        </w:rPr>
        <w:t>: [N.pub]</w:t>
      </w:r>
      <w:r w:rsidRPr="00097BBC">
        <w:rPr>
          <w:rFonts w:asciiTheme="minorHAnsi" w:hAnsiTheme="minorHAnsi" w:cstheme="minorHAnsi"/>
        </w:rPr>
        <w:t xml:space="preserve">, 1812), </w:t>
      </w:r>
      <w:r w:rsidR="00DA27E0" w:rsidRPr="00097BBC">
        <w:rPr>
          <w:rFonts w:asciiTheme="minorHAnsi" w:hAnsiTheme="minorHAnsi" w:cstheme="minorHAnsi"/>
        </w:rPr>
        <w:t xml:space="preserve">p. </w:t>
      </w:r>
      <w:r w:rsidRPr="00097BBC">
        <w:rPr>
          <w:rFonts w:asciiTheme="minorHAnsi" w:hAnsiTheme="minorHAnsi" w:cstheme="minorHAnsi"/>
        </w:rPr>
        <w:t xml:space="preserve">32. </w:t>
      </w:r>
    </w:p>
  </w:footnote>
  <w:footnote w:id="90">
    <w:p w14:paraId="152CFFCB" w14:textId="7BF95068"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Richard H. Dyett, ‘Is there any original difference of Intellectual Ability amongst Mankind?’, RMS Dissertations, Vol. 58 (1807</w:t>
      </w:r>
      <w:r w:rsidR="00DA27E0" w:rsidRPr="00097BBC">
        <w:rPr>
          <w:rFonts w:asciiTheme="minorHAnsi" w:hAnsiTheme="minorHAnsi" w:cstheme="minorHAnsi"/>
        </w:rPr>
        <w:t>–</w:t>
      </w:r>
      <w:r w:rsidRPr="00097BBC">
        <w:rPr>
          <w:rFonts w:asciiTheme="minorHAnsi" w:hAnsiTheme="minorHAnsi" w:cstheme="minorHAnsi"/>
        </w:rPr>
        <w:t xml:space="preserve">07), </w:t>
      </w:r>
      <w:r w:rsidR="00DA27E0" w:rsidRPr="00097BBC">
        <w:rPr>
          <w:rFonts w:asciiTheme="minorHAnsi" w:hAnsiTheme="minorHAnsi" w:cstheme="minorHAnsi"/>
        </w:rPr>
        <w:t xml:space="preserve">p. </w:t>
      </w:r>
      <w:r w:rsidRPr="00097BBC">
        <w:rPr>
          <w:rFonts w:asciiTheme="minorHAnsi" w:hAnsiTheme="minorHAnsi" w:cstheme="minorHAnsi"/>
        </w:rPr>
        <w:t>228.</w:t>
      </w:r>
    </w:p>
  </w:footnote>
  <w:footnote w:id="91">
    <w:p w14:paraId="7A5DDB3F" w14:textId="77F3EAC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Samuel Cramer, ‘What </w:t>
      </w:r>
      <w:r w:rsidR="003D6D6C">
        <w:rPr>
          <w:rFonts w:asciiTheme="minorHAnsi" w:hAnsiTheme="minorHAnsi" w:cstheme="minorHAnsi"/>
        </w:rPr>
        <w:t>I</w:t>
      </w:r>
      <w:r w:rsidRPr="00643BA0">
        <w:rPr>
          <w:rFonts w:asciiTheme="minorHAnsi" w:hAnsiTheme="minorHAnsi" w:cstheme="minorHAnsi"/>
        </w:rPr>
        <w:t>nfluence</w:t>
      </w:r>
      <w:r w:rsidRPr="00097BBC">
        <w:rPr>
          <w:rFonts w:asciiTheme="minorHAnsi" w:hAnsiTheme="minorHAnsi" w:cstheme="minorHAnsi"/>
        </w:rPr>
        <w:t xml:space="preserve"> has Climate on the Human Constitution?’, Royal Physical Society Dissertations, EUL DA.67 Phys, Vol</w:t>
      </w:r>
      <w:r w:rsidR="00DA27E0" w:rsidRPr="00097BBC">
        <w:rPr>
          <w:rFonts w:asciiTheme="minorHAnsi" w:hAnsiTheme="minorHAnsi" w:cstheme="minorHAnsi"/>
        </w:rPr>
        <w:t>.</w:t>
      </w:r>
      <w:r w:rsidRPr="00097BBC">
        <w:rPr>
          <w:rFonts w:asciiTheme="minorHAnsi" w:hAnsiTheme="minorHAnsi" w:cstheme="minorHAnsi"/>
        </w:rPr>
        <w:t xml:space="preserve"> 19 (1798</w:t>
      </w:r>
      <w:r w:rsidR="008F3B5E" w:rsidRPr="00E52FD6">
        <w:rPr>
          <w:rFonts w:asciiTheme="minorHAnsi" w:hAnsiTheme="minorHAnsi" w:cstheme="minorHAnsi"/>
        </w:rPr>
        <w:t>–</w:t>
      </w:r>
      <w:r w:rsidRPr="00097BBC">
        <w:rPr>
          <w:rFonts w:asciiTheme="minorHAnsi" w:hAnsiTheme="minorHAnsi" w:cstheme="minorHAnsi"/>
        </w:rPr>
        <w:t xml:space="preserve">1800), </w:t>
      </w:r>
      <w:r w:rsidR="008F3B5E">
        <w:rPr>
          <w:rFonts w:asciiTheme="minorHAnsi" w:hAnsiTheme="minorHAnsi" w:cstheme="minorHAnsi"/>
        </w:rPr>
        <w:t xml:space="preserve">p. </w:t>
      </w:r>
      <w:r w:rsidRPr="00097BBC">
        <w:rPr>
          <w:rFonts w:asciiTheme="minorHAnsi" w:hAnsiTheme="minorHAnsi" w:cstheme="minorHAnsi"/>
        </w:rPr>
        <w:t>488.</w:t>
      </w:r>
    </w:p>
  </w:footnote>
  <w:footnote w:id="92">
    <w:p w14:paraId="7DB0EB2E" w14:textId="686D22ED" w:rsidR="00773F7C" w:rsidRPr="00097BBC" w:rsidRDefault="00773F7C" w:rsidP="00057638">
      <w:pPr>
        <w:rPr>
          <w:rFonts w:cstheme="minorHAnsi"/>
          <w:sz w:val="20"/>
          <w:szCs w:val="20"/>
        </w:rPr>
      </w:pPr>
      <w:r w:rsidRPr="00097BBC">
        <w:rPr>
          <w:rStyle w:val="FootnoteReference"/>
          <w:rFonts w:cstheme="minorHAnsi"/>
          <w:sz w:val="20"/>
          <w:szCs w:val="20"/>
        </w:rPr>
        <w:footnoteRef/>
      </w:r>
      <w:r w:rsidRPr="00097BBC">
        <w:rPr>
          <w:rFonts w:cstheme="minorHAnsi"/>
          <w:sz w:val="20"/>
          <w:szCs w:val="20"/>
        </w:rPr>
        <w:t xml:space="preserve"> John Taylor, ‘Are all Men originally descended from the same Stock?’, Royal Physical Society Dissertations, EUL DA.67 Phys, Vol. 24 (1804</w:t>
      </w:r>
      <w:r w:rsidR="008F3B5E" w:rsidRPr="001548BC">
        <w:rPr>
          <w:rFonts w:cstheme="minorHAnsi"/>
          <w:sz w:val="20"/>
          <w:szCs w:val="20"/>
        </w:rPr>
        <w:t>–</w:t>
      </w:r>
      <w:r w:rsidR="008F3B5E" w:rsidRPr="00643BA0">
        <w:rPr>
          <w:rFonts w:cstheme="minorHAnsi"/>
          <w:sz w:val="20"/>
          <w:szCs w:val="20"/>
        </w:rPr>
        <w:t>0</w:t>
      </w:r>
      <w:r w:rsidRPr="00643BA0">
        <w:rPr>
          <w:rFonts w:cstheme="minorHAnsi"/>
          <w:sz w:val="20"/>
          <w:szCs w:val="20"/>
        </w:rPr>
        <w:t>6</w:t>
      </w:r>
      <w:r w:rsidRPr="00097BBC">
        <w:rPr>
          <w:rFonts w:cstheme="minorHAnsi"/>
          <w:sz w:val="20"/>
          <w:szCs w:val="20"/>
        </w:rPr>
        <w:t xml:space="preserve">), </w:t>
      </w:r>
      <w:r w:rsidR="00DA27E0" w:rsidRPr="00097BBC">
        <w:rPr>
          <w:rFonts w:cstheme="minorHAnsi"/>
          <w:sz w:val="20"/>
          <w:szCs w:val="20"/>
        </w:rPr>
        <w:t xml:space="preserve">pp. </w:t>
      </w:r>
      <w:r w:rsidRPr="00097BBC">
        <w:rPr>
          <w:rFonts w:cstheme="minorHAnsi"/>
          <w:sz w:val="20"/>
          <w:szCs w:val="20"/>
        </w:rPr>
        <w:t>464</w:t>
      </w:r>
      <w:r w:rsidR="00DA27E0" w:rsidRPr="00097BBC">
        <w:rPr>
          <w:rFonts w:cstheme="minorHAnsi"/>
          <w:sz w:val="20"/>
          <w:szCs w:val="20"/>
        </w:rPr>
        <w:t>–</w:t>
      </w:r>
      <w:r w:rsidRPr="00097BBC">
        <w:rPr>
          <w:rFonts w:cstheme="minorHAnsi"/>
          <w:sz w:val="20"/>
          <w:szCs w:val="20"/>
        </w:rPr>
        <w:t>71.</w:t>
      </w:r>
    </w:p>
  </w:footnote>
  <w:footnote w:id="93">
    <w:p w14:paraId="073B481D"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Francis Irvine Papers, NLS, MS 11727, 18r.</w:t>
      </w:r>
    </w:p>
  </w:footnote>
  <w:footnote w:id="94">
    <w:p w14:paraId="084A3284" w14:textId="59E6FC73"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John Crawfurd, </w:t>
      </w:r>
      <w:r w:rsidRPr="00097BBC">
        <w:rPr>
          <w:rFonts w:asciiTheme="minorHAnsi" w:hAnsiTheme="minorHAnsi" w:cstheme="minorHAnsi"/>
          <w:i/>
          <w:iCs/>
        </w:rPr>
        <w:t>History of the Indian Archipelago</w:t>
      </w:r>
      <w:r w:rsidR="008F3B5E">
        <w:rPr>
          <w:rFonts w:asciiTheme="minorHAnsi" w:hAnsiTheme="minorHAnsi" w:cstheme="minorHAnsi"/>
        </w:rPr>
        <w:t xml:space="preserve">, </w:t>
      </w:r>
      <w:r w:rsidR="008F3B5E" w:rsidRPr="00097BBC">
        <w:rPr>
          <w:rFonts w:asciiTheme="minorHAnsi" w:hAnsiTheme="minorHAnsi" w:cstheme="minorHAnsi"/>
        </w:rPr>
        <w:t>3 vols.</w:t>
      </w:r>
      <w:r w:rsidRPr="00097BBC">
        <w:rPr>
          <w:rFonts w:asciiTheme="minorHAnsi" w:hAnsiTheme="minorHAnsi" w:cstheme="minorHAnsi"/>
          <w:i/>
          <w:iCs/>
        </w:rPr>
        <w:t xml:space="preserve"> </w:t>
      </w:r>
      <w:r w:rsidRPr="00643BA0">
        <w:rPr>
          <w:rFonts w:asciiTheme="minorHAnsi" w:hAnsiTheme="minorHAnsi" w:cstheme="minorHAnsi"/>
        </w:rPr>
        <w:t>(</w:t>
      </w:r>
      <w:r w:rsidRPr="00097BBC">
        <w:rPr>
          <w:rFonts w:asciiTheme="minorHAnsi" w:hAnsiTheme="minorHAnsi" w:cstheme="minorHAnsi"/>
        </w:rPr>
        <w:t xml:space="preserve">London, 1820), I, </w:t>
      </w:r>
      <w:r w:rsidR="00017D70" w:rsidRPr="00097BBC">
        <w:rPr>
          <w:rFonts w:asciiTheme="minorHAnsi" w:hAnsiTheme="minorHAnsi" w:cstheme="minorHAnsi"/>
        </w:rPr>
        <w:t xml:space="preserve">p. </w:t>
      </w:r>
      <w:r w:rsidRPr="00097BBC">
        <w:rPr>
          <w:rFonts w:asciiTheme="minorHAnsi" w:hAnsiTheme="minorHAnsi" w:cstheme="minorHAnsi"/>
        </w:rPr>
        <w:t>18.</w:t>
      </w:r>
    </w:p>
  </w:footnote>
  <w:footnote w:id="95">
    <w:p w14:paraId="2180AB5A" w14:textId="41807FEC"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643BA0">
        <w:rPr>
          <w:rFonts w:asciiTheme="minorHAnsi" w:hAnsiTheme="minorHAnsi" w:cstheme="minorHAnsi"/>
        </w:rPr>
        <w:t xml:space="preserve"> </w:t>
      </w:r>
      <w:r w:rsidR="00ED3413">
        <w:rPr>
          <w:rFonts w:asciiTheme="minorHAnsi" w:hAnsiTheme="minorHAnsi" w:cstheme="minorHAnsi"/>
        </w:rPr>
        <w:t>James</w:t>
      </w:r>
      <w:r w:rsidRPr="00097BBC">
        <w:rPr>
          <w:rFonts w:asciiTheme="minorHAnsi" w:hAnsiTheme="minorHAnsi" w:cstheme="minorHAnsi"/>
        </w:rPr>
        <w:t xml:space="preserve"> Mill, </w:t>
      </w:r>
      <w:r w:rsidRPr="00097BBC">
        <w:rPr>
          <w:rFonts w:asciiTheme="minorHAnsi" w:hAnsiTheme="minorHAnsi" w:cstheme="minorHAnsi"/>
          <w:i/>
          <w:iCs/>
        </w:rPr>
        <w:t>The History of British India</w:t>
      </w:r>
      <w:r w:rsidRPr="00097BBC">
        <w:rPr>
          <w:rFonts w:asciiTheme="minorHAnsi" w:hAnsiTheme="minorHAnsi" w:cstheme="minorHAnsi"/>
        </w:rPr>
        <w:t xml:space="preserve">, </w:t>
      </w:r>
      <w:r w:rsidR="00ED3413">
        <w:rPr>
          <w:rFonts w:asciiTheme="minorHAnsi" w:hAnsiTheme="minorHAnsi" w:cstheme="minorHAnsi"/>
        </w:rPr>
        <w:t>3 vols</w:t>
      </w:r>
      <w:r w:rsidR="00F42090">
        <w:rPr>
          <w:rFonts w:asciiTheme="minorHAnsi" w:hAnsiTheme="minorHAnsi" w:cstheme="minorHAnsi"/>
        </w:rPr>
        <w:t>. (London</w:t>
      </w:r>
      <w:r w:rsidR="00AC7F52" w:rsidRPr="00B04460">
        <w:rPr>
          <w:rFonts w:asciiTheme="minorHAnsi" w:hAnsiTheme="minorHAnsi" w:cstheme="minorHAnsi"/>
        </w:rPr>
        <w:t>:</w:t>
      </w:r>
      <w:r w:rsidR="00AC7F52" w:rsidRPr="00B04460">
        <w:rPr>
          <w:rFonts w:asciiTheme="minorHAnsi" w:hAnsiTheme="minorHAnsi" w:cstheme="minorHAnsi"/>
          <w:lang w:val="en-US"/>
        </w:rPr>
        <w:t xml:space="preserve"> [N.pub]</w:t>
      </w:r>
      <w:r w:rsidR="00F42090">
        <w:rPr>
          <w:rFonts w:asciiTheme="minorHAnsi" w:hAnsiTheme="minorHAnsi" w:cstheme="minorHAnsi"/>
        </w:rPr>
        <w:t>, 1817),</w:t>
      </w:r>
      <w:r w:rsidR="00ED3413">
        <w:rPr>
          <w:rFonts w:asciiTheme="minorHAnsi" w:hAnsiTheme="minorHAnsi" w:cstheme="minorHAnsi"/>
        </w:rPr>
        <w:t xml:space="preserve"> </w:t>
      </w:r>
      <w:r w:rsidRPr="00097BBC">
        <w:rPr>
          <w:rFonts w:asciiTheme="minorHAnsi" w:hAnsiTheme="minorHAnsi" w:cstheme="minorHAnsi"/>
        </w:rPr>
        <w:t xml:space="preserve">I, </w:t>
      </w:r>
      <w:r w:rsidR="00017D70" w:rsidRPr="00097BBC">
        <w:rPr>
          <w:rFonts w:asciiTheme="minorHAnsi" w:hAnsiTheme="minorHAnsi" w:cstheme="minorHAnsi"/>
        </w:rPr>
        <w:t xml:space="preserve">p. </w:t>
      </w:r>
      <w:r w:rsidRPr="00097BBC">
        <w:rPr>
          <w:rFonts w:asciiTheme="minorHAnsi" w:hAnsiTheme="minorHAnsi" w:cstheme="minorHAnsi"/>
        </w:rPr>
        <w:t>460.</w:t>
      </w:r>
    </w:p>
  </w:footnote>
  <w:footnote w:id="96">
    <w:p w14:paraId="603A546A" w14:textId="2215ADC2" w:rsidR="00773F7C" w:rsidRPr="00097BBC" w:rsidRDefault="00773F7C" w:rsidP="00057638">
      <w:pPr>
        <w:rPr>
          <w:rFonts w:cstheme="minorHAnsi"/>
          <w:sz w:val="20"/>
          <w:szCs w:val="20"/>
        </w:rPr>
      </w:pPr>
      <w:r w:rsidRPr="00097BBC">
        <w:rPr>
          <w:rStyle w:val="FootnoteReference"/>
          <w:rFonts w:cstheme="minorHAnsi"/>
          <w:sz w:val="20"/>
          <w:szCs w:val="20"/>
        </w:rPr>
        <w:footnoteRef/>
      </w:r>
      <w:r w:rsidRPr="00097BBC">
        <w:rPr>
          <w:rFonts w:cstheme="minorHAnsi"/>
          <w:sz w:val="20"/>
          <w:szCs w:val="20"/>
        </w:rPr>
        <w:t xml:space="preserve"> [James Mill], ‘On the Affairs of India’, </w:t>
      </w:r>
      <w:r w:rsidRPr="00097BBC">
        <w:rPr>
          <w:rFonts w:cstheme="minorHAnsi"/>
          <w:i/>
          <w:iCs/>
          <w:sz w:val="20"/>
          <w:szCs w:val="20"/>
        </w:rPr>
        <w:t>Edinburgh Review</w:t>
      </w:r>
      <w:r w:rsidR="00017D70" w:rsidRPr="00097BBC">
        <w:rPr>
          <w:rFonts w:cstheme="minorHAnsi"/>
          <w:sz w:val="20"/>
          <w:szCs w:val="20"/>
        </w:rPr>
        <w:t>,</w:t>
      </w:r>
      <w:r w:rsidRPr="00097BBC">
        <w:rPr>
          <w:rFonts w:cstheme="minorHAnsi"/>
          <w:sz w:val="20"/>
          <w:szCs w:val="20"/>
        </w:rPr>
        <w:t xml:space="preserve"> 6 (1810), </w:t>
      </w:r>
      <w:r w:rsidR="00017D70" w:rsidRPr="00097BBC">
        <w:rPr>
          <w:rFonts w:cstheme="minorHAnsi"/>
          <w:sz w:val="20"/>
          <w:szCs w:val="20"/>
        </w:rPr>
        <w:t xml:space="preserve">pp. </w:t>
      </w:r>
      <w:r w:rsidRPr="00097BBC">
        <w:rPr>
          <w:rFonts w:cstheme="minorHAnsi"/>
          <w:sz w:val="20"/>
          <w:szCs w:val="20"/>
        </w:rPr>
        <w:t>127</w:t>
      </w:r>
      <w:r w:rsidR="00017D70" w:rsidRPr="00097BBC">
        <w:rPr>
          <w:rFonts w:cstheme="minorHAnsi"/>
          <w:sz w:val="20"/>
          <w:szCs w:val="20"/>
        </w:rPr>
        <w:t>–</w:t>
      </w:r>
      <w:r w:rsidRPr="00097BBC">
        <w:rPr>
          <w:rFonts w:cstheme="minorHAnsi"/>
          <w:sz w:val="20"/>
          <w:szCs w:val="20"/>
        </w:rPr>
        <w:t>57.</w:t>
      </w:r>
    </w:p>
  </w:footnote>
  <w:footnote w:id="97">
    <w:p w14:paraId="4485B9BF" w14:textId="60E3C36E" w:rsidR="002B0D18" w:rsidRPr="00097BBC" w:rsidRDefault="002B0D18" w:rsidP="00057638">
      <w:pPr>
        <w:pStyle w:val="FootnoteText"/>
        <w:jc w:val="left"/>
        <w:rPr>
          <w:rFonts w:asciiTheme="minorHAnsi" w:hAnsiTheme="minorHAnsi" w:cstheme="minorHAnsi"/>
          <w:lang w:val="en-US"/>
        </w:rPr>
      </w:pPr>
      <w:r w:rsidRPr="00097BBC">
        <w:rPr>
          <w:rStyle w:val="FootnoteReference"/>
          <w:rFonts w:asciiTheme="minorHAnsi" w:hAnsiTheme="minorHAnsi" w:cstheme="minorHAnsi"/>
        </w:rPr>
        <w:footnoteRef/>
      </w:r>
      <w:r w:rsidRPr="00097BBC">
        <w:rPr>
          <w:rFonts w:asciiTheme="minorHAnsi" w:hAnsiTheme="minorHAnsi" w:cstheme="minorHAnsi"/>
        </w:rPr>
        <w:t xml:space="preserve"> J.C. </w:t>
      </w:r>
      <w:r w:rsidRPr="00097BBC">
        <w:rPr>
          <w:rFonts w:asciiTheme="minorHAnsi" w:hAnsiTheme="minorHAnsi" w:cstheme="minorHAnsi"/>
          <w:lang w:val="en-US"/>
        </w:rPr>
        <w:t xml:space="preserve">Prichard, </w:t>
      </w:r>
      <w:r w:rsidRPr="00097BBC">
        <w:rPr>
          <w:rStyle w:val="Emphasis"/>
          <w:rFonts w:asciiTheme="minorHAnsi" w:eastAsia="Times New Roman" w:hAnsiTheme="minorHAnsi" w:cstheme="minorHAnsi"/>
        </w:rPr>
        <w:t>Researches into the Physical History of Man</w:t>
      </w:r>
      <w:r w:rsidRPr="00097BBC">
        <w:rPr>
          <w:rFonts w:asciiTheme="minorHAnsi" w:hAnsiTheme="minorHAnsi" w:cstheme="minorHAnsi"/>
          <w:i/>
          <w:lang w:val="en-US"/>
        </w:rPr>
        <w:t xml:space="preserve"> </w:t>
      </w:r>
      <w:r w:rsidRPr="00097BBC">
        <w:rPr>
          <w:rFonts w:asciiTheme="minorHAnsi" w:hAnsiTheme="minorHAnsi" w:cstheme="minorHAnsi"/>
          <w:lang w:val="en-US"/>
        </w:rPr>
        <w:t>(London</w:t>
      </w:r>
      <w:r w:rsidR="00423DFA">
        <w:rPr>
          <w:rFonts w:asciiTheme="minorHAnsi" w:hAnsiTheme="minorHAnsi" w:cstheme="minorHAnsi"/>
          <w:lang w:val="en-US"/>
        </w:rPr>
        <w:t>: [N.pub]</w:t>
      </w:r>
      <w:r w:rsidRPr="00097BBC">
        <w:rPr>
          <w:rFonts w:asciiTheme="minorHAnsi" w:hAnsiTheme="minorHAnsi" w:cstheme="minorHAnsi"/>
          <w:lang w:val="en-US"/>
        </w:rPr>
        <w:t xml:space="preserve">, 1813), </w:t>
      </w:r>
      <w:r w:rsidR="006341D6" w:rsidRPr="00097BBC">
        <w:rPr>
          <w:rFonts w:asciiTheme="minorHAnsi" w:hAnsiTheme="minorHAnsi" w:cstheme="minorHAnsi"/>
          <w:lang w:val="en-US"/>
        </w:rPr>
        <w:t xml:space="preserve">pp. </w:t>
      </w:r>
      <w:r w:rsidRPr="00097BBC">
        <w:rPr>
          <w:rFonts w:asciiTheme="minorHAnsi" w:hAnsiTheme="minorHAnsi" w:cstheme="minorHAnsi"/>
          <w:lang w:val="en-US"/>
        </w:rPr>
        <w:t>232</w:t>
      </w:r>
      <w:r w:rsidR="00017D70" w:rsidRPr="00097BBC">
        <w:rPr>
          <w:rFonts w:asciiTheme="minorHAnsi" w:hAnsiTheme="minorHAnsi" w:cstheme="minorHAnsi"/>
        </w:rPr>
        <w:t>–</w:t>
      </w:r>
      <w:r w:rsidR="006341D6" w:rsidRPr="00097BBC">
        <w:rPr>
          <w:rFonts w:asciiTheme="minorHAnsi" w:hAnsiTheme="minorHAnsi" w:cstheme="minorHAnsi"/>
        </w:rPr>
        <w:t>3</w:t>
      </w:r>
      <w:r w:rsidRPr="00097BBC">
        <w:rPr>
          <w:rFonts w:asciiTheme="minorHAnsi" w:hAnsiTheme="minorHAnsi" w:cstheme="minorHAnsi"/>
          <w:lang w:val="en-US"/>
        </w:rPr>
        <w:t>3.</w:t>
      </w:r>
    </w:p>
  </w:footnote>
  <w:footnote w:id="98">
    <w:p w14:paraId="052526C5" w14:textId="1192727A"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Samuel George Morton, </w:t>
      </w:r>
      <w:r w:rsidRPr="00097BBC">
        <w:rPr>
          <w:rFonts w:asciiTheme="minorHAnsi" w:hAnsiTheme="minorHAnsi" w:cstheme="minorHAnsi"/>
          <w:i/>
          <w:iCs/>
        </w:rPr>
        <w:t>Crania Americana: or a Comparative View of the Skulls of Various Aboriginal Nations of North and South America</w:t>
      </w:r>
      <w:r w:rsidRPr="00097BBC">
        <w:rPr>
          <w:rFonts w:asciiTheme="minorHAnsi" w:hAnsiTheme="minorHAnsi" w:cstheme="minorHAnsi"/>
        </w:rPr>
        <w:t xml:space="preserve"> (1839), </w:t>
      </w:r>
      <w:r w:rsidR="00952FA7" w:rsidRPr="00097BBC">
        <w:rPr>
          <w:rFonts w:asciiTheme="minorHAnsi" w:hAnsiTheme="minorHAnsi" w:cstheme="minorHAnsi"/>
        </w:rPr>
        <w:t xml:space="preserve">pp. </w:t>
      </w:r>
      <w:r w:rsidRPr="00097BBC">
        <w:rPr>
          <w:rFonts w:asciiTheme="minorHAnsi" w:hAnsiTheme="minorHAnsi" w:cstheme="minorHAnsi"/>
        </w:rPr>
        <w:t>5</w:t>
      </w:r>
      <w:r w:rsidR="00952FA7" w:rsidRPr="00097BBC">
        <w:rPr>
          <w:rFonts w:asciiTheme="minorHAnsi" w:hAnsiTheme="minorHAnsi" w:cstheme="minorHAnsi"/>
        </w:rPr>
        <w:t>–</w:t>
      </w:r>
      <w:r w:rsidRPr="00097BBC">
        <w:rPr>
          <w:rFonts w:asciiTheme="minorHAnsi" w:hAnsiTheme="minorHAnsi" w:cstheme="minorHAnsi"/>
        </w:rPr>
        <w:t>7.</w:t>
      </w:r>
    </w:p>
  </w:footnote>
  <w:footnote w:id="99">
    <w:p w14:paraId="7D4D15A6" w14:textId="77777777"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Morton, </w:t>
      </w:r>
      <w:r w:rsidRPr="00097BBC">
        <w:rPr>
          <w:rFonts w:asciiTheme="minorHAnsi" w:hAnsiTheme="minorHAnsi" w:cstheme="minorHAnsi"/>
          <w:i/>
          <w:iCs/>
        </w:rPr>
        <w:t>Crania Americana</w:t>
      </w:r>
      <w:r w:rsidRPr="00097BBC">
        <w:rPr>
          <w:rFonts w:asciiTheme="minorHAnsi" w:hAnsiTheme="minorHAnsi" w:cstheme="minorHAnsi"/>
        </w:rPr>
        <w:t>, np ‘Letter to John Phillips’.</w:t>
      </w:r>
    </w:p>
  </w:footnote>
  <w:footnote w:id="100">
    <w:p w14:paraId="11448974" w14:textId="5DBE1F12"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Robert Verity, </w:t>
      </w:r>
      <w:r w:rsidRPr="00097BBC">
        <w:rPr>
          <w:rFonts w:asciiTheme="minorHAnsi" w:hAnsiTheme="minorHAnsi" w:cstheme="minorHAnsi"/>
          <w:i/>
          <w:iCs/>
        </w:rPr>
        <w:t>Changes produced in the Nervous System by Civilization</w:t>
      </w:r>
      <w:r w:rsidR="00952FA7" w:rsidRPr="00097BBC">
        <w:rPr>
          <w:rFonts w:asciiTheme="minorHAnsi" w:hAnsiTheme="minorHAnsi" w:cstheme="minorHAnsi"/>
        </w:rPr>
        <w:t>,</w:t>
      </w:r>
      <w:r w:rsidR="00952FA7" w:rsidRPr="00097BBC">
        <w:rPr>
          <w:rFonts w:asciiTheme="minorHAnsi" w:hAnsiTheme="minorHAnsi" w:cstheme="minorHAnsi"/>
          <w:i/>
          <w:iCs/>
        </w:rPr>
        <w:t xml:space="preserve"> </w:t>
      </w:r>
      <w:r w:rsidRPr="00097BBC">
        <w:rPr>
          <w:rFonts w:asciiTheme="minorHAnsi" w:hAnsiTheme="minorHAnsi" w:cstheme="minorHAnsi"/>
        </w:rPr>
        <w:t>2</w:t>
      </w:r>
      <w:r w:rsidR="00952FA7" w:rsidRPr="00097BBC">
        <w:rPr>
          <w:rFonts w:asciiTheme="minorHAnsi" w:hAnsiTheme="minorHAnsi" w:cstheme="minorHAnsi"/>
        </w:rPr>
        <w:t>nd</w:t>
      </w:r>
      <w:r w:rsidRPr="00097BBC">
        <w:rPr>
          <w:rFonts w:asciiTheme="minorHAnsi" w:hAnsiTheme="minorHAnsi" w:cstheme="minorHAnsi"/>
        </w:rPr>
        <w:t xml:space="preserve"> ed.</w:t>
      </w:r>
      <w:r w:rsidR="00952FA7" w:rsidRPr="00097BBC">
        <w:rPr>
          <w:rFonts w:asciiTheme="minorHAnsi" w:hAnsiTheme="minorHAnsi" w:cstheme="minorHAnsi"/>
        </w:rPr>
        <w:t xml:space="preserve"> (</w:t>
      </w:r>
      <w:r w:rsidRPr="00097BBC">
        <w:rPr>
          <w:rFonts w:asciiTheme="minorHAnsi" w:hAnsiTheme="minorHAnsi" w:cstheme="minorHAnsi"/>
        </w:rPr>
        <w:t xml:space="preserve">London, 1839), </w:t>
      </w:r>
      <w:r w:rsidR="00952FA7" w:rsidRPr="00097BBC">
        <w:rPr>
          <w:rFonts w:asciiTheme="minorHAnsi" w:hAnsiTheme="minorHAnsi" w:cstheme="minorHAnsi"/>
        </w:rPr>
        <w:t xml:space="preserve">p. </w:t>
      </w:r>
      <w:r w:rsidRPr="00097BBC">
        <w:rPr>
          <w:rFonts w:asciiTheme="minorHAnsi" w:hAnsiTheme="minorHAnsi" w:cstheme="minorHAnsi"/>
        </w:rPr>
        <w:t>128.</w:t>
      </w:r>
    </w:p>
  </w:footnote>
  <w:footnote w:id="101">
    <w:p w14:paraId="0D59DC45" w14:textId="3630A4BD"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Robert Knox, </w:t>
      </w:r>
      <w:r w:rsidRPr="00097BBC">
        <w:rPr>
          <w:rFonts w:asciiTheme="minorHAnsi" w:hAnsiTheme="minorHAnsi" w:cstheme="minorHAnsi"/>
          <w:i/>
          <w:iCs/>
        </w:rPr>
        <w:t>The Races of Man: A Fragment</w:t>
      </w:r>
      <w:r w:rsidRPr="00097BBC">
        <w:rPr>
          <w:rFonts w:asciiTheme="minorHAnsi" w:hAnsiTheme="minorHAnsi" w:cstheme="minorHAnsi"/>
        </w:rPr>
        <w:t xml:space="preserve"> (Philadelphia</w:t>
      </w:r>
      <w:r w:rsidR="0033143E" w:rsidRPr="00097BBC">
        <w:rPr>
          <w:rFonts w:asciiTheme="minorHAnsi" w:hAnsiTheme="minorHAnsi" w:cstheme="minorHAnsi"/>
        </w:rPr>
        <w:t>: Lea &amp; Blanchard</w:t>
      </w:r>
      <w:r w:rsidRPr="00097BBC">
        <w:rPr>
          <w:rFonts w:asciiTheme="minorHAnsi" w:hAnsiTheme="minorHAnsi" w:cstheme="minorHAnsi"/>
        </w:rPr>
        <w:t xml:space="preserve">, 1850), </w:t>
      </w:r>
      <w:r w:rsidR="00140A14" w:rsidRPr="00097BBC">
        <w:rPr>
          <w:rFonts w:asciiTheme="minorHAnsi" w:hAnsiTheme="minorHAnsi" w:cstheme="minorHAnsi"/>
        </w:rPr>
        <w:t xml:space="preserve">pp. </w:t>
      </w:r>
      <w:r w:rsidRPr="00097BBC">
        <w:rPr>
          <w:rFonts w:asciiTheme="minorHAnsi" w:hAnsiTheme="minorHAnsi" w:cstheme="minorHAnsi"/>
        </w:rPr>
        <w:t>161</w:t>
      </w:r>
      <w:r w:rsidR="00F43633" w:rsidRPr="00097BBC">
        <w:rPr>
          <w:rFonts w:asciiTheme="minorHAnsi" w:hAnsiTheme="minorHAnsi" w:cstheme="minorHAnsi"/>
        </w:rPr>
        <w:t>–6</w:t>
      </w:r>
      <w:r w:rsidRPr="00097BBC">
        <w:rPr>
          <w:rFonts w:asciiTheme="minorHAnsi" w:hAnsiTheme="minorHAnsi" w:cstheme="minorHAnsi"/>
        </w:rPr>
        <w:t>2.</w:t>
      </w:r>
    </w:p>
  </w:footnote>
  <w:footnote w:id="102">
    <w:p w14:paraId="44C9E2C9" w14:textId="127E2710" w:rsidR="0085425F" w:rsidRPr="00097BBC" w:rsidRDefault="0085425F"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7F0FA4" w:rsidRPr="00097BBC">
        <w:rPr>
          <w:rFonts w:asciiTheme="minorHAnsi" w:hAnsiTheme="minorHAnsi" w:cstheme="minorHAnsi"/>
        </w:rPr>
        <w:t xml:space="preserve">International Court of </w:t>
      </w:r>
      <w:r w:rsidR="007F0FA4" w:rsidRPr="00643BA0">
        <w:rPr>
          <w:rFonts w:asciiTheme="minorHAnsi" w:hAnsiTheme="minorHAnsi" w:cstheme="minorHAnsi"/>
        </w:rPr>
        <w:t>Justice</w:t>
      </w:r>
      <w:r w:rsidR="007F0FA4" w:rsidRPr="00097BBC">
        <w:rPr>
          <w:rFonts w:asciiTheme="minorHAnsi" w:hAnsiTheme="minorHAnsi" w:cstheme="minorHAnsi"/>
        </w:rPr>
        <w:t>, South Africa v Israel, Provisional Measures, 26 January 2024,</w:t>
      </w:r>
      <w:r w:rsidR="007F0FA4" w:rsidRPr="00097BBC">
        <w:rPr>
          <w:rStyle w:val="apple-converted-space"/>
          <w:rFonts w:asciiTheme="minorHAnsi" w:hAnsiTheme="minorHAnsi" w:cstheme="minorHAnsi"/>
        </w:rPr>
        <w:t> </w:t>
      </w:r>
      <w:hyperlink r:id="rId46" w:tooltip="Original URL: https://www.icj-cij.org/sites/default/files/case-related/192/192-20240126-ord-01-00-en.pdf  Click to follow link." w:history="1">
        <w:r w:rsidR="007F0FA4" w:rsidRPr="00097BBC">
          <w:rPr>
            <w:rStyle w:val="Hyperlink"/>
            <w:rFonts w:asciiTheme="minorHAnsi" w:hAnsiTheme="minorHAnsi" w:cstheme="minorHAnsi"/>
            <w:color w:val="auto"/>
          </w:rPr>
          <w:t>https://www.icj-cij.org/sites/default/files/case-related/192/192-20240126-ord-01-00-en.pdf</w:t>
        </w:r>
      </w:hyperlink>
      <w:r w:rsidR="001E1084" w:rsidRPr="00643BA0">
        <w:rPr>
          <w:rFonts w:asciiTheme="minorHAnsi" w:hAnsiTheme="minorHAnsi" w:cstheme="minorHAnsi"/>
        </w:rPr>
        <w:t>.</w:t>
      </w:r>
      <w:r w:rsidR="001E1084" w:rsidRPr="00097BBC">
        <w:rPr>
          <w:rFonts w:asciiTheme="minorHAnsi" w:hAnsiTheme="minorHAnsi" w:cstheme="minorHAnsi"/>
        </w:rPr>
        <w:t xml:space="preserve"> See also Rosemary Sayigh,</w:t>
      </w:r>
      <w:r w:rsidR="001E1084" w:rsidRPr="00097BBC">
        <w:rPr>
          <w:rStyle w:val="apple-converted-space"/>
          <w:rFonts w:asciiTheme="minorHAnsi" w:hAnsiTheme="minorHAnsi" w:cstheme="minorHAnsi"/>
        </w:rPr>
        <w:t> </w:t>
      </w:r>
      <w:r w:rsidR="001E1084" w:rsidRPr="00097BBC">
        <w:rPr>
          <w:rFonts w:asciiTheme="minorHAnsi" w:hAnsiTheme="minorHAnsi" w:cstheme="minorHAnsi"/>
          <w:i/>
          <w:iCs/>
        </w:rPr>
        <w:t>Palestinians: From Peasants to Revolutionaries</w:t>
      </w:r>
      <w:r w:rsidR="001E1084" w:rsidRPr="00097BBC">
        <w:rPr>
          <w:rFonts w:asciiTheme="minorHAnsi" w:hAnsiTheme="minorHAnsi" w:cstheme="minorHAnsi"/>
        </w:rPr>
        <w:t xml:space="preserve"> (London: Zed Books, 1979)</w:t>
      </w:r>
      <w:r w:rsidR="0041452D" w:rsidRPr="00097BBC">
        <w:rPr>
          <w:rFonts w:asciiTheme="minorHAnsi" w:hAnsiTheme="minorHAnsi" w:cstheme="minorHAnsi"/>
        </w:rPr>
        <w:t xml:space="preserve">; Walid Khalidi, </w:t>
      </w:r>
      <w:r w:rsidR="0041452D" w:rsidRPr="00097BBC">
        <w:rPr>
          <w:rFonts w:asciiTheme="minorHAnsi" w:hAnsiTheme="minorHAnsi" w:cstheme="minorHAnsi"/>
          <w:i/>
          <w:iCs/>
        </w:rPr>
        <w:t>All That Remains: The Palestinian Villages Occupied and Depopulated by Israel in 1948</w:t>
      </w:r>
      <w:r w:rsidR="0041452D" w:rsidRPr="00097BBC">
        <w:rPr>
          <w:rFonts w:asciiTheme="minorHAnsi" w:hAnsiTheme="minorHAnsi" w:cstheme="minorHAnsi"/>
        </w:rPr>
        <w:t xml:space="preserve"> (Washington, DC: Institute for Palestine Studies</w:t>
      </w:r>
      <w:r w:rsidRPr="00097BBC">
        <w:rPr>
          <w:rFonts w:asciiTheme="minorHAnsi" w:hAnsiTheme="minorHAnsi" w:cstheme="minorHAnsi"/>
        </w:rPr>
        <w:t xml:space="preserve">, </w:t>
      </w:r>
      <w:r w:rsidR="0041452D" w:rsidRPr="00097BBC">
        <w:rPr>
          <w:rFonts w:asciiTheme="minorHAnsi" w:hAnsiTheme="minorHAnsi" w:cstheme="minorHAnsi"/>
        </w:rPr>
        <w:t xml:space="preserve">1992); </w:t>
      </w:r>
      <w:r w:rsidR="00E764CC" w:rsidRPr="00097BBC">
        <w:rPr>
          <w:rFonts w:asciiTheme="minorHAnsi" w:hAnsiTheme="minorHAnsi" w:cstheme="minorHAnsi"/>
        </w:rPr>
        <w:t>Nur</w:t>
      </w:r>
      <w:r w:rsidR="00C80BCF" w:rsidRPr="00097BBC">
        <w:rPr>
          <w:rFonts w:asciiTheme="minorHAnsi" w:hAnsiTheme="minorHAnsi" w:cstheme="minorHAnsi"/>
        </w:rPr>
        <w:t xml:space="preserve"> </w:t>
      </w:r>
      <w:r w:rsidR="00E764CC" w:rsidRPr="00097BBC">
        <w:rPr>
          <w:rFonts w:asciiTheme="minorHAnsi" w:hAnsiTheme="minorHAnsi" w:cstheme="minorHAnsi"/>
        </w:rPr>
        <w:t>Masalha,</w:t>
      </w:r>
      <w:r w:rsidR="00E764CC" w:rsidRPr="00097BBC">
        <w:rPr>
          <w:rStyle w:val="apple-converted-space"/>
          <w:rFonts w:asciiTheme="minorHAnsi" w:hAnsiTheme="minorHAnsi" w:cstheme="minorHAnsi"/>
        </w:rPr>
        <w:t> </w:t>
      </w:r>
      <w:r w:rsidR="00E764CC" w:rsidRPr="00097BBC">
        <w:rPr>
          <w:rFonts w:asciiTheme="minorHAnsi" w:hAnsiTheme="minorHAnsi" w:cstheme="minorHAnsi"/>
          <w:i/>
          <w:iCs/>
        </w:rPr>
        <w:t>Expulsion of the Palestinians: The Concept of ‘Transfer’ in Zionist Political Thought, 1882–1948</w:t>
      </w:r>
      <w:r w:rsidR="00E764CC" w:rsidRPr="00097BBC">
        <w:rPr>
          <w:rFonts w:asciiTheme="minorHAnsi" w:hAnsiTheme="minorHAnsi" w:cstheme="minorHAnsi"/>
        </w:rPr>
        <w:t xml:space="preserve"> (Washington, DC: Institute for Palestine Studies, 1992)</w:t>
      </w:r>
      <w:r w:rsidR="00C80BCF" w:rsidRPr="00097BBC">
        <w:rPr>
          <w:rFonts w:asciiTheme="minorHAnsi" w:hAnsiTheme="minorHAnsi" w:cstheme="minorHAnsi"/>
        </w:rPr>
        <w:t>; Aḥmad Saʻdi and Lila Abu-Lughod,</w:t>
      </w:r>
      <w:r w:rsidR="00C80BCF" w:rsidRPr="00097BBC">
        <w:rPr>
          <w:rStyle w:val="apple-converted-space"/>
          <w:rFonts w:asciiTheme="minorHAnsi" w:hAnsiTheme="minorHAnsi" w:cstheme="minorHAnsi"/>
        </w:rPr>
        <w:t> </w:t>
      </w:r>
      <w:r w:rsidR="00C80BCF" w:rsidRPr="00097BBC">
        <w:rPr>
          <w:rFonts w:asciiTheme="minorHAnsi" w:hAnsiTheme="minorHAnsi" w:cstheme="minorHAnsi"/>
          <w:i/>
          <w:iCs/>
        </w:rPr>
        <w:t>Nakba: Palestine, 1948, and the Claims of Memory</w:t>
      </w:r>
      <w:r w:rsidR="00C80BCF" w:rsidRPr="00097BBC">
        <w:rPr>
          <w:rFonts w:asciiTheme="minorHAnsi" w:hAnsiTheme="minorHAnsi" w:cstheme="minorHAnsi"/>
        </w:rPr>
        <w:t xml:space="preserve"> (New York: Columbia University Press, 2007)</w:t>
      </w:r>
      <w:r w:rsidR="00552CE2" w:rsidRPr="00097BBC">
        <w:rPr>
          <w:rFonts w:asciiTheme="minorHAnsi" w:hAnsiTheme="minorHAnsi" w:cstheme="minorHAnsi"/>
        </w:rPr>
        <w:t>.</w:t>
      </w:r>
    </w:p>
  </w:footnote>
  <w:footnote w:id="103">
    <w:p w14:paraId="191F8B64" w14:textId="5C3E8EE2"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As historians Rashid Khalidi and Sherene Seikaly have argued, </w:t>
      </w:r>
      <w:r w:rsidR="003F2238" w:rsidRPr="00097BBC">
        <w:rPr>
          <w:rFonts w:asciiTheme="minorHAnsi" w:hAnsiTheme="minorHAnsi" w:cstheme="minorHAnsi"/>
        </w:rPr>
        <w:t>‘</w:t>
      </w:r>
      <w:r w:rsidRPr="00097BBC">
        <w:rPr>
          <w:rFonts w:asciiTheme="minorHAnsi" w:hAnsiTheme="minorHAnsi" w:cstheme="minorHAnsi"/>
        </w:rPr>
        <w:t>To begin the story in 1917 is to name the struggle for what it is: settler colonialism. We know that Zionism was a response to centuries of Judeophobia in Europe and, more immediately, the consolidation of state-led anti-Semitism in the late nineteenth and early twentieth centuries. However, Zionism was not the most popular response to the oppression of Jewish people in Europe, nor was it the only one</w:t>
      </w:r>
      <w:r w:rsidR="009347FE" w:rsidRPr="00097BBC">
        <w:rPr>
          <w:rFonts w:asciiTheme="minorHAnsi" w:hAnsiTheme="minorHAnsi" w:cstheme="minorHAnsi"/>
        </w:rPr>
        <w:t>’;</w:t>
      </w:r>
      <w:r w:rsidRPr="00097BBC">
        <w:rPr>
          <w:rFonts w:asciiTheme="minorHAnsi" w:hAnsiTheme="minorHAnsi" w:cstheme="minorHAnsi"/>
        </w:rPr>
        <w:t xml:space="preserve"> Rashid I. Khalidi and Sherene Seikaly, </w:t>
      </w:r>
      <w:r w:rsidR="009347FE" w:rsidRPr="00097BBC">
        <w:rPr>
          <w:rFonts w:asciiTheme="minorHAnsi" w:hAnsiTheme="minorHAnsi" w:cstheme="minorHAnsi"/>
        </w:rPr>
        <w:t>‘</w:t>
      </w:r>
      <w:r w:rsidRPr="00097BBC">
        <w:rPr>
          <w:rFonts w:asciiTheme="minorHAnsi" w:hAnsiTheme="minorHAnsi" w:cstheme="minorHAnsi"/>
        </w:rPr>
        <w:t>From the Editors</w:t>
      </w:r>
      <w:r w:rsidR="009347FE" w:rsidRPr="00097BBC">
        <w:rPr>
          <w:rFonts w:asciiTheme="minorHAnsi" w:hAnsiTheme="minorHAnsi" w:cstheme="minorHAnsi"/>
        </w:rPr>
        <w:t>’,</w:t>
      </w:r>
      <w:r w:rsidRPr="00097BBC">
        <w:rPr>
          <w:rFonts w:asciiTheme="minorHAnsi" w:hAnsiTheme="minorHAnsi" w:cstheme="minorHAnsi"/>
        </w:rPr>
        <w:t xml:space="preserve"> </w:t>
      </w:r>
      <w:r w:rsidRPr="00097BBC">
        <w:rPr>
          <w:rFonts w:asciiTheme="minorHAnsi" w:hAnsiTheme="minorHAnsi" w:cstheme="minorHAnsi"/>
          <w:i/>
          <w:iCs/>
        </w:rPr>
        <w:t>Journal of Palestine Studies</w:t>
      </w:r>
      <w:r w:rsidRPr="00097BBC">
        <w:rPr>
          <w:rFonts w:asciiTheme="minorHAnsi" w:hAnsiTheme="minorHAnsi" w:cstheme="minorHAnsi"/>
        </w:rPr>
        <w:t>, 50</w:t>
      </w:r>
      <w:r w:rsidR="009347FE" w:rsidRPr="00097BBC">
        <w:rPr>
          <w:rFonts w:asciiTheme="minorHAnsi" w:hAnsiTheme="minorHAnsi" w:cstheme="minorHAnsi"/>
        </w:rPr>
        <w:t xml:space="preserve"> (</w:t>
      </w:r>
      <w:r w:rsidRPr="00097BBC">
        <w:rPr>
          <w:rFonts w:asciiTheme="minorHAnsi" w:hAnsiTheme="minorHAnsi" w:cstheme="minorHAnsi"/>
        </w:rPr>
        <w:t>2021</w:t>
      </w:r>
      <w:r w:rsidR="009347FE" w:rsidRPr="00097BBC">
        <w:rPr>
          <w:rFonts w:asciiTheme="minorHAnsi" w:hAnsiTheme="minorHAnsi" w:cstheme="minorHAnsi"/>
        </w:rPr>
        <w:t>)</w:t>
      </w:r>
      <w:r w:rsidR="006249BB" w:rsidRPr="00097BBC">
        <w:rPr>
          <w:rFonts w:asciiTheme="minorHAnsi" w:hAnsiTheme="minorHAnsi" w:cstheme="minorHAnsi"/>
        </w:rPr>
        <w:t>, 1–4.</w:t>
      </w:r>
    </w:p>
  </w:footnote>
  <w:footnote w:id="104">
    <w:p w14:paraId="12C34E9B" w14:textId="24E2707C" w:rsidR="000E14B9" w:rsidRPr="001548BC" w:rsidRDefault="000E14B9" w:rsidP="00057638">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0070066A" w:rsidRPr="00B04460">
        <w:rPr>
          <w:rFonts w:asciiTheme="minorHAnsi" w:hAnsiTheme="minorHAnsi" w:cstheme="minorHAnsi"/>
        </w:rPr>
        <w:t xml:space="preserve">Alexander Campbell Fraser, ‘Professor Campbell Fraser’s speech </w:t>
      </w:r>
      <w:r w:rsidRPr="00097BBC">
        <w:rPr>
          <w:rFonts w:asciiTheme="minorHAnsi" w:hAnsiTheme="minorHAnsi" w:cstheme="minorHAnsi"/>
        </w:rPr>
        <w:t xml:space="preserve">on the occasion of the </w:t>
      </w:r>
      <w:r>
        <w:rPr>
          <w:rFonts w:asciiTheme="minorHAnsi" w:hAnsiTheme="minorHAnsi" w:cstheme="minorHAnsi"/>
        </w:rPr>
        <w:t>University of Edinburgh’s</w:t>
      </w:r>
      <w:r w:rsidRPr="00097BBC">
        <w:rPr>
          <w:rFonts w:asciiTheme="minorHAnsi" w:hAnsiTheme="minorHAnsi" w:cstheme="minorHAnsi"/>
        </w:rPr>
        <w:t xml:space="preserve"> election of Balfour</w:t>
      </w:r>
      <w:r>
        <w:rPr>
          <w:rFonts w:asciiTheme="minorHAnsi" w:hAnsiTheme="minorHAnsi" w:cstheme="minorHAnsi"/>
        </w:rPr>
        <w:t>,</w:t>
      </w:r>
      <w:r w:rsidRPr="00097BBC">
        <w:rPr>
          <w:rFonts w:asciiTheme="minorHAnsi" w:hAnsiTheme="minorHAnsi" w:cstheme="minorHAnsi"/>
        </w:rPr>
        <w:t xml:space="preserve"> </w:t>
      </w:r>
      <w:r w:rsidRPr="00097BBC">
        <w:rPr>
          <w:rFonts w:asciiTheme="minorHAnsi" w:hAnsiTheme="minorHAnsi" w:cstheme="minorHAnsi"/>
          <w:i/>
          <w:iCs/>
        </w:rPr>
        <w:t>The Scotsman</w:t>
      </w:r>
      <w:r w:rsidRPr="00097BBC">
        <w:rPr>
          <w:rFonts w:asciiTheme="minorHAnsi" w:hAnsiTheme="minorHAnsi" w:cstheme="minorHAnsi"/>
        </w:rPr>
        <w:t>, Edinburgh University General Council, 31 October 1891</w:t>
      </w:r>
      <w:r>
        <w:rPr>
          <w:rFonts w:asciiTheme="minorHAnsi" w:hAnsiTheme="minorHAnsi" w:cstheme="minorHAnsi"/>
        </w:rPr>
        <w:t>.</w:t>
      </w:r>
    </w:p>
  </w:footnote>
  <w:footnote w:id="105">
    <w:p w14:paraId="6599750B" w14:textId="13746B03" w:rsidR="00790B9D" w:rsidRPr="00097BBC" w:rsidRDefault="00790B9D"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A27530" w:rsidRPr="00643BA0">
        <w:rPr>
          <w:rFonts w:asciiTheme="minorHAnsi" w:hAnsiTheme="minorHAnsi" w:cstheme="minorHAnsi"/>
        </w:rPr>
        <w:t>University</w:t>
      </w:r>
      <w:r w:rsidR="00A27530">
        <w:rPr>
          <w:rFonts w:asciiTheme="minorHAnsi" w:hAnsiTheme="minorHAnsi" w:cstheme="minorHAnsi"/>
        </w:rPr>
        <w:t xml:space="preserve"> of Edinburgh</w:t>
      </w:r>
      <w:r w:rsidRPr="00097BBC">
        <w:rPr>
          <w:rFonts w:asciiTheme="minorHAnsi" w:hAnsiTheme="minorHAnsi" w:cstheme="minorHAnsi"/>
        </w:rPr>
        <w:t xml:space="preserve">, </w:t>
      </w:r>
      <w:r w:rsidR="005D72D8" w:rsidRPr="00097BBC">
        <w:rPr>
          <w:rFonts w:asciiTheme="minorHAnsi" w:hAnsiTheme="minorHAnsi" w:cstheme="minorHAnsi"/>
        </w:rPr>
        <w:t>‘</w:t>
      </w:r>
      <w:r w:rsidRPr="00097BBC">
        <w:rPr>
          <w:rFonts w:asciiTheme="minorHAnsi" w:hAnsiTheme="minorHAnsi" w:cstheme="minorHAnsi"/>
        </w:rPr>
        <w:t>The Chancellor</w:t>
      </w:r>
      <w:r w:rsidR="005D72D8" w:rsidRPr="00097BBC">
        <w:rPr>
          <w:rFonts w:asciiTheme="minorHAnsi" w:hAnsiTheme="minorHAnsi" w:cstheme="minorHAnsi"/>
        </w:rPr>
        <w:t>’,</w:t>
      </w:r>
      <w:r w:rsidRPr="00097BBC">
        <w:rPr>
          <w:rFonts w:asciiTheme="minorHAnsi" w:hAnsiTheme="minorHAnsi" w:cstheme="minorHAnsi"/>
        </w:rPr>
        <w:t xml:space="preserve"> </w:t>
      </w:r>
      <w:hyperlink r:id="rId47" w:history="1">
        <w:r w:rsidR="00572D82" w:rsidRPr="00097BBC">
          <w:rPr>
            <w:rStyle w:val="Hyperlink"/>
            <w:rFonts w:asciiTheme="minorHAnsi" w:hAnsiTheme="minorHAnsi" w:cstheme="minorHAnsi"/>
          </w:rPr>
          <w:t>https://www.ed.ac.uk/about/people/officials/chancellor</w:t>
        </w:r>
      </w:hyperlink>
      <w:r w:rsidR="00572D82" w:rsidRPr="00643BA0">
        <w:rPr>
          <w:rFonts w:asciiTheme="minorHAnsi" w:hAnsiTheme="minorHAnsi" w:cstheme="minorHAnsi"/>
        </w:rPr>
        <w:t>.</w:t>
      </w:r>
    </w:p>
  </w:footnote>
  <w:footnote w:id="106">
    <w:p w14:paraId="770B5F4D" w14:textId="140115F7" w:rsidR="00806527" w:rsidRPr="001548BC" w:rsidRDefault="00806527" w:rsidP="00057638">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See</w:t>
      </w:r>
      <w:r w:rsidRPr="00097BBC">
        <w:rPr>
          <w:rFonts w:asciiTheme="minorHAnsi" w:hAnsiTheme="minorHAnsi" w:cstheme="minorHAnsi"/>
        </w:rPr>
        <w:t xml:space="preserve"> Fraser</w:t>
      </w:r>
      <w:r>
        <w:rPr>
          <w:rFonts w:asciiTheme="minorHAnsi" w:hAnsiTheme="minorHAnsi" w:cstheme="minorHAnsi"/>
        </w:rPr>
        <w:t>’s</w:t>
      </w:r>
      <w:r w:rsidRPr="00097BBC">
        <w:rPr>
          <w:rFonts w:asciiTheme="minorHAnsi" w:hAnsiTheme="minorHAnsi" w:cstheme="minorHAnsi"/>
        </w:rPr>
        <w:t xml:space="preserve"> </w:t>
      </w:r>
      <w:r w:rsidR="00810F93">
        <w:rPr>
          <w:rFonts w:asciiTheme="minorHAnsi" w:hAnsiTheme="minorHAnsi" w:cstheme="minorHAnsi"/>
        </w:rPr>
        <w:t>s</w:t>
      </w:r>
      <w:r w:rsidRPr="00097BBC">
        <w:rPr>
          <w:rFonts w:asciiTheme="minorHAnsi" w:hAnsiTheme="minorHAnsi" w:cstheme="minorHAnsi"/>
        </w:rPr>
        <w:t xml:space="preserve">peech in </w:t>
      </w:r>
      <w:r w:rsidRPr="00097BBC">
        <w:rPr>
          <w:rFonts w:asciiTheme="minorHAnsi" w:hAnsiTheme="minorHAnsi" w:cstheme="minorHAnsi"/>
          <w:i/>
          <w:iCs/>
        </w:rPr>
        <w:t>The Scotsman</w:t>
      </w:r>
      <w:r w:rsidR="00B2430D">
        <w:rPr>
          <w:rFonts w:asciiTheme="minorHAnsi" w:hAnsiTheme="minorHAnsi" w:cstheme="minorHAnsi"/>
        </w:rPr>
        <w:t xml:space="preserve"> (</w:t>
      </w:r>
      <w:r w:rsidRPr="00097BBC">
        <w:rPr>
          <w:rFonts w:asciiTheme="minorHAnsi" w:hAnsiTheme="minorHAnsi" w:cstheme="minorHAnsi"/>
        </w:rPr>
        <w:t>1891</w:t>
      </w:r>
      <w:r w:rsidR="00B2430D">
        <w:rPr>
          <w:rFonts w:asciiTheme="minorHAnsi" w:hAnsiTheme="minorHAnsi" w:cstheme="minorHAnsi"/>
        </w:rPr>
        <w:t>)</w:t>
      </w:r>
      <w:r w:rsidR="00810F93">
        <w:rPr>
          <w:rFonts w:asciiTheme="minorHAnsi" w:hAnsiTheme="minorHAnsi" w:cstheme="minorHAnsi"/>
        </w:rPr>
        <w:t>.</w:t>
      </w:r>
      <w:r w:rsidR="00417185">
        <w:rPr>
          <w:rFonts w:asciiTheme="minorHAnsi" w:hAnsiTheme="minorHAnsi" w:cstheme="minorHAnsi"/>
        </w:rPr>
        <w:t xml:space="preserve"> </w:t>
      </w:r>
      <w:r w:rsidR="00417185" w:rsidRPr="001548BC">
        <w:rPr>
          <w:rFonts w:asciiTheme="minorHAnsi" w:hAnsiTheme="minorHAnsi" w:cstheme="minorHAnsi"/>
        </w:rPr>
        <w:t xml:space="preserve">Balfour was succeeded by two other imperial </w:t>
      </w:r>
      <w:r w:rsidR="008013D4" w:rsidRPr="001548BC">
        <w:rPr>
          <w:rFonts w:asciiTheme="minorHAnsi" w:hAnsiTheme="minorHAnsi" w:cstheme="minorHAnsi"/>
        </w:rPr>
        <w:t>C</w:t>
      </w:r>
      <w:r w:rsidR="00417185" w:rsidRPr="001548BC">
        <w:rPr>
          <w:rFonts w:asciiTheme="minorHAnsi" w:hAnsiTheme="minorHAnsi" w:cstheme="minorHAnsi"/>
        </w:rPr>
        <w:t xml:space="preserve">hancellors who </w:t>
      </w:r>
      <w:r w:rsidR="00E23CDE" w:rsidRPr="001548BC">
        <w:rPr>
          <w:rFonts w:asciiTheme="minorHAnsi" w:hAnsiTheme="minorHAnsi" w:cstheme="minorHAnsi"/>
        </w:rPr>
        <w:t>similarly spanned the worlds of academia and public affairs</w:t>
      </w:r>
      <w:r w:rsidR="00A13904" w:rsidRPr="001548BC">
        <w:rPr>
          <w:rFonts w:asciiTheme="minorHAnsi" w:hAnsiTheme="minorHAnsi" w:cstheme="minorHAnsi"/>
        </w:rPr>
        <w:t xml:space="preserve">: </w:t>
      </w:r>
      <w:r w:rsidR="00E95326" w:rsidRPr="001548BC">
        <w:rPr>
          <w:rFonts w:asciiTheme="minorHAnsi" w:hAnsiTheme="minorHAnsi" w:cstheme="minorHAnsi"/>
        </w:rPr>
        <w:t xml:space="preserve">John Buchan, </w:t>
      </w:r>
      <w:r w:rsidR="00417185" w:rsidRPr="001548BC">
        <w:rPr>
          <w:rFonts w:asciiTheme="minorHAnsi" w:hAnsiTheme="minorHAnsi" w:cstheme="minorHAnsi"/>
        </w:rPr>
        <w:t>Baron Tweedsmuir of Elsfield</w:t>
      </w:r>
      <w:r w:rsidR="001023D8" w:rsidRPr="001548BC">
        <w:rPr>
          <w:rFonts w:asciiTheme="minorHAnsi" w:hAnsiTheme="minorHAnsi" w:cstheme="minorHAnsi"/>
        </w:rPr>
        <w:t xml:space="preserve">, was Chancellor from </w:t>
      </w:r>
      <w:r w:rsidR="008013D4" w:rsidRPr="001548BC">
        <w:rPr>
          <w:rFonts w:asciiTheme="minorHAnsi" w:hAnsiTheme="minorHAnsi" w:cstheme="minorHAnsi"/>
        </w:rPr>
        <w:t>1937–40</w:t>
      </w:r>
      <w:r w:rsidR="00BC4F41" w:rsidRPr="001548BC">
        <w:rPr>
          <w:rFonts w:asciiTheme="minorHAnsi" w:hAnsiTheme="minorHAnsi" w:cstheme="minorHAnsi"/>
        </w:rPr>
        <w:t>,</w:t>
      </w:r>
      <w:r w:rsidR="001023D8" w:rsidRPr="001548BC">
        <w:rPr>
          <w:rFonts w:asciiTheme="minorHAnsi" w:hAnsiTheme="minorHAnsi" w:cstheme="minorHAnsi"/>
        </w:rPr>
        <w:t xml:space="preserve"> and</w:t>
      </w:r>
      <w:r w:rsidR="00E95326" w:rsidRPr="001548BC">
        <w:rPr>
          <w:rFonts w:asciiTheme="minorHAnsi" w:hAnsiTheme="minorHAnsi" w:cstheme="minorHAnsi"/>
        </w:rPr>
        <w:t xml:space="preserve"> </w:t>
      </w:r>
      <w:r w:rsidR="005147DF" w:rsidRPr="001548BC">
        <w:rPr>
          <w:rFonts w:asciiTheme="minorHAnsi" w:hAnsiTheme="minorHAnsi" w:cstheme="minorHAnsi"/>
        </w:rPr>
        <w:t xml:space="preserve">was </w:t>
      </w:r>
      <w:r w:rsidR="00E95326" w:rsidRPr="001548BC">
        <w:rPr>
          <w:rFonts w:asciiTheme="minorHAnsi" w:hAnsiTheme="minorHAnsi" w:cstheme="minorHAnsi"/>
        </w:rPr>
        <w:t>a</w:t>
      </w:r>
      <w:r w:rsidR="00417185" w:rsidRPr="001548BC">
        <w:rPr>
          <w:rFonts w:asciiTheme="minorHAnsi" w:hAnsiTheme="minorHAnsi" w:cstheme="minorHAnsi"/>
        </w:rPr>
        <w:t xml:space="preserve"> </w:t>
      </w:r>
      <w:r w:rsidR="005147DF" w:rsidRPr="001548BC">
        <w:rPr>
          <w:rFonts w:asciiTheme="minorHAnsi" w:hAnsiTheme="minorHAnsi" w:cstheme="minorHAnsi"/>
        </w:rPr>
        <w:t>well-known</w:t>
      </w:r>
      <w:r w:rsidR="00417185" w:rsidRPr="001548BC">
        <w:rPr>
          <w:rFonts w:asciiTheme="minorHAnsi" w:hAnsiTheme="minorHAnsi" w:cstheme="minorHAnsi"/>
        </w:rPr>
        <w:t xml:space="preserve"> Scottish novelist</w:t>
      </w:r>
      <w:r w:rsidR="00905FB7" w:rsidRPr="001548BC">
        <w:rPr>
          <w:rFonts w:asciiTheme="minorHAnsi" w:hAnsiTheme="minorHAnsi" w:cstheme="minorHAnsi"/>
        </w:rPr>
        <w:t xml:space="preserve">, </w:t>
      </w:r>
      <w:r w:rsidR="005147DF" w:rsidRPr="001548BC">
        <w:rPr>
          <w:rFonts w:asciiTheme="minorHAnsi" w:hAnsiTheme="minorHAnsi" w:cstheme="minorHAnsi"/>
        </w:rPr>
        <w:t>Governor</w:t>
      </w:r>
      <w:r w:rsidR="00905FB7" w:rsidRPr="001548BC">
        <w:rPr>
          <w:rFonts w:asciiTheme="minorHAnsi" w:hAnsiTheme="minorHAnsi" w:cstheme="minorHAnsi"/>
        </w:rPr>
        <w:t xml:space="preserve"> General </w:t>
      </w:r>
      <w:r w:rsidR="00606009" w:rsidRPr="001548BC">
        <w:rPr>
          <w:rFonts w:asciiTheme="minorHAnsi" w:hAnsiTheme="minorHAnsi" w:cstheme="minorHAnsi"/>
        </w:rPr>
        <w:t>of Canada</w:t>
      </w:r>
      <w:r w:rsidR="005147DF" w:rsidRPr="001548BC">
        <w:rPr>
          <w:rFonts w:asciiTheme="minorHAnsi" w:hAnsiTheme="minorHAnsi" w:cstheme="minorHAnsi"/>
        </w:rPr>
        <w:t xml:space="preserve"> </w:t>
      </w:r>
      <w:r w:rsidR="00A17E54" w:rsidRPr="001548BC">
        <w:rPr>
          <w:rFonts w:asciiTheme="minorHAnsi" w:hAnsiTheme="minorHAnsi" w:cstheme="minorHAnsi"/>
        </w:rPr>
        <w:t>(193</w:t>
      </w:r>
      <w:r w:rsidR="00B03B8C" w:rsidRPr="001548BC">
        <w:rPr>
          <w:rFonts w:asciiTheme="minorHAnsi" w:hAnsiTheme="minorHAnsi" w:cstheme="minorHAnsi"/>
        </w:rPr>
        <w:t xml:space="preserve">5–40) </w:t>
      </w:r>
      <w:r w:rsidR="005147DF" w:rsidRPr="001548BC">
        <w:rPr>
          <w:rFonts w:asciiTheme="minorHAnsi" w:hAnsiTheme="minorHAnsi" w:cstheme="minorHAnsi"/>
        </w:rPr>
        <w:t xml:space="preserve">and </w:t>
      </w:r>
      <w:r w:rsidR="00E95326" w:rsidRPr="001548BC">
        <w:rPr>
          <w:rFonts w:asciiTheme="minorHAnsi" w:hAnsiTheme="minorHAnsi" w:cstheme="minorHAnsi"/>
        </w:rPr>
        <w:t xml:space="preserve">an </w:t>
      </w:r>
      <w:r w:rsidR="00417185" w:rsidRPr="001548BC">
        <w:rPr>
          <w:rFonts w:asciiTheme="minorHAnsi" w:hAnsiTheme="minorHAnsi" w:cstheme="minorHAnsi"/>
        </w:rPr>
        <w:t>imperial administrator with Balfour in South Africa</w:t>
      </w:r>
      <w:r w:rsidR="00624F48" w:rsidRPr="001548BC">
        <w:rPr>
          <w:rFonts w:asciiTheme="minorHAnsi" w:hAnsiTheme="minorHAnsi" w:cstheme="minorHAnsi"/>
        </w:rPr>
        <w:t>,</w:t>
      </w:r>
      <w:r w:rsidR="00417185" w:rsidRPr="001548BC">
        <w:rPr>
          <w:rFonts w:asciiTheme="minorHAnsi" w:hAnsiTheme="minorHAnsi" w:cstheme="minorHAnsi"/>
        </w:rPr>
        <w:t xml:space="preserve"> </w:t>
      </w:r>
      <w:r w:rsidR="00624F48" w:rsidRPr="001548BC">
        <w:rPr>
          <w:rFonts w:asciiTheme="minorHAnsi" w:hAnsiTheme="minorHAnsi" w:cstheme="minorHAnsi"/>
        </w:rPr>
        <w:t>and</w:t>
      </w:r>
      <w:r w:rsidR="005147DF" w:rsidRPr="001548BC">
        <w:rPr>
          <w:rFonts w:asciiTheme="minorHAnsi" w:hAnsiTheme="minorHAnsi" w:cstheme="minorHAnsi"/>
        </w:rPr>
        <w:t xml:space="preserve"> played a </w:t>
      </w:r>
      <w:r w:rsidR="00417185" w:rsidRPr="001548BC">
        <w:rPr>
          <w:rFonts w:asciiTheme="minorHAnsi" w:hAnsiTheme="minorHAnsi" w:cstheme="minorHAnsi"/>
        </w:rPr>
        <w:t xml:space="preserve">prominent intelligence role </w:t>
      </w:r>
      <w:r w:rsidR="008D7C9E">
        <w:rPr>
          <w:rFonts w:asciiTheme="minorHAnsi" w:hAnsiTheme="minorHAnsi" w:cstheme="minorHAnsi"/>
        </w:rPr>
        <w:t xml:space="preserve">in </w:t>
      </w:r>
      <w:r w:rsidR="00417185" w:rsidRPr="001548BC">
        <w:rPr>
          <w:rFonts w:asciiTheme="minorHAnsi" w:hAnsiTheme="minorHAnsi" w:cstheme="minorHAnsi"/>
        </w:rPr>
        <w:t>the Middle East</w:t>
      </w:r>
      <w:r w:rsidR="00BC4F41" w:rsidRPr="001548BC">
        <w:rPr>
          <w:rFonts w:asciiTheme="minorHAnsi" w:hAnsiTheme="minorHAnsi" w:cstheme="minorHAnsi"/>
        </w:rPr>
        <w:t xml:space="preserve">; </w:t>
      </w:r>
      <w:r w:rsidR="005A6F93" w:rsidRPr="001548BC">
        <w:rPr>
          <w:rFonts w:asciiTheme="minorHAnsi" w:hAnsiTheme="minorHAnsi" w:cstheme="minorHAnsi"/>
        </w:rPr>
        <w:t xml:space="preserve">Victor Alexander John Hope, </w:t>
      </w:r>
      <w:r w:rsidR="00F534B5" w:rsidRPr="001548BC">
        <w:rPr>
          <w:rFonts w:asciiTheme="minorHAnsi" w:hAnsiTheme="minorHAnsi" w:cstheme="minorHAnsi"/>
        </w:rPr>
        <w:t>2nd</w:t>
      </w:r>
      <w:r w:rsidR="00417185" w:rsidRPr="001548BC">
        <w:rPr>
          <w:rFonts w:asciiTheme="minorHAnsi" w:hAnsiTheme="minorHAnsi" w:cstheme="minorHAnsi"/>
        </w:rPr>
        <w:t xml:space="preserve"> Marqu</w:t>
      </w:r>
      <w:r w:rsidR="006460D5" w:rsidRPr="001548BC">
        <w:rPr>
          <w:rFonts w:asciiTheme="minorHAnsi" w:hAnsiTheme="minorHAnsi" w:cstheme="minorHAnsi"/>
        </w:rPr>
        <w:t>ess</w:t>
      </w:r>
      <w:r w:rsidR="00417185" w:rsidRPr="001548BC">
        <w:rPr>
          <w:rFonts w:asciiTheme="minorHAnsi" w:hAnsiTheme="minorHAnsi" w:cstheme="minorHAnsi"/>
        </w:rPr>
        <w:t xml:space="preserve"> of Linlithgow</w:t>
      </w:r>
      <w:r w:rsidR="0042720C" w:rsidRPr="001548BC">
        <w:rPr>
          <w:rFonts w:asciiTheme="minorHAnsi" w:hAnsiTheme="minorHAnsi" w:cstheme="minorHAnsi"/>
        </w:rPr>
        <w:t xml:space="preserve">, </w:t>
      </w:r>
      <w:r w:rsidR="00BC4F41" w:rsidRPr="001548BC">
        <w:rPr>
          <w:rFonts w:asciiTheme="minorHAnsi" w:hAnsiTheme="minorHAnsi" w:cstheme="minorHAnsi"/>
        </w:rPr>
        <w:t>was Chancellor from 19</w:t>
      </w:r>
      <w:r w:rsidR="008203CB" w:rsidRPr="001548BC">
        <w:rPr>
          <w:rFonts w:asciiTheme="minorHAnsi" w:hAnsiTheme="minorHAnsi" w:cstheme="minorHAnsi"/>
        </w:rPr>
        <w:t>46</w:t>
      </w:r>
      <w:r w:rsidR="00BC4F41" w:rsidRPr="001548BC">
        <w:rPr>
          <w:rFonts w:asciiTheme="minorHAnsi" w:hAnsiTheme="minorHAnsi" w:cstheme="minorHAnsi"/>
        </w:rPr>
        <w:t>–</w:t>
      </w:r>
      <w:r w:rsidR="008203CB" w:rsidRPr="001548BC">
        <w:rPr>
          <w:rFonts w:asciiTheme="minorHAnsi" w:hAnsiTheme="minorHAnsi" w:cstheme="minorHAnsi"/>
        </w:rPr>
        <w:t>52</w:t>
      </w:r>
      <w:r w:rsidR="00624F48" w:rsidRPr="001548BC">
        <w:rPr>
          <w:rFonts w:asciiTheme="minorHAnsi" w:hAnsiTheme="minorHAnsi" w:cstheme="minorHAnsi"/>
        </w:rPr>
        <w:t>, and</w:t>
      </w:r>
      <w:r w:rsidR="00BC4F41" w:rsidRPr="001548BC">
        <w:rPr>
          <w:rFonts w:asciiTheme="minorHAnsi" w:hAnsiTheme="minorHAnsi" w:cstheme="minorHAnsi"/>
        </w:rPr>
        <w:t xml:space="preserve"> </w:t>
      </w:r>
      <w:r w:rsidR="00A13904" w:rsidRPr="001548BC">
        <w:rPr>
          <w:rFonts w:asciiTheme="minorHAnsi" w:hAnsiTheme="minorHAnsi" w:cstheme="minorHAnsi"/>
        </w:rPr>
        <w:t>was</w:t>
      </w:r>
      <w:r w:rsidR="00624F48" w:rsidRPr="001548BC">
        <w:rPr>
          <w:rFonts w:asciiTheme="minorHAnsi" w:hAnsiTheme="minorHAnsi" w:cstheme="minorHAnsi"/>
        </w:rPr>
        <w:t xml:space="preserve"> both the</w:t>
      </w:r>
      <w:r w:rsidR="00A13904" w:rsidRPr="001548BC">
        <w:rPr>
          <w:rFonts w:asciiTheme="minorHAnsi" w:hAnsiTheme="minorHAnsi" w:cstheme="minorHAnsi"/>
        </w:rPr>
        <w:t xml:space="preserve"> General-</w:t>
      </w:r>
      <w:r w:rsidR="008203CB" w:rsidRPr="001548BC">
        <w:rPr>
          <w:rFonts w:asciiTheme="minorHAnsi" w:hAnsiTheme="minorHAnsi" w:cstheme="minorHAnsi"/>
        </w:rPr>
        <w:t>Governor</w:t>
      </w:r>
      <w:r w:rsidR="00417185" w:rsidRPr="001548BC">
        <w:rPr>
          <w:rFonts w:asciiTheme="minorHAnsi" w:hAnsiTheme="minorHAnsi" w:cstheme="minorHAnsi"/>
        </w:rPr>
        <w:t xml:space="preserve"> in India</w:t>
      </w:r>
      <w:r w:rsidR="0042720C" w:rsidRPr="001548BC">
        <w:rPr>
          <w:rFonts w:asciiTheme="minorHAnsi" w:hAnsiTheme="minorHAnsi" w:cstheme="minorHAnsi"/>
        </w:rPr>
        <w:t xml:space="preserve"> </w:t>
      </w:r>
      <w:r w:rsidR="00C37073" w:rsidRPr="001548BC">
        <w:rPr>
          <w:rFonts w:asciiTheme="minorHAnsi" w:hAnsiTheme="minorHAnsi" w:cstheme="minorHAnsi"/>
        </w:rPr>
        <w:t>(19</w:t>
      </w:r>
      <w:r w:rsidR="003345F0" w:rsidRPr="001548BC">
        <w:rPr>
          <w:rFonts w:asciiTheme="minorHAnsi" w:hAnsiTheme="minorHAnsi" w:cstheme="minorHAnsi"/>
        </w:rPr>
        <w:t>36–</w:t>
      </w:r>
      <w:r w:rsidR="002C1422" w:rsidRPr="001548BC">
        <w:rPr>
          <w:rFonts w:asciiTheme="minorHAnsi" w:hAnsiTheme="minorHAnsi" w:cstheme="minorHAnsi"/>
        </w:rPr>
        <w:t>43)</w:t>
      </w:r>
      <w:r w:rsidR="003345F0" w:rsidRPr="001548BC">
        <w:rPr>
          <w:rFonts w:asciiTheme="minorHAnsi" w:hAnsiTheme="minorHAnsi" w:cstheme="minorHAnsi"/>
        </w:rPr>
        <w:t xml:space="preserve"> </w:t>
      </w:r>
      <w:r w:rsidR="0042720C" w:rsidRPr="001548BC">
        <w:rPr>
          <w:rFonts w:asciiTheme="minorHAnsi" w:hAnsiTheme="minorHAnsi" w:cstheme="minorHAnsi"/>
        </w:rPr>
        <w:t xml:space="preserve">and a politician. </w:t>
      </w:r>
    </w:p>
  </w:footnote>
  <w:footnote w:id="107">
    <w:p w14:paraId="69E3BA98" w14:textId="7A2FA24B" w:rsidR="00277A0A" w:rsidRPr="00643BA0" w:rsidRDefault="00277A0A" w:rsidP="00057638">
      <w:pPr>
        <w:pStyle w:val="FootnoteText"/>
        <w:jc w:val="left"/>
        <w:rPr>
          <w:rFonts w:asciiTheme="minorHAnsi" w:hAnsiTheme="minorHAnsi" w:cstheme="minorHAnsi"/>
        </w:rPr>
      </w:pPr>
      <w:r w:rsidRPr="00643BA0">
        <w:rPr>
          <w:rStyle w:val="FootnoteReference"/>
          <w:rFonts w:asciiTheme="minorHAnsi" w:hAnsiTheme="minorHAnsi" w:cstheme="minorHAnsi"/>
        </w:rPr>
        <w:footnoteRef/>
      </w:r>
      <w:r w:rsidRPr="00643BA0">
        <w:rPr>
          <w:rFonts w:asciiTheme="minorHAnsi" w:hAnsiTheme="minorHAnsi" w:cstheme="minorHAnsi"/>
        </w:rPr>
        <w:t xml:space="preserve">Sherene Seikaly, </w:t>
      </w:r>
      <w:r w:rsidRPr="00643BA0">
        <w:rPr>
          <w:rFonts w:asciiTheme="minorHAnsi" w:hAnsiTheme="minorHAnsi" w:cstheme="minorHAnsi"/>
          <w:i/>
        </w:rPr>
        <w:t>Men of Capital: Scarcity and Economy in Mandate Palestine</w:t>
      </w:r>
      <w:r w:rsidRPr="00643BA0">
        <w:rPr>
          <w:rFonts w:asciiTheme="minorHAnsi" w:hAnsiTheme="minorHAnsi" w:cstheme="minorHAnsi"/>
        </w:rPr>
        <w:t xml:space="preserve"> (Stanford: Stanford University Press, 2016), pp. 5–6.</w:t>
      </w:r>
    </w:p>
  </w:footnote>
  <w:footnote w:id="108">
    <w:p w14:paraId="0FD74B34" w14:textId="53342045" w:rsidR="00773F7C" w:rsidRPr="00097BBC" w:rsidRDefault="00773F7C" w:rsidP="00057638">
      <w:pPr>
        <w:pStyle w:val="NormalWeb"/>
        <w:spacing w:before="0" w:beforeAutospacing="0" w:after="0" w:afterAutospacing="0"/>
        <w:rPr>
          <w:rFonts w:asciiTheme="minorHAnsi" w:hAnsiTheme="minorHAnsi" w:cstheme="minorHAnsi"/>
          <w:sz w:val="20"/>
          <w:szCs w:val="20"/>
        </w:rPr>
      </w:pPr>
      <w:r w:rsidRPr="00097BBC">
        <w:rPr>
          <w:rStyle w:val="FootnoteReference"/>
          <w:rFonts w:asciiTheme="minorHAnsi" w:eastAsiaTheme="majorEastAsia" w:hAnsiTheme="minorHAnsi" w:cstheme="minorHAnsi"/>
          <w:sz w:val="20"/>
          <w:szCs w:val="20"/>
        </w:rPr>
        <w:footnoteRef/>
      </w:r>
      <w:r w:rsidRPr="00097BBC">
        <w:rPr>
          <w:rFonts w:asciiTheme="minorHAnsi" w:hAnsiTheme="minorHAnsi" w:cstheme="minorHAnsi"/>
          <w:sz w:val="20"/>
          <w:szCs w:val="20"/>
        </w:rPr>
        <w:t xml:space="preserve"> Susan Pedersen</w:t>
      </w:r>
      <w:r w:rsidR="00561DC4" w:rsidRPr="00097BBC">
        <w:rPr>
          <w:rFonts w:asciiTheme="minorHAnsi" w:hAnsiTheme="minorHAnsi" w:cstheme="minorHAnsi"/>
          <w:sz w:val="20"/>
          <w:szCs w:val="20"/>
        </w:rPr>
        <w:t>,</w:t>
      </w:r>
      <w:r w:rsidRPr="00097BBC">
        <w:rPr>
          <w:rFonts w:asciiTheme="minorHAnsi" w:hAnsiTheme="minorHAnsi" w:cstheme="minorHAnsi"/>
          <w:sz w:val="20"/>
          <w:szCs w:val="20"/>
        </w:rPr>
        <w:t xml:space="preserve"> </w:t>
      </w:r>
      <w:r w:rsidR="00561DC4" w:rsidRPr="00097BBC">
        <w:rPr>
          <w:rFonts w:asciiTheme="minorHAnsi" w:hAnsiTheme="minorHAnsi" w:cstheme="minorHAnsi"/>
          <w:sz w:val="20"/>
          <w:szCs w:val="20"/>
        </w:rPr>
        <w:t>‘</w:t>
      </w:r>
      <w:r w:rsidRPr="00097BBC">
        <w:rPr>
          <w:rFonts w:asciiTheme="minorHAnsi" w:hAnsiTheme="minorHAnsi" w:cstheme="minorHAnsi"/>
          <w:sz w:val="20"/>
          <w:szCs w:val="20"/>
        </w:rPr>
        <w:t>Writing the Balfour Declaration into the Mandate for Palestine</w:t>
      </w:r>
      <w:r w:rsidR="00561DC4" w:rsidRPr="00097BBC">
        <w:rPr>
          <w:rFonts w:asciiTheme="minorHAnsi" w:hAnsiTheme="minorHAnsi" w:cstheme="minorHAnsi"/>
          <w:sz w:val="20"/>
          <w:szCs w:val="20"/>
        </w:rPr>
        <w:t>’</w:t>
      </w:r>
      <w:r w:rsidRPr="00097BBC">
        <w:rPr>
          <w:rFonts w:asciiTheme="minorHAnsi" w:hAnsiTheme="minorHAnsi" w:cstheme="minorHAnsi"/>
          <w:sz w:val="20"/>
          <w:szCs w:val="20"/>
        </w:rPr>
        <w:t xml:space="preserve">, </w:t>
      </w:r>
      <w:r w:rsidR="00561DC4" w:rsidRPr="00097BBC">
        <w:rPr>
          <w:rFonts w:asciiTheme="minorHAnsi" w:hAnsiTheme="minorHAnsi" w:cstheme="minorHAnsi"/>
          <w:i/>
          <w:iCs/>
          <w:sz w:val="20"/>
          <w:szCs w:val="20"/>
        </w:rPr>
        <w:t xml:space="preserve">The </w:t>
      </w:r>
      <w:r w:rsidR="00364E6B" w:rsidRPr="00097BBC">
        <w:rPr>
          <w:rFonts w:asciiTheme="minorHAnsi" w:hAnsiTheme="minorHAnsi" w:cstheme="minorHAnsi"/>
          <w:i/>
          <w:iCs/>
          <w:sz w:val="20"/>
          <w:szCs w:val="20"/>
        </w:rPr>
        <w:t>I</w:t>
      </w:r>
      <w:r w:rsidRPr="00097BBC">
        <w:rPr>
          <w:rFonts w:asciiTheme="minorHAnsi" w:hAnsiTheme="minorHAnsi" w:cstheme="minorHAnsi"/>
          <w:i/>
          <w:iCs/>
          <w:sz w:val="20"/>
          <w:szCs w:val="20"/>
        </w:rPr>
        <w:t>nternational History Review</w:t>
      </w:r>
      <w:r w:rsidR="00561DC4" w:rsidRPr="00097BBC">
        <w:rPr>
          <w:rFonts w:asciiTheme="minorHAnsi" w:hAnsiTheme="minorHAnsi" w:cstheme="minorHAnsi"/>
          <w:sz w:val="20"/>
          <w:szCs w:val="20"/>
        </w:rPr>
        <w:t xml:space="preserve">, </w:t>
      </w:r>
      <w:r w:rsidRPr="00097BBC">
        <w:rPr>
          <w:rFonts w:asciiTheme="minorHAnsi" w:hAnsiTheme="minorHAnsi" w:cstheme="minorHAnsi"/>
          <w:sz w:val="20"/>
          <w:szCs w:val="20"/>
        </w:rPr>
        <w:t>45</w:t>
      </w:r>
      <w:r w:rsidR="00561DC4" w:rsidRPr="00097BBC">
        <w:rPr>
          <w:rFonts w:asciiTheme="minorHAnsi" w:hAnsiTheme="minorHAnsi" w:cstheme="minorHAnsi"/>
          <w:sz w:val="20"/>
          <w:szCs w:val="20"/>
        </w:rPr>
        <w:t xml:space="preserve"> (2023)</w:t>
      </w:r>
      <w:r w:rsidRPr="00097BBC">
        <w:rPr>
          <w:rFonts w:asciiTheme="minorHAnsi" w:hAnsiTheme="minorHAnsi" w:cstheme="minorHAnsi"/>
          <w:sz w:val="20"/>
          <w:szCs w:val="20"/>
        </w:rPr>
        <w:t>, 279</w:t>
      </w:r>
      <w:r w:rsidR="00561DC4" w:rsidRPr="00097BBC">
        <w:rPr>
          <w:rFonts w:asciiTheme="minorHAnsi" w:hAnsiTheme="minorHAnsi" w:cstheme="minorHAnsi"/>
          <w:sz w:val="20"/>
          <w:szCs w:val="20"/>
        </w:rPr>
        <w:t>–</w:t>
      </w:r>
      <w:r w:rsidRPr="00097BBC">
        <w:rPr>
          <w:rFonts w:asciiTheme="minorHAnsi" w:hAnsiTheme="minorHAnsi" w:cstheme="minorHAnsi"/>
          <w:sz w:val="20"/>
          <w:szCs w:val="20"/>
        </w:rPr>
        <w:t>91.</w:t>
      </w:r>
    </w:p>
  </w:footnote>
  <w:footnote w:id="109">
    <w:p w14:paraId="516CCB61" w14:textId="75CB2950"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Shawan Jabarin and Ralph Wilde, </w:t>
      </w:r>
      <w:r w:rsidR="00364E6B" w:rsidRPr="00097BBC">
        <w:rPr>
          <w:rFonts w:asciiTheme="minorHAnsi" w:hAnsiTheme="minorHAnsi" w:cstheme="minorHAnsi"/>
        </w:rPr>
        <w:t>‘</w:t>
      </w:r>
      <w:r w:rsidRPr="00097BBC">
        <w:rPr>
          <w:rFonts w:asciiTheme="minorHAnsi" w:hAnsiTheme="minorHAnsi" w:cstheme="minorHAnsi"/>
        </w:rPr>
        <w:t>How Britain broke International Law to stop Palestinian independence 100 years ago</w:t>
      </w:r>
      <w:r w:rsidR="00364E6B" w:rsidRPr="00097BBC">
        <w:rPr>
          <w:rFonts w:asciiTheme="minorHAnsi" w:hAnsiTheme="minorHAnsi" w:cstheme="minorHAnsi"/>
        </w:rPr>
        <w:t>’,</w:t>
      </w:r>
      <w:r w:rsidRPr="00097BBC">
        <w:rPr>
          <w:rFonts w:asciiTheme="minorHAnsi" w:hAnsiTheme="minorHAnsi" w:cstheme="minorHAnsi"/>
        </w:rPr>
        <w:t xml:space="preserve"> </w:t>
      </w:r>
      <w:r w:rsidRPr="00097BBC">
        <w:rPr>
          <w:rFonts w:asciiTheme="minorHAnsi" w:hAnsiTheme="minorHAnsi" w:cstheme="minorHAnsi"/>
          <w:i/>
          <w:iCs/>
        </w:rPr>
        <w:t>Mondoweiss</w:t>
      </w:r>
      <w:r w:rsidRPr="00097BBC">
        <w:rPr>
          <w:rFonts w:asciiTheme="minorHAnsi" w:hAnsiTheme="minorHAnsi" w:cstheme="minorHAnsi"/>
        </w:rPr>
        <w:t xml:space="preserve">, </w:t>
      </w:r>
      <w:r w:rsidR="00364E6B" w:rsidRPr="00097BBC">
        <w:rPr>
          <w:rFonts w:asciiTheme="minorHAnsi" w:hAnsiTheme="minorHAnsi" w:cstheme="minorHAnsi"/>
        </w:rPr>
        <w:t xml:space="preserve">29 </w:t>
      </w:r>
      <w:r w:rsidRPr="00097BBC">
        <w:rPr>
          <w:rFonts w:asciiTheme="minorHAnsi" w:hAnsiTheme="minorHAnsi" w:cstheme="minorHAnsi"/>
        </w:rPr>
        <w:t xml:space="preserve">September 2023 </w:t>
      </w:r>
      <w:hyperlink r:id="rId48" w:history="1">
        <w:r w:rsidR="00600DBB" w:rsidRPr="00097BBC">
          <w:rPr>
            <w:rStyle w:val="Hyperlink"/>
            <w:rFonts w:asciiTheme="minorHAnsi" w:hAnsiTheme="minorHAnsi" w:cstheme="minorHAnsi"/>
          </w:rPr>
          <w:t>https://mondoweiss.net/2023/09/how-britain-broke-international-law-to-stop-palestinian-independence-100-years-ago/</w:t>
        </w:r>
      </w:hyperlink>
      <w:r w:rsidR="00600DBB" w:rsidRPr="00643BA0">
        <w:rPr>
          <w:rFonts w:asciiTheme="minorHAnsi" w:hAnsiTheme="minorHAnsi" w:cstheme="minorHAnsi"/>
        </w:rPr>
        <w:t>.</w:t>
      </w:r>
    </w:p>
  </w:footnote>
  <w:footnote w:id="110">
    <w:p w14:paraId="55C318A3" w14:textId="2B5E325A"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B94DA5" w:rsidRPr="00097BBC">
        <w:rPr>
          <w:rFonts w:asciiTheme="minorHAnsi" w:hAnsiTheme="minorHAnsi" w:cstheme="minorHAnsi"/>
        </w:rPr>
        <w:t>Ilan</w:t>
      </w:r>
      <w:r w:rsidRPr="00097BBC">
        <w:rPr>
          <w:rFonts w:asciiTheme="minorHAnsi" w:hAnsiTheme="minorHAnsi" w:cstheme="minorHAnsi"/>
        </w:rPr>
        <w:t xml:space="preserve"> Pappe,</w:t>
      </w:r>
      <w:r w:rsidR="00B94DA5" w:rsidRPr="00097BBC">
        <w:rPr>
          <w:rFonts w:asciiTheme="minorHAnsi" w:hAnsiTheme="minorHAnsi" w:cstheme="minorHAnsi"/>
        </w:rPr>
        <w:t xml:space="preserve"> </w:t>
      </w:r>
      <w:r w:rsidRPr="00097BBC">
        <w:rPr>
          <w:rFonts w:asciiTheme="minorHAnsi" w:hAnsiTheme="minorHAnsi" w:cstheme="minorHAnsi"/>
          <w:i/>
          <w:iCs/>
        </w:rPr>
        <w:t>The Ethnic Cleansing of Palestine</w:t>
      </w:r>
      <w:r w:rsidR="00B94DA5" w:rsidRPr="00097BBC">
        <w:rPr>
          <w:rFonts w:asciiTheme="minorHAnsi" w:hAnsiTheme="minorHAnsi" w:cstheme="minorHAnsi"/>
        </w:rPr>
        <w:t xml:space="preserve"> (</w:t>
      </w:r>
      <w:r w:rsidRPr="00097BBC">
        <w:rPr>
          <w:rFonts w:asciiTheme="minorHAnsi" w:hAnsiTheme="minorHAnsi" w:cstheme="minorHAnsi"/>
        </w:rPr>
        <w:t>Oxford: One World</w:t>
      </w:r>
      <w:r w:rsidR="00B94DA5" w:rsidRPr="00097BBC">
        <w:rPr>
          <w:rFonts w:asciiTheme="minorHAnsi" w:hAnsiTheme="minorHAnsi" w:cstheme="minorHAnsi"/>
        </w:rPr>
        <w:t>, 2011)</w:t>
      </w:r>
      <w:r w:rsidRPr="00097BBC">
        <w:rPr>
          <w:rFonts w:asciiTheme="minorHAnsi" w:hAnsiTheme="minorHAnsi" w:cstheme="minorHAnsi"/>
        </w:rPr>
        <w:t>; Sa’di and Abu-Lughod</w:t>
      </w:r>
      <w:r w:rsidR="00437D58">
        <w:rPr>
          <w:rFonts w:asciiTheme="minorHAnsi" w:hAnsiTheme="minorHAnsi" w:cstheme="minorHAnsi"/>
        </w:rPr>
        <w:t xml:space="preserve">, </w:t>
      </w:r>
      <w:r w:rsidRPr="00097BBC">
        <w:rPr>
          <w:rFonts w:asciiTheme="minorHAnsi" w:hAnsiTheme="minorHAnsi" w:cstheme="minorHAnsi"/>
          <w:i/>
          <w:iCs/>
        </w:rPr>
        <w:t>Nakba</w:t>
      </w:r>
      <w:r w:rsidRPr="00643BA0">
        <w:rPr>
          <w:rFonts w:asciiTheme="minorHAnsi" w:hAnsiTheme="minorHAnsi" w:cstheme="minorHAnsi"/>
        </w:rPr>
        <w:t>;</w:t>
      </w:r>
      <w:r w:rsidRPr="00097BBC">
        <w:rPr>
          <w:rFonts w:asciiTheme="minorHAnsi" w:hAnsiTheme="minorHAnsi" w:cstheme="minorHAnsi"/>
        </w:rPr>
        <w:t xml:space="preserve"> </w:t>
      </w:r>
      <w:r w:rsidR="00E178B6" w:rsidRPr="00097BBC">
        <w:rPr>
          <w:rFonts w:asciiTheme="minorHAnsi" w:hAnsiTheme="minorHAnsi" w:cstheme="minorHAnsi"/>
        </w:rPr>
        <w:t xml:space="preserve">Nahla </w:t>
      </w:r>
      <w:r w:rsidRPr="00097BBC">
        <w:rPr>
          <w:rFonts w:asciiTheme="minorHAnsi" w:hAnsiTheme="minorHAnsi" w:cstheme="minorHAnsi"/>
        </w:rPr>
        <w:t>Abdo</w:t>
      </w:r>
      <w:r w:rsidR="00E178B6" w:rsidRPr="00097BBC">
        <w:rPr>
          <w:rFonts w:asciiTheme="minorHAnsi" w:hAnsiTheme="minorHAnsi" w:cstheme="minorHAnsi"/>
        </w:rPr>
        <w:t>-Zubi</w:t>
      </w:r>
      <w:r w:rsidRPr="00097BBC">
        <w:rPr>
          <w:rFonts w:asciiTheme="minorHAnsi" w:hAnsiTheme="minorHAnsi" w:cstheme="minorHAnsi"/>
        </w:rPr>
        <w:t xml:space="preserve"> and </w:t>
      </w:r>
      <w:r w:rsidR="00E178B6" w:rsidRPr="00097BBC">
        <w:rPr>
          <w:rFonts w:asciiTheme="minorHAnsi" w:hAnsiTheme="minorHAnsi" w:cstheme="minorHAnsi"/>
        </w:rPr>
        <w:t xml:space="preserve">Nur </w:t>
      </w:r>
      <w:r w:rsidRPr="00097BBC">
        <w:rPr>
          <w:rFonts w:asciiTheme="minorHAnsi" w:hAnsiTheme="minorHAnsi" w:cstheme="minorHAnsi"/>
        </w:rPr>
        <w:t>Masalha</w:t>
      </w:r>
      <w:r w:rsidR="00E178B6" w:rsidRPr="00097BBC">
        <w:rPr>
          <w:rFonts w:asciiTheme="minorHAnsi" w:hAnsiTheme="minorHAnsi" w:cstheme="minorHAnsi"/>
        </w:rPr>
        <w:t xml:space="preserve"> (</w:t>
      </w:r>
      <w:r w:rsidRPr="00097BBC">
        <w:rPr>
          <w:rFonts w:asciiTheme="minorHAnsi" w:hAnsiTheme="minorHAnsi" w:cstheme="minorHAnsi"/>
        </w:rPr>
        <w:t>ed</w:t>
      </w:r>
      <w:r w:rsidR="00E178B6" w:rsidRPr="00097BBC">
        <w:rPr>
          <w:rFonts w:asciiTheme="minorHAnsi" w:hAnsiTheme="minorHAnsi" w:cstheme="minorHAnsi"/>
        </w:rPr>
        <w:t>itors)</w:t>
      </w:r>
      <w:r w:rsidRPr="00097BBC">
        <w:rPr>
          <w:rFonts w:asciiTheme="minorHAnsi" w:hAnsiTheme="minorHAnsi" w:cstheme="minorHAnsi"/>
        </w:rPr>
        <w:t>,</w:t>
      </w:r>
      <w:r w:rsidR="00E178B6" w:rsidRPr="00097BBC">
        <w:rPr>
          <w:rFonts w:asciiTheme="minorHAnsi" w:hAnsiTheme="minorHAnsi" w:cstheme="minorHAnsi"/>
        </w:rPr>
        <w:t xml:space="preserve"> </w:t>
      </w:r>
      <w:r w:rsidRPr="00097BBC">
        <w:rPr>
          <w:rFonts w:asciiTheme="minorHAnsi" w:hAnsiTheme="minorHAnsi" w:cstheme="minorHAnsi"/>
          <w:i/>
          <w:iCs/>
        </w:rPr>
        <w:t>An Oral History of the Palestinian Nakba</w:t>
      </w:r>
      <w:r w:rsidR="00E178B6" w:rsidRPr="00097BBC">
        <w:rPr>
          <w:rFonts w:asciiTheme="minorHAnsi" w:hAnsiTheme="minorHAnsi" w:cstheme="minorHAnsi"/>
        </w:rPr>
        <w:t xml:space="preserve"> (Chicago: </w:t>
      </w:r>
      <w:r w:rsidRPr="00097BBC">
        <w:rPr>
          <w:rFonts w:asciiTheme="minorHAnsi" w:hAnsiTheme="minorHAnsi" w:cstheme="minorHAnsi"/>
        </w:rPr>
        <w:t>University of Chicago Press</w:t>
      </w:r>
      <w:r w:rsidR="00E178B6" w:rsidRPr="00097BBC">
        <w:rPr>
          <w:rFonts w:asciiTheme="minorHAnsi" w:hAnsiTheme="minorHAnsi" w:cstheme="minorHAnsi"/>
        </w:rPr>
        <w:t>, 2018)</w:t>
      </w:r>
      <w:r w:rsidRPr="00097BBC">
        <w:rPr>
          <w:rFonts w:asciiTheme="minorHAnsi" w:hAnsiTheme="minorHAnsi" w:cstheme="minorHAnsi"/>
        </w:rPr>
        <w:t>.</w:t>
      </w:r>
    </w:p>
  </w:footnote>
  <w:footnote w:id="111">
    <w:p w14:paraId="3894FB3C" w14:textId="190FACC6" w:rsidR="00773F7C" w:rsidRPr="00097BBC" w:rsidRDefault="00773F7C" w:rsidP="00057638">
      <w:pPr>
        <w:rPr>
          <w:rFonts w:cstheme="minorHAnsi"/>
          <w:sz w:val="20"/>
          <w:szCs w:val="20"/>
        </w:rPr>
      </w:pPr>
      <w:r w:rsidRPr="00097BBC">
        <w:rPr>
          <w:rStyle w:val="FootnoteReference"/>
          <w:rFonts w:cstheme="minorHAnsi"/>
          <w:sz w:val="20"/>
          <w:szCs w:val="20"/>
        </w:rPr>
        <w:footnoteRef/>
      </w:r>
      <w:r w:rsidRPr="00097BBC">
        <w:rPr>
          <w:rFonts w:cstheme="minorHAnsi"/>
          <w:sz w:val="20"/>
          <w:szCs w:val="20"/>
        </w:rPr>
        <w:t xml:space="preserve"> Rashid Khalidi, </w:t>
      </w:r>
      <w:r w:rsidRPr="00097BBC">
        <w:rPr>
          <w:rFonts w:cstheme="minorHAnsi"/>
          <w:i/>
          <w:sz w:val="20"/>
          <w:szCs w:val="20"/>
        </w:rPr>
        <w:t>The Hundred Years’ War on Palestine: A History of Settler Colonialism and Resistance, 1917–2017</w:t>
      </w:r>
      <w:r w:rsidRPr="00097BBC">
        <w:rPr>
          <w:rFonts w:cstheme="minorHAnsi"/>
          <w:sz w:val="20"/>
          <w:szCs w:val="20"/>
        </w:rPr>
        <w:t xml:space="preserve"> (New York: Metropolitan Books, 2020), </w:t>
      </w:r>
      <w:r w:rsidR="00CE53C7" w:rsidRPr="00097BBC">
        <w:rPr>
          <w:rFonts w:cstheme="minorHAnsi"/>
          <w:sz w:val="20"/>
          <w:szCs w:val="20"/>
        </w:rPr>
        <w:t xml:space="preserve">pp. </w:t>
      </w:r>
      <w:r w:rsidRPr="00097BBC">
        <w:rPr>
          <w:rFonts w:cstheme="minorHAnsi"/>
          <w:sz w:val="20"/>
          <w:szCs w:val="20"/>
        </w:rPr>
        <w:t>17</w:t>
      </w:r>
      <w:r w:rsidR="00CE53C7" w:rsidRPr="00097BBC">
        <w:rPr>
          <w:rFonts w:cstheme="minorHAnsi"/>
          <w:sz w:val="20"/>
          <w:szCs w:val="20"/>
        </w:rPr>
        <w:t>–</w:t>
      </w:r>
      <w:r w:rsidRPr="00097BBC">
        <w:rPr>
          <w:rFonts w:cstheme="minorHAnsi"/>
          <w:sz w:val="20"/>
          <w:szCs w:val="20"/>
        </w:rPr>
        <w:t>54.</w:t>
      </w:r>
    </w:p>
  </w:footnote>
  <w:footnote w:id="112">
    <w:p w14:paraId="4676F45A" w14:textId="18C54D99"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CE53C7" w:rsidRPr="00097BBC">
        <w:rPr>
          <w:rFonts w:asciiTheme="minorHAnsi" w:hAnsiTheme="minorHAnsi" w:cstheme="minorHAnsi"/>
        </w:rPr>
        <w:t xml:space="preserve">Jock </w:t>
      </w:r>
      <w:r w:rsidRPr="00097BBC">
        <w:rPr>
          <w:rFonts w:asciiTheme="minorHAnsi" w:hAnsiTheme="minorHAnsi" w:cstheme="minorHAnsi"/>
        </w:rPr>
        <w:t xml:space="preserve">Gallagher, </w:t>
      </w:r>
      <w:r w:rsidRPr="00097BBC">
        <w:rPr>
          <w:rFonts w:asciiTheme="minorHAnsi" w:hAnsiTheme="minorHAnsi" w:cstheme="minorHAnsi"/>
          <w:i/>
          <w:iCs/>
        </w:rPr>
        <w:t>Scotland’s Global Empire: A Chronicle of Great Scots</w:t>
      </w:r>
      <w:r w:rsidR="00CE53C7" w:rsidRPr="00097BBC">
        <w:rPr>
          <w:rFonts w:asciiTheme="minorHAnsi" w:hAnsiTheme="minorHAnsi" w:cstheme="minorHAnsi"/>
        </w:rPr>
        <w:t xml:space="preserve"> (</w:t>
      </w:r>
      <w:r w:rsidRPr="00097BBC">
        <w:rPr>
          <w:rFonts w:asciiTheme="minorHAnsi" w:hAnsiTheme="minorHAnsi" w:cstheme="minorHAnsi"/>
        </w:rPr>
        <w:t>Dunbeath: Whittles Publishing, 2013</w:t>
      </w:r>
      <w:r w:rsidR="00CE53C7" w:rsidRPr="00097BBC">
        <w:rPr>
          <w:rFonts w:asciiTheme="minorHAnsi" w:hAnsiTheme="minorHAnsi" w:cstheme="minorHAnsi"/>
        </w:rPr>
        <w:t>)</w:t>
      </w:r>
      <w:r w:rsidRPr="00097BBC">
        <w:rPr>
          <w:rFonts w:asciiTheme="minorHAnsi" w:hAnsiTheme="minorHAnsi" w:cstheme="minorHAnsi"/>
        </w:rPr>
        <w:t xml:space="preserve">, </w:t>
      </w:r>
      <w:r w:rsidR="00CE53C7" w:rsidRPr="00097BBC">
        <w:rPr>
          <w:rFonts w:asciiTheme="minorHAnsi" w:hAnsiTheme="minorHAnsi" w:cstheme="minorHAnsi"/>
        </w:rPr>
        <w:t xml:space="preserve">pp. </w:t>
      </w:r>
      <w:r w:rsidRPr="00097BBC">
        <w:rPr>
          <w:rFonts w:asciiTheme="minorHAnsi" w:hAnsiTheme="minorHAnsi" w:cstheme="minorHAnsi"/>
        </w:rPr>
        <w:t>140</w:t>
      </w:r>
      <w:r w:rsidR="00CE53C7" w:rsidRPr="00097BBC">
        <w:rPr>
          <w:rFonts w:asciiTheme="minorHAnsi" w:hAnsiTheme="minorHAnsi" w:cstheme="minorHAnsi"/>
        </w:rPr>
        <w:t>–</w:t>
      </w:r>
      <w:r w:rsidRPr="00097BBC">
        <w:rPr>
          <w:rFonts w:asciiTheme="minorHAnsi" w:hAnsiTheme="minorHAnsi" w:cstheme="minorHAnsi"/>
        </w:rPr>
        <w:t>41</w:t>
      </w:r>
      <w:r w:rsidR="00CE53C7" w:rsidRPr="00097BBC">
        <w:rPr>
          <w:rFonts w:asciiTheme="minorHAnsi" w:hAnsiTheme="minorHAnsi" w:cstheme="minorHAnsi"/>
        </w:rPr>
        <w:t>.</w:t>
      </w:r>
      <w:r w:rsidR="00F04968">
        <w:rPr>
          <w:rFonts w:asciiTheme="minorHAnsi" w:hAnsiTheme="minorHAnsi" w:cstheme="minorHAnsi"/>
        </w:rPr>
        <w:t xml:space="preserve"> See also </w:t>
      </w:r>
      <w:r w:rsidR="00F04968" w:rsidRPr="001548BC">
        <w:rPr>
          <w:rFonts w:asciiTheme="minorHAnsi" w:hAnsiTheme="minorHAnsi" w:cstheme="minorHAnsi"/>
        </w:rPr>
        <w:t xml:space="preserve">Sydney Zebel, </w:t>
      </w:r>
      <w:r w:rsidR="00F04968" w:rsidRPr="001548BC">
        <w:rPr>
          <w:rFonts w:asciiTheme="minorHAnsi" w:hAnsiTheme="minorHAnsi" w:cstheme="minorHAnsi"/>
          <w:i/>
        </w:rPr>
        <w:t xml:space="preserve">Balfour. A Political Biography </w:t>
      </w:r>
      <w:r w:rsidR="00F04968" w:rsidRPr="001548BC">
        <w:rPr>
          <w:rFonts w:asciiTheme="minorHAnsi" w:hAnsiTheme="minorHAnsi" w:cstheme="minorHAnsi"/>
        </w:rPr>
        <w:t>(Cambridge: Cambridge University Press, 1973).</w:t>
      </w:r>
    </w:p>
  </w:footnote>
  <w:footnote w:id="113">
    <w:p w14:paraId="5C890C71" w14:textId="42F2273E"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University Court Finance Committee Agenda Book. Minutes of meeting on </w:t>
      </w:r>
      <w:r w:rsidR="00CE53C7" w:rsidRPr="00097BBC">
        <w:rPr>
          <w:rFonts w:asciiTheme="minorHAnsi" w:hAnsiTheme="minorHAnsi" w:cstheme="minorHAnsi"/>
        </w:rPr>
        <w:t xml:space="preserve">9 July </w:t>
      </w:r>
      <w:r w:rsidRPr="00097BBC">
        <w:rPr>
          <w:rFonts w:asciiTheme="minorHAnsi" w:hAnsiTheme="minorHAnsi" w:cstheme="minorHAnsi"/>
        </w:rPr>
        <w:t>1891.</w:t>
      </w:r>
    </w:p>
  </w:footnote>
  <w:footnote w:id="114">
    <w:p w14:paraId="10AF2C89" w14:textId="4E7E0700"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643BA0">
        <w:rPr>
          <w:rFonts w:asciiTheme="minorHAnsi" w:hAnsiTheme="minorHAnsi" w:cstheme="minorHAnsi"/>
        </w:rPr>
        <w:t xml:space="preserve"> </w:t>
      </w:r>
      <w:r w:rsidR="0070066A">
        <w:rPr>
          <w:rFonts w:asciiTheme="minorHAnsi" w:hAnsiTheme="minorHAnsi" w:cstheme="minorHAnsi"/>
        </w:rPr>
        <w:t xml:space="preserve">Campbell </w:t>
      </w:r>
      <w:r w:rsidRPr="00643BA0">
        <w:rPr>
          <w:rFonts w:asciiTheme="minorHAnsi" w:hAnsiTheme="minorHAnsi" w:cstheme="minorHAnsi"/>
        </w:rPr>
        <w:t>Fraser</w:t>
      </w:r>
      <w:r w:rsidR="00C704D8">
        <w:rPr>
          <w:rFonts w:asciiTheme="minorHAnsi" w:hAnsiTheme="minorHAnsi" w:cstheme="minorHAnsi"/>
        </w:rPr>
        <w:t>, ‘</w:t>
      </w:r>
      <w:r w:rsidR="0070066A">
        <w:rPr>
          <w:rFonts w:asciiTheme="minorHAnsi" w:hAnsiTheme="minorHAnsi" w:cstheme="minorHAnsi"/>
        </w:rPr>
        <w:t>Speech’</w:t>
      </w:r>
      <w:r w:rsidR="00935E58" w:rsidRPr="00643BA0">
        <w:rPr>
          <w:rFonts w:asciiTheme="minorHAnsi" w:hAnsiTheme="minorHAnsi" w:cstheme="minorHAnsi"/>
        </w:rPr>
        <w:t>.</w:t>
      </w:r>
    </w:p>
  </w:footnote>
  <w:footnote w:id="115">
    <w:p w14:paraId="2B4C434F" w14:textId="3CA7F838"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643BA0">
        <w:rPr>
          <w:rFonts w:asciiTheme="minorHAnsi" w:hAnsiTheme="minorHAnsi" w:cstheme="minorHAnsi"/>
        </w:rPr>
        <w:t xml:space="preserve"> </w:t>
      </w:r>
      <w:r w:rsidR="00A02E25">
        <w:rPr>
          <w:rFonts w:asciiTheme="minorHAnsi" w:hAnsiTheme="minorHAnsi" w:cstheme="minorHAnsi"/>
        </w:rPr>
        <w:t>Campbell</w:t>
      </w:r>
      <w:r w:rsidRPr="00097BBC">
        <w:rPr>
          <w:rFonts w:asciiTheme="minorHAnsi" w:hAnsiTheme="minorHAnsi" w:cstheme="minorHAnsi"/>
        </w:rPr>
        <w:t xml:space="preserve"> </w:t>
      </w:r>
      <w:r w:rsidR="002244D0" w:rsidRPr="00097BBC">
        <w:rPr>
          <w:rFonts w:asciiTheme="minorHAnsi" w:hAnsiTheme="minorHAnsi" w:cstheme="minorHAnsi"/>
        </w:rPr>
        <w:t>Fraser</w:t>
      </w:r>
      <w:r w:rsidR="00A02E25">
        <w:rPr>
          <w:rFonts w:asciiTheme="minorHAnsi" w:hAnsiTheme="minorHAnsi" w:cstheme="minorHAnsi"/>
        </w:rPr>
        <w:t>, ‘Speech’</w:t>
      </w:r>
      <w:r w:rsidR="00A02E25" w:rsidRPr="00643BA0">
        <w:rPr>
          <w:rFonts w:asciiTheme="minorHAnsi" w:hAnsiTheme="minorHAnsi" w:cstheme="minorHAnsi"/>
        </w:rPr>
        <w:t>.</w:t>
      </w:r>
    </w:p>
  </w:footnote>
  <w:footnote w:id="116">
    <w:p w14:paraId="27BF08BD" w14:textId="7BAEB62F"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National Records of Scotland, AF51/1 Secretary of State for Scotland: Emigration Files</w:t>
      </w:r>
      <w:r w:rsidR="00A775A6" w:rsidRPr="00097BBC">
        <w:rPr>
          <w:rFonts w:asciiTheme="minorHAnsi" w:hAnsiTheme="minorHAnsi" w:cstheme="minorHAnsi"/>
        </w:rPr>
        <w:t>.</w:t>
      </w:r>
    </w:p>
  </w:footnote>
  <w:footnote w:id="117">
    <w:p w14:paraId="66BF08BC" w14:textId="601F8651"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Jason</w:t>
      </w:r>
      <w:r w:rsidR="000521BF" w:rsidRPr="00097BBC">
        <w:rPr>
          <w:rFonts w:asciiTheme="minorHAnsi" w:hAnsiTheme="minorHAnsi" w:cstheme="minorHAnsi"/>
        </w:rPr>
        <w:t xml:space="preserve"> Tomes,</w:t>
      </w:r>
      <w:r w:rsidRPr="00097BBC">
        <w:rPr>
          <w:rFonts w:asciiTheme="minorHAnsi" w:hAnsiTheme="minorHAnsi" w:cstheme="minorHAnsi"/>
        </w:rPr>
        <w:t> </w:t>
      </w:r>
      <w:r w:rsidRPr="00097BBC">
        <w:rPr>
          <w:rFonts w:asciiTheme="minorHAnsi" w:hAnsiTheme="minorHAnsi" w:cstheme="minorHAnsi"/>
          <w:i/>
          <w:iCs/>
        </w:rPr>
        <w:t>Balfour and Foreign Policy: The International Thought of a Conservative Statesman</w:t>
      </w:r>
      <w:r w:rsidR="000521BF" w:rsidRPr="00097BBC">
        <w:rPr>
          <w:rFonts w:asciiTheme="minorHAnsi" w:hAnsiTheme="minorHAnsi" w:cstheme="minorHAnsi"/>
        </w:rPr>
        <w:t xml:space="preserve"> (</w:t>
      </w:r>
      <w:r w:rsidRPr="00097BBC">
        <w:rPr>
          <w:rFonts w:asciiTheme="minorHAnsi" w:hAnsiTheme="minorHAnsi" w:cstheme="minorHAnsi"/>
        </w:rPr>
        <w:t>Cambridge: Cambridge University Press, 2002</w:t>
      </w:r>
      <w:r w:rsidR="000521BF" w:rsidRPr="00097BBC">
        <w:rPr>
          <w:rFonts w:asciiTheme="minorHAnsi" w:hAnsiTheme="minorHAnsi" w:cstheme="minorHAnsi"/>
        </w:rPr>
        <w:t>)</w:t>
      </w:r>
      <w:r w:rsidRPr="00097BBC">
        <w:rPr>
          <w:rFonts w:asciiTheme="minorHAnsi" w:hAnsiTheme="minorHAnsi" w:cstheme="minorHAnsi"/>
        </w:rPr>
        <w:t>, p</w:t>
      </w:r>
      <w:r w:rsidR="000521BF" w:rsidRPr="00097BBC">
        <w:rPr>
          <w:rFonts w:asciiTheme="minorHAnsi" w:hAnsiTheme="minorHAnsi" w:cstheme="minorHAnsi"/>
        </w:rPr>
        <w:t>p</w:t>
      </w:r>
      <w:r w:rsidRPr="00097BBC">
        <w:rPr>
          <w:rFonts w:asciiTheme="minorHAnsi" w:hAnsiTheme="minorHAnsi" w:cstheme="minorHAnsi"/>
        </w:rPr>
        <w:t>. 78</w:t>
      </w:r>
      <w:r w:rsidR="000521BF" w:rsidRPr="00097BBC">
        <w:rPr>
          <w:rFonts w:asciiTheme="minorHAnsi" w:hAnsiTheme="minorHAnsi" w:cstheme="minorHAnsi"/>
        </w:rPr>
        <w:t>–</w:t>
      </w:r>
      <w:r w:rsidRPr="00097BBC">
        <w:rPr>
          <w:rFonts w:asciiTheme="minorHAnsi" w:hAnsiTheme="minorHAnsi" w:cstheme="minorHAnsi"/>
        </w:rPr>
        <w:t>81.</w:t>
      </w:r>
    </w:p>
  </w:footnote>
  <w:footnote w:id="118">
    <w:p w14:paraId="49BEF87A" w14:textId="3F58A485" w:rsidR="00773F7C" w:rsidRPr="00097BBC" w:rsidRDefault="00773F7C" w:rsidP="00097BBC">
      <w:pPr>
        <w:pStyle w:val="FootnoteText"/>
        <w:rPr>
          <w:rFonts w:asciiTheme="minorHAnsi" w:eastAsia="Calibri" w:hAnsiTheme="minorHAnsi" w:cstheme="minorHAnsi"/>
        </w:rPr>
      </w:pPr>
      <w:r w:rsidRPr="00097BBC">
        <w:rPr>
          <w:rStyle w:val="FootnoteReference"/>
          <w:rFonts w:asciiTheme="minorHAnsi" w:eastAsia="Calibri" w:hAnsiTheme="minorHAnsi" w:cstheme="minorHAnsi"/>
        </w:rPr>
        <w:footnoteRef/>
      </w:r>
      <w:r w:rsidRPr="00097BBC">
        <w:rPr>
          <w:rFonts w:asciiTheme="minorHAnsi" w:eastAsia="Calibri" w:hAnsiTheme="minorHAnsi" w:cstheme="minorHAnsi"/>
        </w:rPr>
        <w:t xml:space="preserve"> Tomes</w:t>
      </w:r>
      <w:r w:rsidR="00690D43">
        <w:rPr>
          <w:rFonts w:asciiTheme="minorHAnsi" w:eastAsia="Calibri" w:hAnsiTheme="minorHAnsi" w:cstheme="minorHAnsi"/>
        </w:rPr>
        <w:t xml:space="preserve">, </w:t>
      </w:r>
      <w:r w:rsidR="00690D43">
        <w:rPr>
          <w:rFonts w:asciiTheme="minorHAnsi" w:eastAsia="Calibri" w:hAnsiTheme="minorHAnsi" w:cstheme="minorHAnsi"/>
          <w:i/>
          <w:iCs/>
        </w:rPr>
        <w:t>Balfour</w:t>
      </w:r>
      <w:r w:rsidRPr="00643BA0">
        <w:rPr>
          <w:rFonts w:asciiTheme="minorHAnsi" w:eastAsia="Calibri" w:hAnsiTheme="minorHAnsi" w:cstheme="minorHAnsi"/>
        </w:rPr>
        <w:t>,</w:t>
      </w:r>
      <w:r w:rsidRPr="00097BBC">
        <w:rPr>
          <w:rFonts w:asciiTheme="minorHAnsi" w:eastAsia="Calibri" w:hAnsiTheme="minorHAnsi" w:cstheme="minorHAnsi"/>
        </w:rPr>
        <w:t xml:space="preserve"> p. 2.</w:t>
      </w:r>
    </w:p>
  </w:footnote>
  <w:footnote w:id="119">
    <w:p w14:paraId="3E4F348A" w14:textId="42C1D7E2" w:rsidR="00773F7C" w:rsidRPr="00B04460" w:rsidRDefault="00773F7C" w:rsidP="001548BC">
      <w:pPr>
        <w:pStyle w:val="FootnoteText"/>
        <w:rPr>
          <w:rFonts w:asciiTheme="minorHAnsi" w:hAnsiTheme="minorHAnsi" w:cstheme="minorHAnsi"/>
        </w:rPr>
      </w:pPr>
      <w:r w:rsidRPr="00B04460">
        <w:rPr>
          <w:rFonts w:asciiTheme="minorHAnsi" w:hAnsiTheme="minorHAnsi" w:cstheme="minorHAnsi"/>
          <w:vertAlign w:val="superscript"/>
        </w:rPr>
        <w:footnoteRef/>
      </w:r>
      <w:r w:rsidR="06B23347" w:rsidRPr="00B04460">
        <w:rPr>
          <w:rFonts w:asciiTheme="minorHAnsi" w:hAnsiTheme="minorHAnsi" w:cstheme="minorHAnsi"/>
        </w:rPr>
        <w:t xml:space="preserve"> </w:t>
      </w:r>
      <w:r w:rsidR="0065588B" w:rsidRPr="00B04460">
        <w:rPr>
          <w:rFonts w:asciiTheme="minorHAnsi" w:hAnsiTheme="minorHAnsi" w:cstheme="minorHAnsi"/>
        </w:rPr>
        <w:t>UK</w:t>
      </w:r>
      <w:r w:rsidR="06B23347" w:rsidRPr="00B04460">
        <w:rPr>
          <w:rFonts w:asciiTheme="minorHAnsi" w:hAnsiTheme="minorHAnsi" w:cstheme="minorHAnsi"/>
        </w:rPr>
        <w:t xml:space="preserve"> Parliament, South Africa Bill of Lords, remarks by Arthur James Balfour, 16 August 1909, House of Commons, </w:t>
      </w:r>
      <w:r w:rsidR="06B23347" w:rsidRPr="00B04460">
        <w:rPr>
          <w:rFonts w:asciiTheme="minorHAnsi" w:hAnsiTheme="minorHAnsi" w:cstheme="minorHAnsi"/>
          <w:i/>
        </w:rPr>
        <w:t>Hansards</w:t>
      </w:r>
      <w:r w:rsidR="06B23347" w:rsidRPr="00B04460">
        <w:rPr>
          <w:rFonts w:asciiTheme="minorHAnsi" w:hAnsiTheme="minorHAnsi" w:cstheme="minorHAnsi"/>
        </w:rPr>
        <w:t xml:space="preserve">, </w:t>
      </w:r>
      <w:r w:rsidR="0065588B" w:rsidRPr="00B04460">
        <w:rPr>
          <w:rFonts w:asciiTheme="minorHAnsi" w:hAnsiTheme="minorHAnsi" w:cstheme="minorHAnsi"/>
          <w:smallCaps/>
        </w:rPr>
        <w:t>ix</w:t>
      </w:r>
      <w:r w:rsidR="06B23347" w:rsidRPr="00B04460">
        <w:rPr>
          <w:rFonts w:asciiTheme="minorHAnsi" w:hAnsiTheme="minorHAnsi" w:cstheme="minorHAnsi"/>
        </w:rPr>
        <w:t xml:space="preserve">. </w:t>
      </w:r>
    </w:p>
  </w:footnote>
  <w:footnote w:id="120">
    <w:p w14:paraId="7F9F7243" w14:textId="37ACDD28" w:rsidR="00773F7C" w:rsidRPr="00097BBC" w:rsidRDefault="00773F7C" w:rsidP="00097BBC">
      <w:pPr>
        <w:jc w:val="both"/>
        <w:rPr>
          <w:rFonts w:cstheme="minorHAnsi"/>
          <w:sz w:val="20"/>
          <w:szCs w:val="20"/>
        </w:rPr>
      </w:pPr>
      <w:r w:rsidRPr="00097BBC">
        <w:rPr>
          <w:rFonts w:cstheme="minorHAnsi"/>
          <w:sz w:val="20"/>
          <w:szCs w:val="20"/>
          <w:vertAlign w:val="superscript"/>
        </w:rPr>
        <w:footnoteRef/>
      </w:r>
      <w:r w:rsidRPr="00097BBC">
        <w:rPr>
          <w:rFonts w:cstheme="minorHAnsi"/>
          <w:sz w:val="20"/>
          <w:szCs w:val="20"/>
        </w:rPr>
        <w:t xml:space="preserve"> </w:t>
      </w:r>
      <w:r w:rsidR="00587771" w:rsidRPr="00097BBC">
        <w:rPr>
          <w:rFonts w:cstheme="minorHAnsi"/>
          <w:sz w:val="20"/>
          <w:szCs w:val="20"/>
        </w:rPr>
        <w:t xml:space="preserve">Cited in </w:t>
      </w:r>
      <w:r w:rsidRPr="00097BBC">
        <w:rPr>
          <w:rFonts w:cstheme="minorHAnsi"/>
          <w:sz w:val="20"/>
          <w:szCs w:val="20"/>
        </w:rPr>
        <w:t>Tomes</w:t>
      </w:r>
      <w:r w:rsidR="00D32500">
        <w:rPr>
          <w:rFonts w:cstheme="minorHAnsi"/>
          <w:sz w:val="20"/>
          <w:szCs w:val="20"/>
        </w:rPr>
        <w:t xml:space="preserve">, </w:t>
      </w:r>
      <w:r w:rsidR="00D32500">
        <w:rPr>
          <w:rFonts w:cstheme="minorHAnsi"/>
          <w:i/>
          <w:iCs/>
          <w:sz w:val="20"/>
          <w:szCs w:val="20"/>
        </w:rPr>
        <w:t>Balfour</w:t>
      </w:r>
      <w:r w:rsidR="00587771" w:rsidRPr="00643BA0">
        <w:rPr>
          <w:rFonts w:cstheme="minorHAnsi"/>
          <w:sz w:val="20"/>
          <w:szCs w:val="20"/>
        </w:rPr>
        <w:t>,</w:t>
      </w:r>
      <w:r w:rsidR="00587771" w:rsidRPr="00097BBC">
        <w:rPr>
          <w:rFonts w:cstheme="minorHAnsi"/>
          <w:sz w:val="20"/>
          <w:szCs w:val="20"/>
        </w:rPr>
        <w:t xml:space="preserve"> p. </w:t>
      </w:r>
      <w:r w:rsidRPr="00097BBC">
        <w:rPr>
          <w:rFonts w:cstheme="minorHAnsi"/>
          <w:sz w:val="20"/>
          <w:szCs w:val="20"/>
        </w:rPr>
        <w:t xml:space="preserve">65. </w:t>
      </w:r>
    </w:p>
  </w:footnote>
  <w:footnote w:id="121">
    <w:p w14:paraId="22EF7645" w14:textId="0C27EBB7"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eastAsia="Calibri" w:hAnsiTheme="minorHAnsi" w:cstheme="minorHAnsi"/>
        </w:rPr>
        <w:t>United Nations, ‘The Question of Palestine: The International Status of the Palestinian People’</w:t>
      </w:r>
      <w:r w:rsidR="001C456C" w:rsidRPr="00097BBC">
        <w:rPr>
          <w:rFonts w:asciiTheme="minorHAnsi" w:eastAsia="Calibri" w:hAnsiTheme="minorHAnsi" w:cstheme="minorHAnsi"/>
        </w:rPr>
        <w:t xml:space="preserve"> (</w:t>
      </w:r>
      <w:r w:rsidRPr="00097BBC">
        <w:rPr>
          <w:rFonts w:asciiTheme="minorHAnsi" w:eastAsia="Calibri" w:hAnsiTheme="minorHAnsi" w:cstheme="minorHAnsi"/>
        </w:rPr>
        <w:t>1981</w:t>
      </w:r>
      <w:r w:rsidR="001C456C" w:rsidRPr="00097BBC">
        <w:rPr>
          <w:rFonts w:asciiTheme="minorHAnsi" w:eastAsia="Calibri" w:hAnsiTheme="minorHAnsi" w:cstheme="minorHAnsi"/>
        </w:rPr>
        <w:t>)</w:t>
      </w:r>
      <w:r w:rsidRPr="00097BBC">
        <w:rPr>
          <w:rFonts w:asciiTheme="minorHAnsi" w:eastAsia="Calibri" w:hAnsiTheme="minorHAnsi" w:cstheme="minorHAnsi"/>
        </w:rPr>
        <w:t xml:space="preserve">, </w:t>
      </w:r>
      <w:hyperlink r:id="rId49">
        <w:r w:rsidRPr="00097BBC">
          <w:rPr>
            <w:rStyle w:val="Hyperlink"/>
            <w:rFonts w:asciiTheme="minorHAnsi" w:eastAsia="Calibri" w:hAnsiTheme="minorHAnsi" w:cstheme="minorHAnsi"/>
          </w:rPr>
          <w:t>https://www.un.org/unispal/document/auto-insert-204352/</w:t>
        </w:r>
      </w:hyperlink>
      <w:r w:rsidR="001C456C" w:rsidRPr="00643BA0">
        <w:rPr>
          <w:rFonts w:asciiTheme="minorHAnsi" w:eastAsia="Calibri" w:hAnsiTheme="minorHAnsi" w:cstheme="minorHAnsi"/>
        </w:rPr>
        <w:t>.</w:t>
      </w:r>
      <w:r w:rsidRPr="00097BBC">
        <w:rPr>
          <w:rFonts w:asciiTheme="minorHAnsi" w:eastAsia="Calibri" w:hAnsiTheme="minorHAnsi" w:cstheme="minorHAnsi"/>
        </w:rPr>
        <w:t xml:space="preserve"> </w:t>
      </w:r>
      <w:r w:rsidR="001C456C" w:rsidRPr="00097BBC">
        <w:rPr>
          <w:rFonts w:asciiTheme="minorHAnsi" w:eastAsia="Calibri" w:hAnsiTheme="minorHAnsi" w:cstheme="minorHAnsi"/>
        </w:rPr>
        <w:t xml:space="preserve">See also </w:t>
      </w:r>
      <w:r w:rsidRPr="00097BBC">
        <w:rPr>
          <w:rFonts w:asciiTheme="minorHAnsi" w:eastAsia="Calibri" w:hAnsiTheme="minorHAnsi" w:cstheme="minorHAnsi"/>
        </w:rPr>
        <w:t>Michael Adams, ‘What Went Wrong in Palestine?’,</w:t>
      </w:r>
      <w:r w:rsidRPr="00097BBC">
        <w:rPr>
          <w:rFonts w:asciiTheme="minorHAnsi" w:eastAsia="Calibri" w:hAnsiTheme="minorHAnsi" w:cstheme="minorHAnsi"/>
          <w:i/>
          <w:iCs/>
        </w:rPr>
        <w:t xml:space="preserve"> Journal of Palestine Studies</w:t>
      </w:r>
      <w:r w:rsidRPr="00097BBC">
        <w:rPr>
          <w:rFonts w:asciiTheme="minorHAnsi" w:eastAsia="Calibri" w:hAnsiTheme="minorHAnsi" w:cstheme="minorHAnsi"/>
        </w:rPr>
        <w:t>, 18 (1988), 71–82. For the original source, see Mr. Balfour to Lord Curzon, 11 August 1919, Public Records Office, FO.371/4183.</w:t>
      </w:r>
    </w:p>
  </w:footnote>
  <w:footnote w:id="122">
    <w:p w14:paraId="1FEA3080" w14:textId="582FD0F1"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David Englander (ed</w:t>
      </w:r>
      <w:r w:rsidR="001C456C" w:rsidRPr="00097BBC">
        <w:rPr>
          <w:rFonts w:asciiTheme="minorHAnsi" w:hAnsiTheme="minorHAnsi" w:cstheme="minorHAnsi"/>
        </w:rPr>
        <w:t>itor</w:t>
      </w:r>
      <w:r w:rsidRPr="00097BBC">
        <w:rPr>
          <w:rFonts w:asciiTheme="minorHAnsi" w:hAnsiTheme="minorHAnsi" w:cstheme="minorHAnsi"/>
        </w:rPr>
        <w:t xml:space="preserve">), </w:t>
      </w:r>
      <w:r w:rsidRPr="00097BBC">
        <w:rPr>
          <w:rFonts w:asciiTheme="minorHAnsi" w:hAnsiTheme="minorHAnsi" w:cstheme="minorHAnsi"/>
          <w:i/>
          <w:iCs/>
        </w:rPr>
        <w:t>A Documentary History of Jewish Immigrants in Britain 1840–1920</w:t>
      </w:r>
      <w:r w:rsidR="001C456C" w:rsidRPr="00097BBC">
        <w:rPr>
          <w:rFonts w:asciiTheme="minorHAnsi" w:hAnsiTheme="minorHAnsi" w:cstheme="minorHAnsi"/>
        </w:rPr>
        <w:t xml:space="preserve"> </w:t>
      </w:r>
      <w:r w:rsidRPr="00097BBC">
        <w:rPr>
          <w:rFonts w:asciiTheme="minorHAnsi" w:hAnsiTheme="minorHAnsi" w:cstheme="minorHAnsi"/>
        </w:rPr>
        <w:t xml:space="preserve">(London: Leicester University Press, 1994), </w:t>
      </w:r>
      <w:r w:rsidR="001C456C" w:rsidRPr="00097BBC">
        <w:rPr>
          <w:rFonts w:asciiTheme="minorHAnsi" w:hAnsiTheme="minorHAnsi" w:cstheme="minorHAnsi"/>
        </w:rPr>
        <w:t xml:space="preserve">p. </w:t>
      </w:r>
      <w:r w:rsidRPr="00097BBC">
        <w:rPr>
          <w:rFonts w:asciiTheme="minorHAnsi" w:hAnsiTheme="minorHAnsi" w:cstheme="minorHAnsi"/>
        </w:rPr>
        <w:t>10.</w:t>
      </w:r>
    </w:p>
  </w:footnote>
  <w:footnote w:id="123">
    <w:p w14:paraId="76534EFA" w14:textId="54682CAD"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001422EB" w:rsidRPr="00097BBC">
        <w:rPr>
          <w:rFonts w:asciiTheme="minorHAnsi" w:hAnsiTheme="minorHAnsi" w:cstheme="minorHAnsi"/>
        </w:rPr>
        <w:t xml:space="preserve"> UK </w:t>
      </w:r>
      <w:r w:rsidR="06B23347" w:rsidRPr="00097BBC">
        <w:rPr>
          <w:rFonts w:asciiTheme="minorHAnsi" w:hAnsiTheme="minorHAnsi" w:cstheme="minorHAnsi"/>
        </w:rPr>
        <w:t xml:space="preserve">Parliament, Aliens Bill, remarks by Arthur James Balfour, 10 July 1905, </w:t>
      </w:r>
      <w:r w:rsidR="06B23347" w:rsidRPr="00097BBC">
        <w:rPr>
          <w:rFonts w:asciiTheme="minorHAnsi" w:hAnsiTheme="minorHAnsi" w:cstheme="minorHAnsi"/>
          <w:i/>
          <w:iCs/>
        </w:rPr>
        <w:t>Hansards</w:t>
      </w:r>
      <w:r w:rsidR="06B23347" w:rsidRPr="00097BBC">
        <w:rPr>
          <w:rFonts w:asciiTheme="minorHAnsi" w:hAnsiTheme="minorHAnsi" w:cstheme="minorHAnsi"/>
        </w:rPr>
        <w:t xml:space="preserve">, </w:t>
      </w:r>
      <w:r w:rsidR="06B23347" w:rsidRPr="00097BBC">
        <w:rPr>
          <w:rFonts w:asciiTheme="minorHAnsi" w:hAnsiTheme="minorHAnsi" w:cstheme="minorHAnsi"/>
          <w:smallCaps/>
        </w:rPr>
        <w:t>CXLIX</w:t>
      </w:r>
      <w:r w:rsidR="06B23347" w:rsidRPr="00097BBC">
        <w:rPr>
          <w:rFonts w:asciiTheme="minorHAnsi" w:hAnsiTheme="minorHAnsi" w:cstheme="minorHAnsi"/>
        </w:rPr>
        <w:t xml:space="preserve">, cc. 110–62. </w:t>
      </w:r>
    </w:p>
  </w:footnote>
  <w:footnote w:id="124">
    <w:p w14:paraId="7509BAAA" w14:textId="7090F6B9" w:rsidR="00773F7C" w:rsidRPr="00097BBC" w:rsidRDefault="00773F7C" w:rsidP="00097BBC">
      <w:pPr>
        <w:jc w:val="both"/>
        <w:rPr>
          <w:rFonts w:cstheme="minorHAnsi"/>
          <w:sz w:val="20"/>
          <w:szCs w:val="20"/>
        </w:rPr>
      </w:pPr>
      <w:r w:rsidRPr="00097BBC">
        <w:rPr>
          <w:rFonts w:cstheme="minorHAnsi"/>
          <w:sz w:val="20"/>
          <w:szCs w:val="20"/>
          <w:vertAlign w:val="superscript"/>
        </w:rPr>
        <w:footnoteRef/>
      </w:r>
      <w:r w:rsidRPr="00097BBC">
        <w:rPr>
          <w:rFonts w:cstheme="minorHAnsi"/>
          <w:sz w:val="20"/>
          <w:szCs w:val="20"/>
        </w:rPr>
        <w:t xml:space="preserve"> L. S. Jaycna, </w:t>
      </w:r>
      <w:r w:rsidR="004D5C7F" w:rsidRPr="00097BBC">
        <w:rPr>
          <w:rFonts w:cstheme="minorHAnsi"/>
          <w:sz w:val="20"/>
          <w:szCs w:val="20"/>
        </w:rPr>
        <w:t>‘</w:t>
      </w:r>
      <w:r w:rsidRPr="00097BBC">
        <w:rPr>
          <w:rFonts w:cstheme="minorHAnsi"/>
          <w:sz w:val="20"/>
          <w:szCs w:val="20"/>
        </w:rPr>
        <w:t>Science and Social Order in the Thought of A. J. Balfour</w:t>
      </w:r>
      <w:r w:rsidR="004D5C7F" w:rsidRPr="00097BBC">
        <w:rPr>
          <w:rFonts w:cstheme="minorHAnsi"/>
          <w:sz w:val="20"/>
          <w:szCs w:val="20"/>
        </w:rPr>
        <w:t>’,</w:t>
      </w:r>
      <w:r w:rsidRPr="00097BBC">
        <w:rPr>
          <w:rFonts w:cstheme="minorHAnsi"/>
          <w:sz w:val="20"/>
          <w:szCs w:val="20"/>
        </w:rPr>
        <w:t xml:space="preserve"> </w:t>
      </w:r>
      <w:r w:rsidRPr="00097BBC">
        <w:rPr>
          <w:rFonts w:cstheme="minorHAnsi"/>
          <w:i/>
          <w:sz w:val="20"/>
          <w:szCs w:val="20"/>
        </w:rPr>
        <w:t>Isis</w:t>
      </w:r>
      <w:r w:rsidRPr="00097BBC">
        <w:rPr>
          <w:rFonts w:cstheme="minorHAnsi"/>
          <w:sz w:val="20"/>
          <w:szCs w:val="20"/>
        </w:rPr>
        <w:t>, 71</w:t>
      </w:r>
      <w:r w:rsidR="004D5C7F" w:rsidRPr="00097BBC">
        <w:rPr>
          <w:rFonts w:cstheme="minorHAnsi"/>
          <w:sz w:val="20"/>
          <w:szCs w:val="20"/>
        </w:rPr>
        <w:t xml:space="preserve"> (</w:t>
      </w:r>
      <w:r w:rsidRPr="00097BBC">
        <w:rPr>
          <w:rFonts w:cstheme="minorHAnsi"/>
          <w:sz w:val="20"/>
          <w:szCs w:val="20"/>
        </w:rPr>
        <w:t xml:space="preserve">1980), </w:t>
      </w:r>
      <w:r w:rsidR="00D13E90" w:rsidRPr="00097BBC">
        <w:rPr>
          <w:rFonts w:cstheme="minorHAnsi"/>
          <w:sz w:val="20"/>
          <w:szCs w:val="20"/>
        </w:rPr>
        <w:t xml:space="preserve">11–34 (p. </w:t>
      </w:r>
      <w:r w:rsidRPr="00097BBC">
        <w:rPr>
          <w:rFonts w:cstheme="minorHAnsi"/>
          <w:sz w:val="20"/>
          <w:szCs w:val="20"/>
        </w:rPr>
        <w:t>31</w:t>
      </w:r>
      <w:r w:rsidR="00D13E90" w:rsidRPr="00097BBC">
        <w:rPr>
          <w:rFonts w:cstheme="minorHAnsi"/>
          <w:sz w:val="20"/>
          <w:szCs w:val="20"/>
        </w:rPr>
        <w:t>)</w:t>
      </w:r>
      <w:r w:rsidRPr="00097BBC">
        <w:rPr>
          <w:rFonts w:cstheme="minorHAnsi"/>
          <w:sz w:val="20"/>
          <w:szCs w:val="20"/>
        </w:rPr>
        <w:t>.</w:t>
      </w:r>
    </w:p>
  </w:footnote>
  <w:footnote w:id="125">
    <w:p w14:paraId="114AF08A" w14:textId="51371BEC" w:rsidR="00773F7C" w:rsidRPr="00097BBC" w:rsidRDefault="00773F7C" w:rsidP="00097BBC">
      <w:pPr>
        <w:jc w:val="both"/>
        <w:rPr>
          <w:rFonts w:cstheme="minorHAnsi"/>
          <w:sz w:val="20"/>
          <w:szCs w:val="20"/>
        </w:rPr>
      </w:pPr>
      <w:r w:rsidRPr="00097BBC">
        <w:rPr>
          <w:rFonts w:cstheme="minorHAnsi"/>
          <w:sz w:val="20"/>
          <w:szCs w:val="20"/>
          <w:vertAlign w:val="superscript"/>
        </w:rPr>
        <w:footnoteRef/>
      </w:r>
      <w:r w:rsidRPr="00097BBC">
        <w:rPr>
          <w:rFonts w:cstheme="minorHAnsi"/>
          <w:sz w:val="20"/>
          <w:szCs w:val="20"/>
        </w:rPr>
        <w:t xml:space="preserve"> Stefan Kuhl, </w:t>
      </w:r>
      <w:r w:rsidRPr="00097BBC">
        <w:rPr>
          <w:rFonts w:cstheme="minorHAnsi"/>
          <w:i/>
          <w:sz w:val="20"/>
          <w:szCs w:val="20"/>
        </w:rPr>
        <w:t>For the Betterment of the Race: The Rise and Fall of the International Movement for Eugenics and Racial Hygiene</w:t>
      </w:r>
      <w:r w:rsidRPr="00097BBC">
        <w:rPr>
          <w:rFonts w:cstheme="minorHAnsi"/>
          <w:sz w:val="20"/>
          <w:szCs w:val="20"/>
        </w:rPr>
        <w:t xml:space="preserve"> (New York: Macmillan, 2013)</w:t>
      </w:r>
      <w:r w:rsidR="00D13E90" w:rsidRPr="00097BBC">
        <w:rPr>
          <w:rFonts w:cstheme="minorHAnsi"/>
          <w:sz w:val="20"/>
          <w:szCs w:val="20"/>
        </w:rPr>
        <w:t>, pp.</w:t>
      </w:r>
      <w:r w:rsidRPr="00097BBC">
        <w:rPr>
          <w:rFonts w:cstheme="minorHAnsi"/>
          <w:sz w:val="20"/>
          <w:szCs w:val="20"/>
        </w:rPr>
        <w:t xml:space="preserve"> 12</w:t>
      </w:r>
      <w:r w:rsidR="00D13E90" w:rsidRPr="00097BBC">
        <w:rPr>
          <w:rFonts w:cstheme="minorHAnsi"/>
          <w:sz w:val="20"/>
          <w:szCs w:val="20"/>
        </w:rPr>
        <w:t>–</w:t>
      </w:r>
      <w:r w:rsidRPr="00097BBC">
        <w:rPr>
          <w:rFonts w:cstheme="minorHAnsi"/>
          <w:sz w:val="20"/>
          <w:szCs w:val="20"/>
        </w:rPr>
        <w:t>20.</w:t>
      </w:r>
    </w:p>
  </w:footnote>
  <w:footnote w:id="126">
    <w:p w14:paraId="427B64DB" w14:textId="44DFF38D" w:rsidR="00373AD4" w:rsidRPr="00097BBC" w:rsidRDefault="00373AD4" w:rsidP="00097BBC">
      <w:pPr>
        <w:jc w:val="both"/>
        <w:rPr>
          <w:rFonts w:cstheme="minorHAnsi"/>
          <w:sz w:val="20"/>
          <w:szCs w:val="20"/>
        </w:rPr>
      </w:pPr>
      <w:r w:rsidRPr="00097BBC">
        <w:rPr>
          <w:rFonts w:cstheme="minorHAnsi"/>
          <w:sz w:val="20"/>
          <w:szCs w:val="20"/>
          <w:vertAlign w:val="superscript"/>
        </w:rPr>
        <w:footnoteRef/>
      </w:r>
      <w:r w:rsidRPr="00097BBC">
        <w:rPr>
          <w:rFonts w:cstheme="minorHAnsi"/>
          <w:sz w:val="20"/>
          <w:szCs w:val="20"/>
        </w:rPr>
        <w:t xml:space="preserve"> Cited in Kuhl</w:t>
      </w:r>
      <w:r w:rsidR="005D12A6">
        <w:rPr>
          <w:rFonts w:cstheme="minorHAnsi"/>
          <w:sz w:val="20"/>
          <w:szCs w:val="20"/>
        </w:rPr>
        <w:t xml:space="preserve">, </w:t>
      </w:r>
      <w:r w:rsidR="005D12A6" w:rsidRPr="00643BA0">
        <w:rPr>
          <w:rFonts w:cstheme="minorHAnsi"/>
          <w:i/>
          <w:sz w:val="20"/>
          <w:szCs w:val="20"/>
        </w:rPr>
        <w:t>For the Betterment</w:t>
      </w:r>
      <w:r w:rsidRPr="00643BA0">
        <w:rPr>
          <w:rFonts w:cstheme="minorHAnsi"/>
          <w:sz w:val="20"/>
          <w:szCs w:val="20"/>
        </w:rPr>
        <w:t>,</w:t>
      </w:r>
      <w:r w:rsidRPr="00097BBC">
        <w:rPr>
          <w:rFonts w:cstheme="minorHAnsi"/>
          <w:sz w:val="20"/>
          <w:szCs w:val="20"/>
        </w:rPr>
        <w:t xml:space="preserve"> p. 26; Jaycna</w:t>
      </w:r>
      <w:r w:rsidR="005D12A6">
        <w:rPr>
          <w:rFonts w:cstheme="minorHAnsi"/>
          <w:sz w:val="20"/>
          <w:szCs w:val="20"/>
        </w:rPr>
        <w:t>, ‘</w:t>
      </w:r>
      <w:r w:rsidR="005D12A6" w:rsidRPr="00643BA0">
        <w:rPr>
          <w:rFonts w:cstheme="minorHAnsi"/>
          <w:sz w:val="20"/>
          <w:szCs w:val="20"/>
        </w:rPr>
        <w:t>Science and Social Order</w:t>
      </w:r>
      <w:r w:rsidR="005D12A6">
        <w:rPr>
          <w:rFonts w:cstheme="minorHAnsi"/>
          <w:sz w:val="20"/>
          <w:szCs w:val="20"/>
        </w:rPr>
        <w:t>’</w:t>
      </w:r>
      <w:r w:rsidRPr="00643BA0">
        <w:rPr>
          <w:rFonts w:cstheme="minorHAnsi"/>
          <w:sz w:val="20"/>
          <w:szCs w:val="20"/>
        </w:rPr>
        <w:t>,</w:t>
      </w:r>
      <w:r w:rsidRPr="00097BBC">
        <w:rPr>
          <w:rFonts w:cstheme="minorHAnsi"/>
          <w:sz w:val="20"/>
          <w:szCs w:val="20"/>
        </w:rPr>
        <w:t xml:space="preserve"> p. 31.</w:t>
      </w:r>
    </w:p>
  </w:footnote>
  <w:footnote w:id="127">
    <w:p w14:paraId="68EA6715" w14:textId="3A733625" w:rsidR="00773F7C" w:rsidRPr="00097BBC" w:rsidRDefault="00773F7C" w:rsidP="00097BBC">
      <w:pPr>
        <w:jc w:val="both"/>
        <w:rPr>
          <w:rFonts w:cstheme="minorHAnsi"/>
          <w:sz w:val="20"/>
          <w:szCs w:val="20"/>
        </w:rPr>
      </w:pPr>
      <w:r w:rsidRPr="00097BBC">
        <w:rPr>
          <w:rFonts w:cstheme="minorHAnsi"/>
          <w:sz w:val="20"/>
          <w:szCs w:val="20"/>
          <w:vertAlign w:val="superscript"/>
        </w:rPr>
        <w:footnoteRef/>
      </w:r>
      <w:r w:rsidRPr="00097BBC">
        <w:rPr>
          <w:rFonts w:cstheme="minorHAnsi"/>
          <w:sz w:val="20"/>
          <w:szCs w:val="20"/>
        </w:rPr>
        <w:t xml:space="preserve"> Arthur James Balfour, </w:t>
      </w:r>
      <w:r w:rsidRPr="00097BBC">
        <w:rPr>
          <w:rFonts w:cstheme="minorHAnsi"/>
          <w:i/>
          <w:sz w:val="20"/>
          <w:szCs w:val="20"/>
        </w:rPr>
        <w:t xml:space="preserve">Speeches on Zionism </w:t>
      </w:r>
      <w:r w:rsidRPr="00097BBC">
        <w:rPr>
          <w:rFonts w:cstheme="minorHAnsi"/>
          <w:sz w:val="20"/>
          <w:szCs w:val="20"/>
        </w:rPr>
        <w:t>(London: Arrowsmith, 1928), p. 25.</w:t>
      </w:r>
    </w:p>
  </w:footnote>
  <w:footnote w:id="128">
    <w:p w14:paraId="5F84A65B" w14:textId="30D38F31" w:rsidR="00E972A2" w:rsidRPr="00097BBC" w:rsidRDefault="00E972A2" w:rsidP="00097BBC">
      <w:pPr>
        <w:jc w:val="both"/>
        <w:rPr>
          <w:rFonts w:cstheme="minorHAnsi"/>
          <w:sz w:val="20"/>
          <w:szCs w:val="20"/>
        </w:rPr>
      </w:pPr>
      <w:r w:rsidRPr="00097BBC">
        <w:rPr>
          <w:rFonts w:cstheme="minorHAnsi"/>
          <w:sz w:val="20"/>
          <w:szCs w:val="20"/>
          <w:vertAlign w:val="superscript"/>
        </w:rPr>
        <w:footnoteRef/>
      </w:r>
      <w:r w:rsidRPr="00097BBC">
        <w:rPr>
          <w:rFonts w:cstheme="minorHAnsi"/>
          <w:sz w:val="20"/>
          <w:szCs w:val="20"/>
        </w:rPr>
        <w:t xml:space="preserve"> Tomes</w:t>
      </w:r>
      <w:r w:rsidRPr="00643BA0">
        <w:rPr>
          <w:rFonts w:cstheme="minorHAnsi"/>
          <w:sz w:val="20"/>
          <w:szCs w:val="20"/>
        </w:rPr>
        <w:t>,</w:t>
      </w:r>
      <w:r w:rsidRPr="00097BBC">
        <w:rPr>
          <w:rFonts w:cstheme="minorHAnsi"/>
          <w:sz w:val="20"/>
          <w:szCs w:val="20"/>
        </w:rPr>
        <w:t xml:space="preserve"> </w:t>
      </w:r>
      <w:r w:rsidR="00FD0781">
        <w:rPr>
          <w:rFonts w:cstheme="minorHAnsi"/>
          <w:i/>
          <w:iCs/>
          <w:sz w:val="20"/>
          <w:szCs w:val="20"/>
        </w:rPr>
        <w:t>Balfour</w:t>
      </w:r>
      <w:r w:rsidR="00FD0781">
        <w:rPr>
          <w:rFonts w:cstheme="minorHAnsi"/>
          <w:sz w:val="20"/>
          <w:szCs w:val="20"/>
        </w:rPr>
        <w:t>,</w:t>
      </w:r>
      <w:r w:rsidRPr="00643BA0">
        <w:rPr>
          <w:rFonts w:cstheme="minorHAnsi"/>
          <w:sz w:val="20"/>
          <w:szCs w:val="20"/>
        </w:rPr>
        <w:t xml:space="preserve"> </w:t>
      </w:r>
      <w:r w:rsidRPr="00097BBC">
        <w:rPr>
          <w:rFonts w:cstheme="minorHAnsi"/>
          <w:sz w:val="20"/>
          <w:szCs w:val="20"/>
        </w:rPr>
        <w:t>p. 212.</w:t>
      </w:r>
    </w:p>
  </w:footnote>
  <w:footnote w:id="129">
    <w:p w14:paraId="1BB257A8" w14:textId="5A750038" w:rsidR="00773F7C" w:rsidRPr="00097BBC" w:rsidRDefault="00773F7C" w:rsidP="00097BBC">
      <w:pPr>
        <w:pStyle w:val="FootnoteText"/>
        <w:rPr>
          <w:rFonts w:asciiTheme="minorHAnsi" w:eastAsia="Calibri" w:hAnsiTheme="minorHAnsi" w:cstheme="minorHAnsi"/>
        </w:rPr>
      </w:pPr>
      <w:r w:rsidRPr="00097BBC">
        <w:rPr>
          <w:rStyle w:val="FootnoteReference"/>
          <w:rFonts w:asciiTheme="minorHAnsi" w:eastAsia="Calibri" w:hAnsiTheme="minorHAnsi" w:cstheme="minorHAnsi"/>
        </w:rPr>
        <w:footnoteRef/>
      </w:r>
      <w:r w:rsidRPr="00097BBC">
        <w:rPr>
          <w:rFonts w:asciiTheme="minorHAnsi" w:eastAsia="Calibri" w:hAnsiTheme="minorHAnsi" w:cstheme="minorHAnsi"/>
        </w:rPr>
        <w:t xml:space="preserve"> Edward Said, </w:t>
      </w:r>
      <w:r w:rsidRPr="00097BBC">
        <w:rPr>
          <w:rFonts w:asciiTheme="minorHAnsi" w:eastAsia="Calibri" w:hAnsiTheme="minorHAnsi" w:cstheme="minorHAnsi"/>
          <w:i/>
          <w:iCs/>
        </w:rPr>
        <w:t xml:space="preserve">The Question of Palestine </w:t>
      </w:r>
      <w:r w:rsidRPr="00097BBC">
        <w:rPr>
          <w:rFonts w:asciiTheme="minorHAnsi" w:eastAsia="Calibri" w:hAnsiTheme="minorHAnsi" w:cstheme="minorHAnsi"/>
        </w:rPr>
        <w:t>(New York: Vintage Books, 1980), p. 16.</w:t>
      </w:r>
    </w:p>
  </w:footnote>
  <w:footnote w:id="130">
    <w:p w14:paraId="23D99A14" w14:textId="6BC86F7F"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Tamson Pietsch, </w:t>
      </w:r>
      <w:r w:rsidRPr="00097BBC">
        <w:rPr>
          <w:rFonts w:asciiTheme="minorHAnsi" w:hAnsiTheme="minorHAnsi" w:cstheme="minorHAnsi"/>
          <w:i/>
          <w:iCs/>
        </w:rPr>
        <w:t>Empire of Scholars: Universities, Networks and the British Academic World, 1850</w:t>
      </w:r>
      <w:r w:rsidR="002135D7" w:rsidRPr="00097BBC">
        <w:rPr>
          <w:rFonts w:asciiTheme="minorHAnsi" w:hAnsiTheme="minorHAnsi" w:cstheme="minorHAnsi"/>
          <w:i/>
          <w:iCs/>
        </w:rPr>
        <w:t>–</w:t>
      </w:r>
      <w:r w:rsidRPr="00097BBC">
        <w:rPr>
          <w:rFonts w:asciiTheme="minorHAnsi" w:hAnsiTheme="minorHAnsi" w:cstheme="minorHAnsi"/>
          <w:i/>
          <w:iCs/>
        </w:rPr>
        <w:t>1939</w:t>
      </w:r>
      <w:r w:rsidR="002135D7" w:rsidRPr="00097BBC">
        <w:rPr>
          <w:rFonts w:asciiTheme="minorHAnsi" w:hAnsiTheme="minorHAnsi" w:cstheme="minorHAnsi"/>
        </w:rPr>
        <w:t xml:space="preserve"> </w:t>
      </w:r>
      <w:r w:rsidRPr="00097BBC">
        <w:rPr>
          <w:rFonts w:asciiTheme="minorHAnsi" w:hAnsiTheme="minorHAnsi" w:cstheme="minorHAnsi"/>
        </w:rPr>
        <w:t>(Manchester: Manchester University Press, 2013).</w:t>
      </w:r>
    </w:p>
  </w:footnote>
  <w:footnote w:id="131">
    <w:p w14:paraId="2CBF3D7F" w14:textId="7B791720" w:rsidR="00247960" w:rsidRPr="00097BBC" w:rsidRDefault="00247960"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‘Official Report of the Allied Colonial Universities’, in </w:t>
      </w:r>
      <w:r w:rsidRPr="00097BBC">
        <w:rPr>
          <w:rFonts w:asciiTheme="minorHAnsi" w:hAnsiTheme="minorHAnsi" w:cstheme="minorHAnsi"/>
          <w:i/>
          <w:iCs/>
        </w:rPr>
        <w:t>The Empire Review</w:t>
      </w:r>
      <w:r w:rsidRPr="00097BBC">
        <w:rPr>
          <w:rFonts w:asciiTheme="minorHAnsi" w:hAnsiTheme="minorHAnsi" w:cstheme="minorHAnsi"/>
        </w:rPr>
        <w:t xml:space="preserve">, </w:t>
      </w:r>
      <w:r w:rsidRPr="00097BBC">
        <w:rPr>
          <w:rFonts w:asciiTheme="minorHAnsi" w:hAnsiTheme="minorHAnsi" w:cstheme="minorHAnsi"/>
          <w:smallCaps/>
        </w:rPr>
        <w:t>VI</w:t>
      </w:r>
      <w:r w:rsidRPr="00097BBC">
        <w:rPr>
          <w:rFonts w:asciiTheme="minorHAnsi" w:hAnsiTheme="minorHAnsi" w:cstheme="minorHAnsi"/>
        </w:rPr>
        <w:t xml:space="preserve"> (London, 1904), p. 121</w:t>
      </w:r>
    </w:p>
  </w:footnote>
  <w:footnote w:id="132">
    <w:p w14:paraId="6DF8C722" w14:textId="6A015E4D"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643BA0">
        <w:rPr>
          <w:rFonts w:asciiTheme="minorHAnsi" w:hAnsiTheme="minorHAnsi" w:cstheme="minorHAnsi"/>
        </w:rPr>
        <w:t xml:space="preserve"> ‘Official Report</w:t>
      </w:r>
      <w:r w:rsidR="00AF60E6">
        <w:rPr>
          <w:rFonts w:asciiTheme="minorHAnsi" w:hAnsiTheme="minorHAnsi" w:cstheme="minorHAnsi"/>
        </w:rPr>
        <w:t>’</w:t>
      </w:r>
      <w:r w:rsidRPr="00643BA0">
        <w:rPr>
          <w:rFonts w:asciiTheme="minorHAnsi" w:hAnsiTheme="minorHAnsi" w:cstheme="minorHAnsi"/>
        </w:rPr>
        <w:t>, p. 121.</w:t>
      </w:r>
    </w:p>
  </w:footnote>
  <w:footnote w:id="133">
    <w:p w14:paraId="06D50723" w14:textId="773D3CA7" w:rsidR="00E8329A" w:rsidRPr="00097BBC" w:rsidRDefault="00E8329A"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0151C3" w:rsidRPr="00097BBC">
        <w:rPr>
          <w:rFonts w:asciiTheme="minorHAnsi" w:hAnsiTheme="minorHAnsi" w:cstheme="minorHAnsi"/>
        </w:rPr>
        <w:t>‘Official Report’</w:t>
      </w:r>
      <w:r w:rsidR="000151C3" w:rsidRPr="00643BA0">
        <w:rPr>
          <w:rFonts w:asciiTheme="minorHAnsi" w:hAnsiTheme="minorHAnsi" w:cstheme="minorHAnsi"/>
        </w:rPr>
        <w:t>,</w:t>
      </w:r>
      <w:r w:rsidR="000151C3">
        <w:rPr>
          <w:rFonts w:asciiTheme="minorHAnsi" w:hAnsiTheme="minorHAnsi" w:cstheme="minorHAnsi"/>
        </w:rPr>
        <w:t xml:space="preserve"> </w:t>
      </w:r>
      <w:r w:rsidRPr="00097BBC">
        <w:rPr>
          <w:rFonts w:asciiTheme="minorHAnsi" w:hAnsiTheme="minorHAnsi" w:cstheme="minorHAnsi"/>
        </w:rPr>
        <w:t>p. 122.</w:t>
      </w:r>
    </w:p>
  </w:footnote>
  <w:footnote w:id="134">
    <w:p w14:paraId="17B007F2" w14:textId="3825FB33"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‘Congress of the Universities of the British Empire, Report of Proceedings’ (London: University of London Press, Hodder &amp; Stoughton, 1912), p. 125.</w:t>
      </w:r>
    </w:p>
  </w:footnote>
  <w:footnote w:id="135">
    <w:p w14:paraId="572D9053" w14:textId="35E94A6B"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Arthur Balfour, </w:t>
      </w:r>
      <w:r w:rsidRPr="00097BBC">
        <w:rPr>
          <w:rFonts w:asciiTheme="minorHAnsi" w:hAnsiTheme="minorHAnsi" w:cstheme="minorHAnsi"/>
          <w:i/>
          <w:iCs/>
        </w:rPr>
        <w:t>Decadence</w:t>
      </w:r>
      <w:r w:rsidRPr="00097BBC">
        <w:rPr>
          <w:rFonts w:asciiTheme="minorHAnsi" w:hAnsiTheme="minorHAnsi" w:cstheme="minorHAnsi"/>
        </w:rPr>
        <w:t xml:space="preserve"> (Cambridge: Cambridge University Press, 1908), pp.</w:t>
      </w:r>
      <w:r w:rsidR="002135D7" w:rsidRPr="00097BBC">
        <w:rPr>
          <w:rFonts w:asciiTheme="minorHAnsi" w:hAnsiTheme="minorHAnsi" w:cstheme="minorHAnsi"/>
        </w:rPr>
        <w:t xml:space="preserve"> </w:t>
      </w:r>
      <w:r w:rsidRPr="00097BBC">
        <w:rPr>
          <w:rFonts w:asciiTheme="minorHAnsi" w:hAnsiTheme="minorHAnsi" w:cstheme="minorHAnsi"/>
        </w:rPr>
        <w:t>46</w:t>
      </w:r>
      <w:r w:rsidR="002135D7" w:rsidRPr="00097BBC">
        <w:rPr>
          <w:rFonts w:asciiTheme="minorHAnsi" w:hAnsiTheme="minorHAnsi" w:cstheme="minorHAnsi"/>
        </w:rPr>
        <w:t>–</w:t>
      </w:r>
      <w:r w:rsidRPr="00097BBC">
        <w:rPr>
          <w:rFonts w:asciiTheme="minorHAnsi" w:hAnsiTheme="minorHAnsi" w:cstheme="minorHAnsi"/>
        </w:rPr>
        <w:t>47.</w:t>
      </w:r>
    </w:p>
  </w:footnote>
  <w:footnote w:id="136">
    <w:p w14:paraId="06EA0C1C" w14:textId="77777777" w:rsidR="00F05DC5" w:rsidRPr="00097BBC" w:rsidRDefault="00F05DC5"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Chaim Weizmann, </w:t>
      </w:r>
      <w:r w:rsidRPr="00097BBC">
        <w:rPr>
          <w:rFonts w:asciiTheme="minorHAnsi" w:hAnsiTheme="minorHAnsi" w:cstheme="minorHAnsi"/>
          <w:i/>
          <w:iCs/>
        </w:rPr>
        <w:t>Trial and Error</w:t>
      </w:r>
      <w:r w:rsidRPr="00097BBC">
        <w:rPr>
          <w:rFonts w:asciiTheme="minorHAnsi" w:hAnsiTheme="minorHAnsi" w:cstheme="minorHAnsi"/>
        </w:rPr>
        <w:t xml:space="preserve"> (Hamilton: London, 1949), p.</w:t>
      </w:r>
      <w:r w:rsidRPr="00097BBC">
        <w:rPr>
          <w:rFonts w:asciiTheme="minorHAnsi" w:hAnsiTheme="minorHAnsi" w:cstheme="minorHAnsi"/>
          <w:i/>
          <w:iCs/>
        </w:rPr>
        <w:t xml:space="preserve"> </w:t>
      </w:r>
      <w:r w:rsidRPr="00097BBC">
        <w:rPr>
          <w:rFonts w:asciiTheme="minorHAnsi" w:hAnsiTheme="minorHAnsi" w:cstheme="minorHAnsi"/>
        </w:rPr>
        <w:t>390.</w:t>
      </w:r>
    </w:p>
  </w:footnote>
  <w:footnote w:id="137">
    <w:p w14:paraId="15F689E5" w14:textId="7A98830B" w:rsidR="00111179" w:rsidRPr="001548BC" w:rsidRDefault="00111179" w:rsidP="00057638">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Weizmann</w:t>
      </w:r>
      <w:r w:rsidR="000151C3" w:rsidRPr="001548BC">
        <w:rPr>
          <w:rFonts w:asciiTheme="minorHAnsi" w:hAnsiTheme="minorHAnsi" w:cstheme="minorHAnsi"/>
        </w:rPr>
        <w:t>,</w:t>
      </w:r>
      <w:r w:rsidR="00255978">
        <w:rPr>
          <w:rFonts w:asciiTheme="minorHAnsi" w:hAnsiTheme="minorHAnsi" w:cstheme="minorHAnsi"/>
        </w:rPr>
        <w:t xml:space="preserve"> </w:t>
      </w:r>
      <w:r w:rsidR="00255978">
        <w:rPr>
          <w:rFonts w:asciiTheme="minorHAnsi" w:hAnsiTheme="minorHAnsi" w:cstheme="minorHAnsi"/>
          <w:i/>
          <w:iCs/>
        </w:rPr>
        <w:t>Trial and Error</w:t>
      </w:r>
      <w:r w:rsidR="00255978">
        <w:rPr>
          <w:rFonts w:asciiTheme="minorHAnsi" w:hAnsiTheme="minorHAnsi" w:cstheme="minorHAnsi"/>
        </w:rPr>
        <w:t>,</w:t>
      </w:r>
      <w:r w:rsidRPr="001548BC">
        <w:rPr>
          <w:rFonts w:asciiTheme="minorHAnsi" w:hAnsiTheme="minorHAnsi" w:cstheme="minorHAnsi"/>
        </w:rPr>
        <w:t xml:space="preserve"> p. </w:t>
      </w:r>
      <w:r w:rsidR="007E3C4E" w:rsidRPr="001548BC">
        <w:rPr>
          <w:rFonts w:asciiTheme="minorHAnsi" w:hAnsiTheme="minorHAnsi" w:cstheme="minorHAnsi"/>
        </w:rPr>
        <w:t>391.</w:t>
      </w:r>
    </w:p>
  </w:footnote>
  <w:footnote w:id="138">
    <w:p w14:paraId="3D98B10E" w14:textId="74420505"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57638">
        <w:rPr>
          <w:rFonts w:asciiTheme="minorHAnsi" w:hAnsiTheme="minorHAnsi" w:cstheme="minorHAnsi"/>
        </w:rPr>
        <w:t xml:space="preserve">See Appendix </w:t>
      </w:r>
      <w:r w:rsidR="009546D8" w:rsidRPr="00057638">
        <w:rPr>
          <w:rFonts w:asciiTheme="minorHAnsi" w:hAnsiTheme="minorHAnsi" w:cstheme="minorHAnsi"/>
        </w:rPr>
        <w:t>3</w:t>
      </w:r>
      <w:r w:rsidRPr="00057638">
        <w:rPr>
          <w:rFonts w:asciiTheme="minorHAnsi" w:hAnsiTheme="minorHAnsi" w:cstheme="minorHAnsi"/>
        </w:rPr>
        <w:t>.</w:t>
      </w:r>
      <w:r w:rsidR="0028314C" w:rsidRPr="00AE3304">
        <w:rPr>
          <w:rFonts w:asciiTheme="minorHAnsi" w:hAnsiTheme="minorHAnsi" w:cstheme="minorHAnsi"/>
        </w:rPr>
        <w:t xml:space="preserve"> Note</w:t>
      </w:r>
      <w:r w:rsidR="0028314C" w:rsidRPr="00097BBC">
        <w:rPr>
          <w:rFonts w:asciiTheme="minorHAnsi" w:hAnsiTheme="minorHAnsi" w:cstheme="minorHAnsi"/>
        </w:rPr>
        <w:t xml:space="preserve"> that</w:t>
      </w:r>
      <w:r w:rsidR="000151C3">
        <w:rPr>
          <w:rFonts w:asciiTheme="minorHAnsi" w:hAnsiTheme="minorHAnsi" w:cstheme="minorHAnsi"/>
        </w:rPr>
        <w:t xml:space="preserve"> the</w:t>
      </w:r>
      <w:r w:rsidR="0028314C" w:rsidRPr="00097BBC">
        <w:rPr>
          <w:rFonts w:asciiTheme="minorHAnsi" w:hAnsiTheme="minorHAnsi" w:cstheme="minorHAnsi"/>
        </w:rPr>
        <w:t xml:space="preserve"> </w:t>
      </w:r>
      <w:r w:rsidR="00A27530" w:rsidRPr="00643BA0">
        <w:rPr>
          <w:rFonts w:asciiTheme="minorHAnsi" w:hAnsiTheme="minorHAnsi" w:cstheme="minorHAnsi"/>
        </w:rPr>
        <w:t>University</w:t>
      </w:r>
      <w:r w:rsidR="00A27530">
        <w:rPr>
          <w:rFonts w:asciiTheme="minorHAnsi" w:hAnsiTheme="minorHAnsi" w:cstheme="minorHAnsi"/>
        </w:rPr>
        <w:t xml:space="preserve"> of Edinburgh</w:t>
      </w:r>
      <w:r w:rsidR="0028314C" w:rsidRPr="00097BBC">
        <w:rPr>
          <w:rFonts w:asciiTheme="minorHAnsi" w:hAnsiTheme="minorHAnsi" w:cstheme="minorHAnsi"/>
        </w:rPr>
        <w:t>’s Centre for Research Collections holds the largest existing archival collection on Geddes. Moreover,</w:t>
      </w:r>
      <w:r w:rsidR="000151C3">
        <w:rPr>
          <w:rFonts w:asciiTheme="minorHAnsi" w:hAnsiTheme="minorHAnsi" w:cstheme="minorHAnsi"/>
        </w:rPr>
        <w:t xml:space="preserve"> the</w:t>
      </w:r>
      <w:r w:rsidR="0028314C" w:rsidRPr="00097BBC">
        <w:rPr>
          <w:rFonts w:asciiTheme="minorHAnsi" w:hAnsiTheme="minorHAnsi" w:cstheme="minorHAnsi"/>
        </w:rPr>
        <w:t xml:space="preserve"> </w:t>
      </w:r>
      <w:r w:rsidR="00A27530" w:rsidRPr="00643BA0">
        <w:rPr>
          <w:rFonts w:asciiTheme="minorHAnsi" w:hAnsiTheme="minorHAnsi" w:cstheme="minorHAnsi"/>
        </w:rPr>
        <w:t>University</w:t>
      </w:r>
      <w:r w:rsidR="00A27530">
        <w:rPr>
          <w:rFonts w:asciiTheme="minorHAnsi" w:hAnsiTheme="minorHAnsi" w:cstheme="minorHAnsi"/>
        </w:rPr>
        <w:t xml:space="preserve"> of Edinburgh</w:t>
      </w:r>
      <w:r w:rsidR="0028314C" w:rsidRPr="00097BBC">
        <w:rPr>
          <w:rFonts w:asciiTheme="minorHAnsi" w:hAnsiTheme="minorHAnsi" w:cstheme="minorHAnsi"/>
        </w:rPr>
        <w:t xml:space="preserve"> has a Patrick Geddes Hall, which includes a dedicated Geddes plaque at the entrance:</w:t>
      </w:r>
      <w:r w:rsidR="00205805" w:rsidRPr="00097BBC">
        <w:rPr>
          <w:rFonts w:asciiTheme="minorHAnsi" w:hAnsiTheme="minorHAnsi" w:cstheme="minorHAnsi"/>
        </w:rPr>
        <w:t xml:space="preserve"> ‘Sir Patrick Geddes’,</w:t>
      </w:r>
      <w:r w:rsidR="0028314C" w:rsidRPr="00097BBC">
        <w:rPr>
          <w:rFonts w:asciiTheme="minorHAnsi" w:hAnsiTheme="minorHAnsi" w:cstheme="minorHAnsi"/>
        </w:rPr>
        <w:t xml:space="preserve"> </w:t>
      </w:r>
      <w:hyperlink r:id="rId50" w:history="1">
        <w:r w:rsidR="0028314C" w:rsidRPr="00097BBC">
          <w:rPr>
            <w:rStyle w:val="Hyperlink"/>
            <w:rFonts w:asciiTheme="minorHAnsi" w:hAnsiTheme="minorHAnsi" w:cstheme="minorHAnsi"/>
            <w:lang w:val="en-US"/>
          </w:rPr>
          <w:t>https://www.ed.ac.uk/about/people/plaques/geddes</w:t>
        </w:r>
      </w:hyperlink>
      <w:r w:rsidR="0028314C" w:rsidRPr="00643BA0">
        <w:rPr>
          <w:rFonts w:asciiTheme="minorHAnsi" w:hAnsiTheme="minorHAnsi" w:cstheme="minorHAnsi"/>
        </w:rPr>
        <w:t>.</w:t>
      </w:r>
    </w:p>
  </w:footnote>
  <w:footnote w:id="139">
    <w:p w14:paraId="25CD2D45" w14:textId="56DD3904"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Nazmi Jubeh, ‘Patrick Geddes: Luminary or Prophet of Demonic Planning’, </w:t>
      </w:r>
      <w:r w:rsidRPr="00097BBC">
        <w:rPr>
          <w:rFonts w:asciiTheme="minorHAnsi" w:hAnsiTheme="minorHAnsi" w:cstheme="minorHAnsi"/>
          <w:i/>
          <w:iCs/>
        </w:rPr>
        <w:t>Jerusalem Quarterly</w:t>
      </w:r>
      <w:r w:rsidRPr="00097BBC">
        <w:rPr>
          <w:rFonts w:asciiTheme="minorHAnsi" w:hAnsiTheme="minorHAnsi" w:cstheme="minorHAnsi"/>
        </w:rPr>
        <w:t>, 80 (2019), 23</w:t>
      </w:r>
      <w:r w:rsidR="000151C3" w:rsidRPr="00E52FD6">
        <w:rPr>
          <w:rFonts w:asciiTheme="minorHAnsi" w:hAnsiTheme="minorHAnsi" w:cstheme="minorHAnsi"/>
        </w:rPr>
        <w:t>–</w:t>
      </w:r>
      <w:r w:rsidRPr="00097BBC">
        <w:rPr>
          <w:rFonts w:asciiTheme="minorHAnsi" w:hAnsiTheme="minorHAnsi" w:cstheme="minorHAnsi"/>
        </w:rPr>
        <w:t>40 (p. 26</w:t>
      </w:r>
      <w:r w:rsidR="008D6F11" w:rsidRPr="00097BBC">
        <w:rPr>
          <w:rFonts w:asciiTheme="minorHAnsi" w:hAnsiTheme="minorHAnsi" w:cstheme="minorHAnsi"/>
        </w:rPr>
        <w:t xml:space="preserve"> and p. </w:t>
      </w:r>
      <w:r w:rsidRPr="00097BBC">
        <w:rPr>
          <w:rFonts w:asciiTheme="minorHAnsi" w:hAnsiTheme="minorHAnsi" w:cstheme="minorHAnsi"/>
        </w:rPr>
        <w:t>38).</w:t>
      </w:r>
    </w:p>
  </w:footnote>
  <w:footnote w:id="140">
    <w:p w14:paraId="4B4E78F9" w14:textId="00C254EC"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A775A6" w:rsidRPr="00097BBC">
        <w:rPr>
          <w:rFonts w:asciiTheme="minorHAnsi" w:hAnsiTheme="minorHAnsi" w:cstheme="minorHAnsi"/>
        </w:rPr>
        <w:t xml:space="preserve">‘Hebrew University. Distinguished Visitors to Jerusalem’, </w:t>
      </w:r>
      <w:r w:rsidRPr="00097BBC">
        <w:rPr>
          <w:rFonts w:asciiTheme="minorHAnsi" w:hAnsiTheme="minorHAnsi" w:cstheme="minorHAnsi"/>
          <w:i/>
          <w:iCs/>
        </w:rPr>
        <w:t>The Scotsman</w:t>
      </w:r>
      <w:r w:rsidRPr="00097BBC">
        <w:rPr>
          <w:rFonts w:asciiTheme="minorHAnsi" w:hAnsiTheme="minorHAnsi" w:cstheme="minorHAnsi"/>
        </w:rPr>
        <w:t xml:space="preserve">, </w:t>
      </w:r>
      <w:r w:rsidR="00EA7A84" w:rsidRPr="00097BBC">
        <w:rPr>
          <w:rFonts w:asciiTheme="minorHAnsi" w:hAnsiTheme="minorHAnsi" w:cstheme="minorHAnsi"/>
        </w:rPr>
        <w:t xml:space="preserve">18 </w:t>
      </w:r>
      <w:r w:rsidRPr="00097BBC">
        <w:rPr>
          <w:rFonts w:asciiTheme="minorHAnsi" w:hAnsiTheme="minorHAnsi" w:cstheme="minorHAnsi"/>
        </w:rPr>
        <w:t>Mar</w:t>
      </w:r>
      <w:r w:rsidR="00EA7A84" w:rsidRPr="00097BBC">
        <w:rPr>
          <w:rFonts w:asciiTheme="minorHAnsi" w:hAnsiTheme="minorHAnsi" w:cstheme="minorHAnsi"/>
        </w:rPr>
        <w:t>ch</w:t>
      </w:r>
      <w:r w:rsidRPr="00097BBC">
        <w:rPr>
          <w:rFonts w:asciiTheme="minorHAnsi" w:hAnsiTheme="minorHAnsi" w:cstheme="minorHAnsi"/>
        </w:rPr>
        <w:t xml:space="preserve"> 1925, p. 10</w:t>
      </w:r>
      <w:r w:rsidR="00A775A6" w:rsidRPr="00097BBC">
        <w:rPr>
          <w:rFonts w:asciiTheme="minorHAnsi" w:hAnsiTheme="minorHAnsi" w:cstheme="minorHAnsi"/>
        </w:rPr>
        <w:t>.</w:t>
      </w:r>
      <w:r w:rsidR="00A64E67">
        <w:rPr>
          <w:rFonts w:asciiTheme="minorHAnsi" w:hAnsiTheme="minorHAnsi" w:cstheme="minorHAnsi"/>
        </w:rPr>
        <w:t xml:space="preserve"> Note that </w:t>
      </w:r>
      <w:r w:rsidR="00A11087">
        <w:rPr>
          <w:rFonts w:asciiTheme="minorHAnsi" w:hAnsiTheme="minorHAnsi" w:cstheme="minorHAnsi"/>
        </w:rPr>
        <w:t xml:space="preserve">the </w:t>
      </w:r>
      <w:r w:rsidR="00B6494C">
        <w:rPr>
          <w:rFonts w:asciiTheme="minorHAnsi" w:hAnsiTheme="minorHAnsi" w:cstheme="minorHAnsi"/>
        </w:rPr>
        <w:t>Balfour-</w:t>
      </w:r>
      <w:r w:rsidR="009D7BA3">
        <w:rPr>
          <w:rFonts w:asciiTheme="minorHAnsi" w:hAnsiTheme="minorHAnsi" w:cstheme="minorHAnsi"/>
        </w:rPr>
        <w:t>Einstein</w:t>
      </w:r>
      <w:r w:rsidR="00732B47">
        <w:rPr>
          <w:rFonts w:asciiTheme="minorHAnsi" w:hAnsiTheme="minorHAnsi" w:cstheme="minorHAnsi"/>
        </w:rPr>
        <w:t xml:space="preserve"> Institute of Mathematics and Physics was the initial name</w:t>
      </w:r>
      <w:r w:rsidR="004C2CCA">
        <w:rPr>
          <w:rFonts w:asciiTheme="minorHAnsi" w:hAnsiTheme="minorHAnsi" w:cstheme="minorHAnsi"/>
        </w:rPr>
        <w:t xml:space="preserve"> given to this institute, which can also be found in the </w:t>
      </w:r>
      <w:r w:rsidR="001B6E68" w:rsidRPr="001548BC">
        <w:rPr>
          <w:rFonts w:asciiTheme="minorHAnsi" w:hAnsiTheme="minorHAnsi" w:cstheme="minorHAnsi"/>
        </w:rPr>
        <w:t>American Jewish Yearbook of 1926 and 1927.</w:t>
      </w:r>
    </w:p>
  </w:footnote>
  <w:footnote w:id="141">
    <w:p w14:paraId="229AB2F6" w14:textId="3EEA59E0" w:rsidR="001B18BC" w:rsidRPr="00097BBC" w:rsidRDefault="001B18B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Roy Macleod, ‘Balfour’s Mission to Palestine: Science, Strategy, and the Inauguration of the Hebrew University in Jerusalem’, </w:t>
      </w:r>
      <w:r w:rsidRPr="00097BBC">
        <w:rPr>
          <w:rFonts w:asciiTheme="minorHAnsi" w:hAnsiTheme="minorHAnsi" w:cstheme="minorHAnsi"/>
          <w:i/>
          <w:iCs/>
        </w:rPr>
        <w:t>Minerva (London)</w:t>
      </w:r>
      <w:r w:rsidRPr="00097BBC">
        <w:rPr>
          <w:rFonts w:asciiTheme="minorHAnsi" w:hAnsiTheme="minorHAnsi" w:cstheme="minorHAnsi"/>
        </w:rPr>
        <w:t>,</w:t>
      </w:r>
      <w:r w:rsidRPr="00097BBC">
        <w:rPr>
          <w:rFonts w:asciiTheme="minorHAnsi" w:hAnsiTheme="minorHAnsi" w:cstheme="minorHAnsi"/>
          <w:i/>
          <w:iCs/>
        </w:rPr>
        <w:t xml:space="preserve"> </w:t>
      </w:r>
      <w:r w:rsidRPr="00097BBC">
        <w:rPr>
          <w:rFonts w:asciiTheme="minorHAnsi" w:hAnsiTheme="minorHAnsi" w:cstheme="minorHAnsi"/>
        </w:rPr>
        <w:t>46 (2008), 53–76 (p. 75). Balfour (1928), p. 78 and p. 83.</w:t>
      </w:r>
    </w:p>
  </w:footnote>
  <w:footnote w:id="142">
    <w:p w14:paraId="4B4C5F4E" w14:textId="5FBFA5ED"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hAnsiTheme="minorHAnsi" w:cstheme="minorHAnsi"/>
          <w:i/>
          <w:iCs/>
        </w:rPr>
        <w:t>The Yearbook of the Universities of the Empire</w:t>
      </w:r>
      <w:r w:rsidR="00EA1F22" w:rsidRPr="00097BBC">
        <w:rPr>
          <w:rFonts w:asciiTheme="minorHAnsi" w:hAnsiTheme="minorHAnsi" w:cstheme="minorHAnsi"/>
        </w:rPr>
        <w:t xml:space="preserve"> (</w:t>
      </w:r>
      <w:r w:rsidRPr="00097BBC">
        <w:rPr>
          <w:rFonts w:asciiTheme="minorHAnsi" w:hAnsiTheme="minorHAnsi" w:cstheme="minorHAnsi"/>
        </w:rPr>
        <w:t>Bell and Sons: London, 1925</w:t>
      </w:r>
      <w:r w:rsidR="00EA1F22" w:rsidRPr="00097BBC">
        <w:rPr>
          <w:rFonts w:asciiTheme="minorHAnsi" w:hAnsiTheme="minorHAnsi" w:cstheme="minorHAnsi"/>
        </w:rPr>
        <w:t>)</w:t>
      </w:r>
      <w:r w:rsidRPr="00097BBC">
        <w:rPr>
          <w:rFonts w:asciiTheme="minorHAnsi" w:hAnsiTheme="minorHAnsi" w:cstheme="minorHAnsi"/>
        </w:rPr>
        <w:t>, p. 497</w:t>
      </w:r>
      <w:r w:rsidR="00EA1F22" w:rsidRPr="00097BBC">
        <w:rPr>
          <w:rFonts w:asciiTheme="minorHAnsi" w:hAnsiTheme="minorHAnsi" w:cstheme="minorHAnsi"/>
        </w:rPr>
        <w:t>.</w:t>
      </w:r>
    </w:p>
  </w:footnote>
  <w:footnote w:id="143">
    <w:p w14:paraId="69293CAC" w14:textId="7451FA59" w:rsidR="006576B5" w:rsidRPr="00097BBC" w:rsidRDefault="006576B5"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hAnsiTheme="minorHAnsi" w:cstheme="minorHAnsi"/>
          <w:i/>
          <w:iCs/>
        </w:rPr>
        <w:t>The Yearbook of the Universities of the Empire</w:t>
      </w:r>
      <w:r w:rsidRPr="00097BBC">
        <w:rPr>
          <w:rFonts w:asciiTheme="minorHAnsi" w:hAnsiTheme="minorHAnsi" w:cstheme="minorHAnsi"/>
        </w:rPr>
        <w:t xml:space="preserve"> (Bell and Sons: London, 1930), p. 528. Moïse Berenstein, ‘Jewish Colonisation in Palestine: II’, </w:t>
      </w:r>
      <w:r w:rsidRPr="00097BBC">
        <w:rPr>
          <w:rFonts w:asciiTheme="minorHAnsi" w:hAnsiTheme="minorHAnsi" w:cstheme="minorHAnsi"/>
          <w:i/>
          <w:iCs/>
        </w:rPr>
        <w:t>International Labour Review</w:t>
      </w:r>
      <w:r w:rsidRPr="00097BBC">
        <w:rPr>
          <w:rFonts w:asciiTheme="minorHAnsi" w:hAnsiTheme="minorHAnsi" w:cstheme="minorHAnsi"/>
        </w:rPr>
        <w:t>,</w:t>
      </w:r>
      <w:r w:rsidRPr="00097BBC">
        <w:rPr>
          <w:rFonts w:asciiTheme="minorHAnsi" w:hAnsiTheme="minorHAnsi" w:cstheme="minorHAnsi"/>
          <w:i/>
          <w:iCs/>
        </w:rPr>
        <w:t xml:space="preserve"> </w:t>
      </w:r>
      <w:r w:rsidRPr="00097BBC">
        <w:rPr>
          <w:rFonts w:asciiTheme="minorHAnsi" w:hAnsiTheme="minorHAnsi" w:cstheme="minorHAnsi"/>
        </w:rPr>
        <w:t>30 (1934), 797–819. For a history of the JNF and its role in Palestinian dispossession, see Walter Lehn, ‘The Jewish National Fund’, </w:t>
      </w:r>
      <w:r w:rsidRPr="00097BBC">
        <w:rPr>
          <w:rFonts w:asciiTheme="minorHAnsi" w:hAnsiTheme="minorHAnsi" w:cstheme="minorHAnsi"/>
          <w:i/>
          <w:iCs/>
        </w:rPr>
        <w:t>Journal of Palestine Studies</w:t>
      </w:r>
      <w:r w:rsidRPr="00097BBC">
        <w:rPr>
          <w:rFonts w:asciiTheme="minorHAnsi" w:hAnsiTheme="minorHAnsi" w:cstheme="minorHAnsi"/>
        </w:rPr>
        <w:t>, 3 (1974), 74–96.</w:t>
      </w:r>
    </w:p>
  </w:footnote>
  <w:footnote w:id="144">
    <w:p w14:paraId="33C15CFF" w14:textId="08A4D44F" w:rsidR="00773F7C" w:rsidRPr="00097BBC" w:rsidRDefault="00773F7C"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Balfour</w:t>
      </w:r>
      <w:r w:rsidRPr="00643BA0">
        <w:rPr>
          <w:rFonts w:asciiTheme="minorHAnsi" w:hAnsiTheme="minorHAnsi" w:cstheme="minorHAnsi"/>
        </w:rPr>
        <w:t>,</w:t>
      </w:r>
      <w:r w:rsidRPr="00097BBC">
        <w:rPr>
          <w:rFonts w:asciiTheme="minorHAnsi" w:hAnsiTheme="minorHAnsi" w:cstheme="minorHAnsi"/>
        </w:rPr>
        <w:t xml:space="preserve"> </w:t>
      </w:r>
      <w:r w:rsidR="003A508F">
        <w:rPr>
          <w:rFonts w:asciiTheme="minorHAnsi" w:hAnsiTheme="minorHAnsi" w:cstheme="minorHAnsi"/>
          <w:i/>
          <w:iCs/>
        </w:rPr>
        <w:t>Speeches</w:t>
      </w:r>
      <w:r w:rsidR="003A508F">
        <w:rPr>
          <w:rFonts w:asciiTheme="minorHAnsi" w:hAnsiTheme="minorHAnsi" w:cstheme="minorHAnsi"/>
        </w:rPr>
        <w:t>,</w:t>
      </w:r>
      <w:r w:rsidRPr="00643BA0">
        <w:rPr>
          <w:rFonts w:asciiTheme="minorHAnsi" w:hAnsiTheme="minorHAnsi" w:cstheme="minorHAnsi"/>
        </w:rPr>
        <w:t xml:space="preserve"> </w:t>
      </w:r>
      <w:r w:rsidRPr="00097BBC">
        <w:rPr>
          <w:rFonts w:asciiTheme="minorHAnsi" w:hAnsiTheme="minorHAnsi" w:cstheme="minorHAnsi"/>
        </w:rPr>
        <w:t>p. 110</w:t>
      </w:r>
      <w:r w:rsidR="00524775" w:rsidRPr="00097BBC">
        <w:rPr>
          <w:rFonts w:asciiTheme="minorHAnsi" w:hAnsiTheme="minorHAnsi" w:cstheme="minorHAnsi"/>
        </w:rPr>
        <w:t xml:space="preserve"> and p.</w:t>
      </w:r>
      <w:r w:rsidRPr="00097BBC">
        <w:rPr>
          <w:rFonts w:asciiTheme="minorHAnsi" w:hAnsiTheme="minorHAnsi" w:cstheme="minorHAnsi"/>
        </w:rPr>
        <w:t xml:space="preserve"> 112.</w:t>
      </w:r>
    </w:p>
  </w:footnote>
  <w:footnote w:id="145">
    <w:p w14:paraId="1C196CE5" w14:textId="65C1CB7C" w:rsidR="00773F7C" w:rsidRPr="00097BBC" w:rsidRDefault="00773F7C" w:rsidP="00097BBC">
      <w:pPr>
        <w:pStyle w:val="FootnoteText"/>
        <w:rPr>
          <w:rFonts w:asciiTheme="minorHAnsi" w:eastAsia="Calibri" w:hAnsiTheme="minorHAnsi" w:cstheme="minorHAnsi"/>
        </w:rPr>
      </w:pPr>
      <w:r w:rsidRPr="00097BBC">
        <w:rPr>
          <w:rStyle w:val="FootnoteReference"/>
          <w:rFonts w:asciiTheme="minorHAnsi" w:eastAsia="Calibri" w:hAnsiTheme="minorHAnsi" w:cstheme="minorHAnsi"/>
        </w:rPr>
        <w:footnoteRef/>
      </w:r>
      <w:r w:rsidRPr="00097BBC">
        <w:rPr>
          <w:rFonts w:asciiTheme="minorHAnsi" w:eastAsia="Calibri" w:hAnsiTheme="minorHAnsi" w:cstheme="minorHAnsi"/>
        </w:rPr>
        <w:t xml:space="preserve"> </w:t>
      </w:r>
      <w:r w:rsidR="00A27530" w:rsidRPr="00643BA0">
        <w:rPr>
          <w:rFonts w:asciiTheme="minorHAnsi" w:eastAsia="Calibri" w:hAnsiTheme="minorHAnsi" w:cstheme="minorHAnsi"/>
        </w:rPr>
        <w:t>University</w:t>
      </w:r>
      <w:r w:rsidR="00A27530">
        <w:rPr>
          <w:rFonts w:asciiTheme="minorHAnsi" w:eastAsia="Calibri" w:hAnsiTheme="minorHAnsi" w:cstheme="minorHAnsi"/>
        </w:rPr>
        <w:t xml:space="preserve"> of Edinburgh</w:t>
      </w:r>
      <w:r w:rsidRPr="00097BBC">
        <w:rPr>
          <w:rFonts w:asciiTheme="minorHAnsi" w:eastAsia="Calibri" w:hAnsiTheme="minorHAnsi" w:cstheme="minorHAnsi"/>
        </w:rPr>
        <w:t>, ‘Senate Minutes</w:t>
      </w:r>
      <w:r w:rsidR="00524775" w:rsidRPr="00097BBC">
        <w:rPr>
          <w:rFonts w:asciiTheme="minorHAnsi" w:eastAsia="Calibri" w:hAnsiTheme="minorHAnsi" w:cstheme="minorHAnsi"/>
        </w:rPr>
        <w:t>’,</w:t>
      </w:r>
      <w:r w:rsidRPr="00097BBC">
        <w:rPr>
          <w:rFonts w:asciiTheme="minorHAnsi" w:eastAsia="Calibri" w:hAnsiTheme="minorHAnsi" w:cstheme="minorHAnsi"/>
        </w:rPr>
        <w:t xml:space="preserve"> 6 May 1926, in </w:t>
      </w:r>
      <w:r w:rsidRPr="00097BBC">
        <w:rPr>
          <w:rFonts w:asciiTheme="minorHAnsi" w:eastAsia="Calibri" w:hAnsiTheme="minorHAnsi" w:cstheme="minorHAnsi"/>
          <w:i/>
          <w:iCs/>
        </w:rPr>
        <w:t xml:space="preserve">Centre for Research Collections </w:t>
      </w:r>
      <w:r w:rsidRPr="00097BBC">
        <w:rPr>
          <w:rFonts w:asciiTheme="minorHAnsi" w:eastAsia="Calibri" w:hAnsiTheme="minorHAnsi" w:cstheme="minorHAnsi"/>
        </w:rPr>
        <w:t xml:space="preserve">(University of </w:t>
      </w:r>
      <w:r w:rsidRPr="00AE3304">
        <w:rPr>
          <w:rFonts w:asciiTheme="minorHAnsi" w:eastAsia="Calibri" w:hAnsiTheme="minorHAnsi" w:cstheme="minorHAnsi"/>
        </w:rPr>
        <w:t xml:space="preserve">Edinburgh). </w:t>
      </w:r>
      <w:r w:rsidRPr="00057638">
        <w:rPr>
          <w:rFonts w:asciiTheme="minorHAnsi" w:hAnsiTheme="minorHAnsi" w:cstheme="minorHAnsi"/>
        </w:rPr>
        <w:t xml:space="preserve">See Appendix </w:t>
      </w:r>
      <w:r w:rsidR="00900A3D" w:rsidRPr="00057638">
        <w:rPr>
          <w:rFonts w:asciiTheme="minorHAnsi" w:hAnsiTheme="minorHAnsi" w:cstheme="minorHAnsi"/>
        </w:rPr>
        <w:t>3</w:t>
      </w:r>
      <w:r w:rsidRPr="00057638">
        <w:rPr>
          <w:rFonts w:asciiTheme="minorHAnsi" w:hAnsiTheme="minorHAnsi" w:cstheme="minorHAnsi"/>
        </w:rPr>
        <w:t>.</w:t>
      </w:r>
    </w:p>
  </w:footnote>
  <w:footnote w:id="146">
    <w:p w14:paraId="167340E5" w14:textId="10721847" w:rsidR="00773F7C" w:rsidRPr="00097BBC" w:rsidRDefault="00773F7C" w:rsidP="00097BBC">
      <w:pPr>
        <w:jc w:val="both"/>
        <w:rPr>
          <w:rFonts w:eastAsia="Calibri" w:cstheme="minorHAnsi"/>
          <w:sz w:val="20"/>
          <w:szCs w:val="20"/>
        </w:rPr>
      </w:pPr>
      <w:r w:rsidRPr="00097BBC">
        <w:rPr>
          <w:rStyle w:val="FootnoteReference"/>
          <w:rFonts w:eastAsia="Calibri" w:cstheme="minorHAnsi"/>
          <w:sz w:val="20"/>
          <w:szCs w:val="20"/>
        </w:rPr>
        <w:footnoteRef/>
      </w:r>
      <w:r w:rsidRPr="00097BBC">
        <w:rPr>
          <w:rFonts w:eastAsia="Calibri" w:cstheme="minorHAnsi"/>
          <w:sz w:val="20"/>
          <w:szCs w:val="20"/>
        </w:rPr>
        <w:t xml:space="preserve"> </w:t>
      </w:r>
      <w:r w:rsidRPr="00097BBC">
        <w:rPr>
          <w:rFonts w:eastAsia="Calibri" w:cstheme="minorHAnsi"/>
          <w:i/>
          <w:iCs/>
          <w:sz w:val="20"/>
          <w:szCs w:val="20"/>
        </w:rPr>
        <w:t>Military Operations: Egypt &amp; Palestine from the Outbreak of War with Germany to June 1917</w:t>
      </w:r>
      <w:r w:rsidRPr="00097BBC">
        <w:rPr>
          <w:rFonts w:eastAsia="Calibri" w:cstheme="minorHAnsi"/>
          <w:sz w:val="20"/>
          <w:szCs w:val="20"/>
        </w:rPr>
        <w:t>. Official History of the Great War Based on Official Documents by Direction of the Historical Section of the Committee of Imperial Defence(London: HM Stationery Office),</w:t>
      </w:r>
      <w:r w:rsidR="00900A3D" w:rsidRPr="00900A3D">
        <w:rPr>
          <w:rFonts w:eastAsia="Calibri" w:cstheme="minorHAnsi"/>
          <w:smallCaps/>
          <w:sz w:val="20"/>
          <w:szCs w:val="20"/>
        </w:rPr>
        <w:t xml:space="preserve"> </w:t>
      </w:r>
      <w:r w:rsidR="00900A3D" w:rsidRPr="00097BBC">
        <w:rPr>
          <w:rFonts w:eastAsia="Calibri" w:cstheme="minorHAnsi"/>
          <w:smallCaps/>
          <w:sz w:val="20"/>
          <w:szCs w:val="20"/>
        </w:rPr>
        <w:t>I</w:t>
      </w:r>
      <w:r w:rsidR="00900A3D">
        <w:rPr>
          <w:rFonts w:eastAsia="Calibri" w:cstheme="minorHAnsi"/>
          <w:smallCaps/>
          <w:sz w:val="20"/>
          <w:szCs w:val="20"/>
        </w:rPr>
        <w:t>,</w:t>
      </w:r>
      <w:r w:rsidRPr="00097BBC">
        <w:rPr>
          <w:rFonts w:eastAsia="Calibri" w:cstheme="minorHAnsi"/>
          <w:sz w:val="20"/>
          <w:szCs w:val="20"/>
        </w:rPr>
        <w:t xml:space="preserve"> p. 75.</w:t>
      </w:r>
    </w:p>
  </w:footnote>
  <w:footnote w:id="147">
    <w:p w14:paraId="5E8D5167" w14:textId="28AC9FC7" w:rsidR="00773F7C" w:rsidRPr="00097BBC" w:rsidRDefault="00773F7C" w:rsidP="00097BBC">
      <w:pPr>
        <w:pStyle w:val="FootnoteText"/>
        <w:rPr>
          <w:rFonts w:asciiTheme="minorHAnsi" w:eastAsia="Calibri" w:hAnsiTheme="minorHAnsi" w:cstheme="minorHAnsi"/>
        </w:rPr>
      </w:pPr>
      <w:r w:rsidRPr="00097BBC">
        <w:rPr>
          <w:rStyle w:val="FootnoteReference"/>
          <w:rFonts w:asciiTheme="minorHAnsi" w:eastAsia="Calibri" w:hAnsiTheme="minorHAnsi" w:cstheme="minorHAnsi"/>
        </w:rPr>
        <w:footnoteRef/>
      </w:r>
      <w:r w:rsidRPr="00097BBC">
        <w:rPr>
          <w:rFonts w:asciiTheme="minorHAnsi" w:eastAsia="Calibri" w:hAnsiTheme="minorHAnsi" w:cstheme="minorHAnsi"/>
        </w:rPr>
        <w:t xml:space="preserve"> </w:t>
      </w:r>
      <w:r w:rsidR="00A27530" w:rsidRPr="00643BA0">
        <w:rPr>
          <w:rFonts w:asciiTheme="minorHAnsi" w:eastAsia="Calibri" w:hAnsiTheme="minorHAnsi" w:cstheme="minorHAnsi"/>
        </w:rPr>
        <w:t>University</w:t>
      </w:r>
      <w:r w:rsidR="00A27530">
        <w:rPr>
          <w:rFonts w:asciiTheme="minorHAnsi" w:eastAsia="Calibri" w:hAnsiTheme="minorHAnsi" w:cstheme="minorHAnsi"/>
        </w:rPr>
        <w:t xml:space="preserve"> of Edinburgh</w:t>
      </w:r>
      <w:r w:rsidRPr="00097BBC">
        <w:rPr>
          <w:rFonts w:asciiTheme="minorHAnsi" w:eastAsia="Calibri" w:hAnsiTheme="minorHAnsi" w:cstheme="minorHAnsi"/>
        </w:rPr>
        <w:t>, ‘Senate Minutes</w:t>
      </w:r>
      <w:r w:rsidR="00805EAF" w:rsidRPr="00097BBC">
        <w:rPr>
          <w:rFonts w:asciiTheme="minorHAnsi" w:eastAsia="Calibri" w:hAnsiTheme="minorHAnsi" w:cstheme="minorHAnsi"/>
        </w:rPr>
        <w:t>’,</w:t>
      </w:r>
      <w:r w:rsidRPr="00097BBC">
        <w:rPr>
          <w:rFonts w:asciiTheme="minorHAnsi" w:eastAsia="Calibri" w:hAnsiTheme="minorHAnsi" w:cstheme="minorHAnsi"/>
        </w:rPr>
        <w:t xml:space="preserve"> 20 July 1926, in </w:t>
      </w:r>
      <w:r w:rsidRPr="00097BBC">
        <w:rPr>
          <w:rFonts w:asciiTheme="minorHAnsi" w:eastAsia="Calibri" w:hAnsiTheme="minorHAnsi" w:cstheme="minorHAnsi"/>
          <w:i/>
          <w:iCs/>
        </w:rPr>
        <w:t xml:space="preserve">Centre for Research Collections </w:t>
      </w:r>
      <w:r w:rsidRPr="00097BBC">
        <w:rPr>
          <w:rFonts w:asciiTheme="minorHAnsi" w:eastAsia="Calibri" w:hAnsiTheme="minorHAnsi" w:cstheme="minorHAnsi"/>
        </w:rPr>
        <w:t>(University of Edinburgh).</w:t>
      </w:r>
    </w:p>
  </w:footnote>
  <w:footnote w:id="148">
    <w:p w14:paraId="1307A281" w14:textId="041A0708" w:rsidR="0015035F" w:rsidRPr="00097BBC" w:rsidRDefault="0015035F"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International Court of Justice</w:t>
      </w:r>
      <w:r w:rsidR="00B54DBE" w:rsidRPr="00643BA0">
        <w:rPr>
          <w:rFonts w:asciiTheme="minorHAnsi" w:hAnsiTheme="minorHAnsi" w:cstheme="minorHAnsi"/>
        </w:rPr>
        <w:t>,</w:t>
      </w:r>
      <w:r w:rsidRPr="00643BA0">
        <w:rPr>
          <w:rFonts w:asciiTheme="minorHAnsi" w:hAnsiTheme="minorHAnsi" w:cstheme="minorHAnsi"/>
        </w:rPr>
        <w:t>‘</w:t>
      </w:r>
      <w:r w:rsidRPr="00097BBC">
        <w:rPr>
          <w:rFonts w:asciiTheme="minorHAnsi" w:hAnsiTheme="minorHAnsi" w:cstheme="minorHAnsi"/>
        </w:rPr>
        <w:t xml:space="preserve">Situation in the State of Palestine: ICC Pre-Trial Chamber I rejects the State of Israel’s challenges to jurisdiction and issues warrants of arrest for Benjamin Netanyahu and Yoav Gallant’, </w:t>
      </w:r>
      <w:r w:rsidRPr="00097BBC">
        <w:rPr>
          <w:rFonts w:asciiTheme="minorHAnsi" w:hAnsiTheme="minorHAnsi" w:cstheme="minorHAnsi"/>
          <w:i/>
          <w:iCs/>
        </w:rPr>
        <w:t xml:space="preserve">International Criminal Court, </w:t>
      </w:r>
      <w:r w:rsidRPr="00097BBC">
        <w:rPr>
          <w:rFonts w:asciiTheme="minorHAnsi" w:hAnsiTheme="minorHAnsi" w:cstheme="minorHAnsi"/>
        </w:rPr>
        <w:t xml:space="preserve">21 November 2024, </w:t>
      </w:r>
      <w:hyperlink r:id="rId51" w:history="1">
        <w:r w:rsidRPr="00097BBC">
          <w:rPr>
            <w:rStyle w:val="Hyperlink"/>
            <w:rFonts w:asciiTheme="minorHAnsi" w:hAnsiTheme="minorHAnsi" w:cstheme="minorHAnsi"/>
          </w:rPr>
          <w:t>https://www.icc-cpi.int/news/situation-state-palestine-icc-pre-trial-chamber-i-rejects-state-israels-challenges</w:t>
        </w:r>
      </w:hyperlink>
      <w:r w:rsidR="00B54DBE">
        <w:rPr>
          <w:rFonts w:asciiTheme="minorHAnsi" w:hAnsiTheme="minorHAnsi" w:cstheme="minorHAnsi"/>
        </w:rPr>
        <w:t>.</w:t>
      </w:r>
    </w:p>
  </w:footnote>
  <w:footnote w:id="149">
    <w:p w14:paraId="01FC0FE8" w14:textId="0613F08E" w:rsidR="00773F7C" w:rsidRPr="00097BBC" w:rsidRDefault="00773F7C" w:rsidP="00057638">
      <w:pPr>
        <w:pStyle w:val="FootnoteText"/>
        <w:jc w:val="left"/>
        <w:rPr>
          <w:rFonts w:asciiTheme="minorHAnsi" w:eastAsia="Calibri" w:hAnsiTheme="minorHAnsi" w:cstheme="minorHAnsi"/>
        </w:rPr>
      </w:pPr>
      <w:r w:rsidRPr="00AE3304">
        <w:rPr>
          <w:rStyle w:val="FootnoteReference"/>
          <w:rFonts w:asciiTheme="minorHAnsi" w:hAnsiTheme="minorHAnsi" w:cstheme="minorHAnsi"/>
        </w:rPr>
        <w:footnoteRef/>
      </w:r>
      <w:r w:rsidRPr="00AE3304">
        <w:rPr>
          <w:rFonts w:asciiTheme="minorHAnsi" w:hAnsiTheme="minorHAnsi" w:cstheme="minorHAnsi"/>
        </w:rPr>
        <w:t xml:space="preserve"> </w:t>
      </w:r>
      <w:r w:rsidRPr="00057638">
        <w:rPr>
          <w:rFonts w:asciiTheme="minorHAnsi" w:hAnsiTheme="minorHAnsi" w:cstheme="minorHAnsi"/>
        </w:rPr>
        <w:t xml:space="preserve">See Appendix </w:t>
      </w:r>
      <w:r w:rsidR="00B54DBE" w:rsidRPr="00057638">
        <w:rPr>
          <w:rFonts w:asciiTheme="minorHAnsi" w:hAnsiTheme="minorHAnsi" w:cstheme="minorHAnsi"/>
        </w:rPr>
        <w:t>3</w:t>
      </w:r>
      <w:r w:rsidRPr="00057638">
        <w:rPr>
          <w:rFonts w:asciiTheme="minorHAnsi" w:hAnsiTheme="minorHAnsi" w:cstheme="minorHAnsi"/>
        </w:rPr>
        <w:t>.</w:t>
      </w:r>
    </w:p>
  </w:footnote>
  <w:footnote w:id="150">
    <w:p w14:paraId="301C0485" w14:textId="672C656E" w:rsidR="003E6462" w:rsidRPr="003E6462" w:rsidRDefault="003E6462" w:rsidP="00057638">
      <w:pPr>
        <w:pStyle w:val="FootnoteText"/>
        <w:jc w:val="left"/>
        <w:rPr>
          <w:lang w:val="en-US"/>
        </w:rPr>
      </w:pPr>
      <w:r>
        <w:rPr>
          <w:rStyle w:val="FootnoteReference"/>
        </w:rPr>
        <w:footnoteRef/>
      </w:r>
      <w:r>
        <w:t xml:space="preserve"> </w:t>
      </w:r>
      <w:r w:rsidRPr="003E6462">
        <w:t xml:space="preserve">The notion of </w:t>
      </w:r>
      <w:r w:rsidR="00F51DA4">
        <w:t>the University’s</w:t>
      </w:r>
      <w:r w:rsidR="00F51DA4" w:rsidRPr="003E6462">
        <w:t xml:space="preserve"> </w:t>
      </w:r>
      <w:r w:rsidRPr="003E6462">
        <w:t xml:space="preserve">“conflict agnostic” approach to Palestine was used on June 10th 2024 in private correspondence between a member of the </w:t>
      </w:r>
      <w:r w:rsidR="00793484">
        <w:t>University’s</w:t>
      </w:r>
      <w:r w:rsidR="00793484" w:rsidRPr="003E6462">
        <w:t xml:space="preserve"> </w:t>
      </w:r>
      <w:r w:rsidR="00793484">
        <w:t>s</w:t>
      </w:r>
      <w:r w:rsidR="00793484" w:rsidRPr="003E6462">
        <w:t xml:space="preserve">enior </w:t>
      </w:r>
      <w:r w:rsidR="00793484">
        <w:t>l</w:t>
      </w:r>
      <w:r w:rsidRPr="003E6462">
        <w:t xml:space="preserve">eadership </w:t>
      </w:r>
      <w:r w:rsidR="00793484">
        <w:t>t</w:t>
      </w:r>
      <w:r w:rsidRPr="003E6462">
        <w:t xml:space="preserve">eam in charge of the responsible investment working group, and other members of the working group, including the staff representative nominated by the Gaza Encampment. This was in response to the Gaza Encampment staff representative’s request to include among the materials for the Court meeting of June 16 (as agreed in the negotiations between Senior Leadership Team and Gaza Encampment) the dossier that the staff representative had prepared on two companies in which </w:t>
      </w:r>
      <w:r w:rsidR="005A7367">
        <w:t>the University</w:t>
      </w:r>
      <w:r w:rsidR="005A7367" w:rsidRPr="003E6462">
        <w:t xml:space="preserve"> </w:t>
      </w:r>
      <w:r w:rsidRPr="003E6462">
        <w:t>invests—Alphabet and Amazon—directly involved in war crimes and genocide in Gaza, so as to allow Court to vote on those two companies. See A</w:t>
      </w:r>
      <w:r w:rsidR="000C3D78">
        <w:t>ppendix</w:t>
      </w:r>
      <w:r w:rsidR="008773CF">
        <w:t xml:space="preserve"> 3</w:t>
      </w:r>
      <w:r w:rsidR="000C3D78">
        <w:t xml:space="preserve"> </w:t>
      </w:r>
      <w:r w:rsidRPr="003E6462">
        <w:t>for more details on the process.”</w:t>
      </w:r>
    </w:p>
  </w:footnote>
  <w:footnote w:id="151">
    <w:p w14:paraId="3DFAF34D" w14:textId="6982CD9B" w:rsidR="00773F7C" w:rsidRPr="00097BBC" w:rsidRDefault="00773F7C" w:rsidP="00057638">
      <w:pPr>
        <w:pStyle w:val="FootnoteText"/>
        <w:jc w:val="left"/>
        <w:rPr>
          <w:rFonts w:asciiTheme="minorHAnsi" w:hAnsiTheme="minorHAnsi" w:cstheme="minorHAnsi"/>
          <w:b/>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Wala Alqaisiyaa</w:t>
      </w:r>
      <w:r w:rsidR="00B54DBE">
        <w:rPr>
          <w:rFonts w:asciiTheme="minorHAnsi" w:hAnsiTheme="minorHAnsi" w:cstheme="minorHAnsi"/>
        </w:rPr>
        <w:t xml:space="preserve"> and </w:t>
      </w:r>
      <w:r w:rsidRPr="00097BBC">
        <w:rPr>
          <w:rFonts w:asciiTheme="minorHAnsi" w:hAnsiTheme="minorHAnsi" w:cstheme="minorHAnsi"/>
        </w:rPr>
        <w:t>Nicola Perugini, ‘The Academic Question of Palestine’</w:t>
      </w:r>
      <w:r w:rsidR="0087336A" w:rsidRPr="00097BBC">
        <w:rPr>
          <w:rFonts w:asciiTheme="minorHAnsi" w:hAnsiTheme="minorHAnsi" w:cstheme="minorHAnsi"/>
        </w:rPr>
        <w:t>,</w:t>
      </w:r>
      <w:r w:rsidRPr="00097BBC">
        <w:rPr>
          <w:rFonts w:asciiTheme="minorHAnsi" w:hAnsiTheme="minorHAnsi" w:cstheme="minorHAnsi"/>
        </w:rPr>
        <w:t> </w:t>
      </w:r>
      <w:r w:rsidRPr="00097BBC">
        <w:rPr>
          <w:rFonts w:asciiTheme="minorHAnsi" w:hAnsiTheme="minorHAnsi" w:cstheme="minorHAnsi"/>
          <w:i/>
        </w:rPr>
        <w:t>Middle East Critique</w:t>
      </w:r>
      <w:r w:rsidRPr="00097BBC">
        <w:rPr>
          <w:rFonts w:asciiTheme="minorHAnsi" w:hAnsiTheme="minorHAnsi" w:cstheme="minorHAnsi"/>
        </w:rPr>
        <w:t>, 33 (2024), 299–311.</w:t>
      </w:r>
    </w:p>
  </w:footnote>
  <w:footnote w:id="152">
    <w:p w14:paraId="5F549768" w14:textId="3E344A42" w:rsidR="00773F7C" w:rsidRPr="00097BBC" w:rsidRDefault="00773F7C" w:rsidP="00057638">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British Society for Middle Eastern Studies and the European Legal Support Centre, ‘Freedom of Speech and Academic Freedom in UK Higher Education: The Adverse Impact of the IHRA Definition of Antisemitism’ (September 2023).</w:t>
      </w:r>
    </w:p>
  </w:footnote>
  <w:footnote w:id="153">
    <w:p w14:paraId="27BC4869" w14:textId="0AD8E645" w:rsidR="004E3D1D" w:rsidRPr="001548BC" w:rsidRDefault="004E3D1D" w:rsidP="00AE3304">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Pr="00097BBC">
        <w:rPr>
          <w:rFonts w:asciiTheme="minorHAnsi" w:eastAsia="Calibri" w:hAnsiTheme="minorHAnsi" w:cstheme="minorHAnsi"/>
          <w:color w:val="000000" w:themeColor="text1"/>
          <w:lang w:eastAsia="en-GB"/>
        </w:rPr>
        <w:t xml:space="preserve">This work was conducted </w:t>
      </w:r>
      <w:r>
        <w:rPr>
          <w:rFonts w:asciiTheme="minorHAnsi" w:eastAsia="Calibri" w:hAnsiTheme="minorHAnsi" w:cstheme="minorHAnsi"/>
          <w:color w:val="000000" w:themeColor="text1"/>
          <w:lang w:eastAsia="en-GB"/>
        </w:rPr>
        <w:t xml:space="preserve">in collaboration with research assistant, Obasanjo Bolarinwa. </w:t>
      </w:r>
    </w:p>
  </w:footnote>
  <w:footnote w:id="154">
    <w:p w14:paraId="17E5805C" w14:textId="77777777" w:rsidR="008E03CE" w:rsidRPr="00097BBC" w:rsidRDefault="008E03CE" w:rsidP="00AE3304">
      <w:pPr>
        <w:rPr>
          <w:rFonts w:cstheme="minorHAnsi"/>
          <w:sz w:val="20"/>
          <w:szCs w:val="20"/>
        </w:rPr>
      </w:pPr>
      <w:r w:rsidRPr="00097BBC">
        <w:rPr>
          <w:rStyle w:val="FootnoteReference"/>
          <w:rFonts w:cstheme="minorHAnsi"/>
          <w:sz w:val="20"/>
          <w:szCs w:val="20"/>
        </w:rPr>
        <w:footnoteRef/>
      </w:r>
      <w:r w:rsidRPr="00097BBC">
        <w:rPr>
          <w:rFonts w:cstheme="minorHAnsi"/>
          <w:sz w:val="20"/>
          <w:szCs w:val="20"/>
        </w:rPr>
        <w:t xml:space="preserve"> Valerie Amos and Amatey Doku, </w:t>
      </w:r>
      <w:r w:rsidRPr="00097BBC">
        <w:rPr>
          <w:rFonts w:cstheme="minorHAnsi"/>
          <w:i/>
          <w:iCs/>
          <w:sz w:val="20"/>
          <w:szCs w:val="20"/>
        </w:rPr>
        <w:t>Black, Asian and minority ethnic student attainment at UK Universities: Closing the Gap</w:t>
      </w:r>
      <w:r w:rsidRPr="00097BBC">
        <w:rPr>
          <w:rFonts w:cstheme="minorHAnsi"/>
          <w:sz w:val="20"/>
          <w:szCs w:val="20"/>
        </w:rPr>
        <w:t xml:space="preserve"> (London: National Union of Students, 2019); Paul Ian Campbell, </w:t>
      </w:r>
      <w:r w:rsidRPr="00097BBC">
        <w:rPr>
          <w:rFonts w:cstheme="minorHAnsi"/>
          <w:i/>
          <w:iCs/>
          <w:sz w:val="20"/>
          <w:szCs w:val="20"/>
        </w:rPr>
        <w:t>Race and Assessment in Higher Education: From Conceptualising Barriers to Making Measurable Change</w:t>
      </w:r>
      <w:r w:rsidRPr="00097BBC">
        <w:rPr>
          <w:rFonts w:cstheme="minorHAnsi"/>
          <w:sz w:val="20"/>
          <w:szCs w:val="20"/>
        </w:rPr>
        <w:t xml:space="preserve"> (Leeds: Emerald Publishing Company, 2024); Louise Cramer, ‘Alternative Strategies for Closing the Award Gap between White and Minority Ethnic Students’, </w:t>
      </w:r>
      <w:r w:rsidRPr="00097BBC">
        <w:rPr>
          <w:rFonts w:cstheme="minorHAnsi"/>
          <w:i/>
          <w:iCs/>
          <w:sz w:val="20"/>
          <w:szCs w:val="20"/>
        </w:rPr>
        <w:t>Elife</w:t>
      </w:r>
      <w:r w:rsidRPr="00097BBC">
        <w:rPr>
          <w:rFonts w:cstheme="minorHAnsi"/>
          <w:sz w:val="20"/>
          <w:szCs w:val="20"/>
        </w:rPr>
        <w:t>, 10 (2021).</w:t>
      </w:r>
    </w:p>
  </w:footnote>
  <w:footnote w:id="155">
    <w:p w14:paraId="5A7A0BE2" w14:textId="613BA797" w:rsidR="008E03CE" w:rsidRPr="00097BBC" w:rsidRDefault="008E03CE"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Campbell</w:t>
      </w:r>
      <w:r w:rsidR="00EB5BF9">
        <w:rPr>
          <w:rFonts w:asciiTheme="minorHAnsi" w:hAnsiTheme="minorHAnsi" w:cstheme="minorHAnsi"/>
        </w:rPr>
        <w:t xml:space="preserve">, </w:t>
      </w:r>
      <w:r w:rsidR="00EB5BF9" w:rsidRPr="00B04460">
        <w:rPr>
          <w:rFonts w:asciiTheme="minorHAnsi" w:hAnsiTheme="minorHAnsi" w:cstheme="minorHAnsi"/>
          <w:i/>
        </w:rPr>
        <w:t>Race and Assessment</w:t>
      </w:r>
      <w:r w:rsidRPr="00643BA0">
        <w:rPr>
          <w:rFonts w:asciiTheme="minorHAnsi" w:hAnsiTheme="minorHAnsi" w:cstheme="minorHAnsi"/>
        </w:rPr>
        <w:t>;</w:t>
      </w:r>
      <w:r w:rsidRPr="00097BBC">
        <w:rPr>
          <w:rFonts w:asciiTheme="minorHAnsi" w:hAnsiTheme="minorHAnsi" w:cstheme="minorHAnsi"/>
        </w:rPr>
        <w:t xml:space="preserve"> Cramer</w:t>
      </w:r>
      <w:r w:rsidR="002C7CB6">
        <w:rPr>
          <w:rFonts w:asciiTheme="minorHAnsi" w:hAnsiTheme="minorHAnsi" w:cstheme="minorHAnsi"/>
        </w:rPr>
        <w:t>, ‘Alternative Strategies’</w:t>
      </w:r>
      <w:r w:rsidRPr="00643BA0">
        <w:rPr>
          <w:rFonts w:asciiTheme="minorHAnsi" w:hAnsiTheme="minorHAnsi" w:cstheme="minorHAnsi"/>
        </w:rPr>
        <w:t>.</w:t>
      </w:r>
    </w:p>
  </w:footnote>
  <w:footnote w:id="156">
    <w:p w14:paraId="02B7B7ED" w14:textId="77777777" w:rsidR="00811DD0" w:rsidRPr="00097BBC" w:rsidRDefault="00811DD0"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Becca Franssen, </w:t>
      </w:r>
      <w:r w:rsidRPr="00097BBC">
        <w:rPr>
          <w:rFonts w:asciiTheme="minorHAnsi" w:hAnsiTheme="minorHAnsi" w:cstheme="minorHAnsi"/>
          <w:i/>
          <w:iCs/>
        </w:rPr>
        <w:t>Unblocking the Pipeline: Supporting the Retention, Progression and Promotion of Black Early-Career Academics</w:t>
      </w:r>
      <w:r w:rsidRPr="00097BBC">
        <w:rPr>
          <w:rFonts w:asciiTheme="minorHAnsi" w:hAnsiTheme="minorHAnsi" w:cstheme="minorHAnsi"/>
        </w:rPr>
        <w:t xml:space="preserve"> (Oxford: Higher Education Policy Institute, 2024).</w:t>
      </w:r>
    </w:p>
  </w:footnote>
  <w:footnote w:id="157">
    <w:p w14:paraId="3B9B2998" w14:textId="2BEB4803" w:rsidR="00C017CE" w:rsidRPr="00097BBC" w:rsidRDefault="00C017CE"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Franssen</w:t>
      </w:r>
      <w:r w:rsidR="001625D9" w:rsidRPr="001625D9">
        <w:rPr>
          <w:rFonts w:asciiTheme="minorHAnsi" w:hAnsiTheme="minorHAnsi" w:cstheme="minorHAnsi"/>
        </w:rPr>
        <w:t xml:space="preserve">, </w:t>
      </w:r>
      <w:r w:rsidR="001625D9" w:rsidRPr="00B04460">
        <w:rPr>
          <w:rFonts w:asciiTheme="minorHAnsi" w:hAnsiTheme="minorHAnsi" w:cstheme="minorHAnsi"/>
          <w:i/>
        </w:rPr>
        <w:t>Unblocking the Pipeline</w:t>
      </w:r>
      <w:r w:rsidRPr="001625D9">
        <w:rPr>
          <w:rFonts w:asciiTheme="minorHAnsi" w:hAnsiTheme="minorHAnsi" w:cstheme="minorHAnsi"/>
        </w:rPr>
        <w:t>.</w:t>
      </w:r>
      <w:r w:rsidRPr="00097BBC">
        <w:rPr>
          <w:rFonts w:asciiTheme="minorHAnsi" w:hAnsiTheme="minorHAnsi" w:cstheme="minorHAnsi"/>
        </w:rPr>
        <w:t xml:space="preserve"> </w:t>
      </w:r>
    </w:p>
  </w:footnote>
  <w:footnote w:id="158">
    <w:p w14:paraId="4A97884E" w14:textId="77777777" w:rsidR="00C017CE" w:rsidRPr="00097BBC" w:rsidRDefault="00C017CE"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Carole Leathwood, Uvanney Maylor and Marie-Pierre Moreau, </w:t>
      </w:r>
      <w:r w:rsidRPr="00097BBC">
        <w:rPr>
          <w:rFonts w:asciiTheme="minorHAnsi" w:hAnsiTheme="minorHAnsi" w:cstheme="minorHAnsi"/>
          <w:i/>
          <w:iCs/>
        </w:rPr>
        <w:t>The Experience of Black and Minority Ethnic Staff Working in Higher Education: Literature Review 2009</w:t>
      </w:r>
      <w:r w:rsidRPr="00097BBC">
        <w:rPr>
          <w:rFonts w:asciiTheme="minorHAnsi" w:hAnsiTheme="minorHAnsi" w:cstheme="minorHAnsi"/>
        </w:rPr>
        <w:t xml:space="preserve"> (York: Equality Challenge Unit, 2009); Cecily Jones, ‘Falling between the Cracks: What Diversity Means for Black Women in Higher Education’, </w:t>
      </w:r>
      <w:r w:rsidRPr="00097BBC">
        <w:rPr>
          <w:rFonts w:asciiTheme="minorHAnsi" w:hAnsiTheme="minorHAnsi" w:cstheme="minorHAnsi"/>
          <w:i/>
          <w:iCs/>
        </w:rPr>
        <w:t>Policy Futures in Education</w:t>
      </w:r>
      <w:r w:rsidRPr="00097BBC">
        <w:rPr>
          <w:rFonts w:asciiTheme="minorHAnsi" w:hAnsiTheme="minorHAnsi" w:cstheme="minorHAnsi"/>
        </w:rPr>
        <w:t>, 4 (2006), 145–59.</w:t>
      </w:r>
    </w:p>
  </w:footnote>
  <w:footnote w:id="159">
    <w:p w14:paraId="52431265" w14:textId="48692BFF" w:rsidR="00811DD0" w:rsidRPr="00097BBC" w:rsidRDefault="00811DD0"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George Koutsouris, Lauren Stentiford and Brahm Norwich, </w:t>
      </w:r>
      <w:r w:rsidR="00AA7511" w:rsidRPr="00097BBC">
        <w:rPr>
          <w:rFonts w:asciiTheme="minorHAnsi" w:hAnsiTheme="minorHAnsi" w:cstheme="minorHAnsi"/>
        </w:rPr>
        <w:t>‘</w:t>
      </w:r>
      <w:r w:rsidRPr="00097BBC">
        <w:rPr>
          <w:rFonts w:asciiTheme="minorHAnsi" w:hAnsiTheme="minorHAnsi" w:cstheme="minorHAnsi"/>
        </w:rPr>
        <w:t xml:space="preserve">A </w:t>
      </w:r>
      <w:r w:rsidR="00AA7511" w:rsidRPr="00097BBC">
        <w:rPr>
          <w:rFonts w:asciiTheme="minorHAnsi" w:hAnsiTheme="minorHAnsi" w:cstheme="minorHAnsi"/>
        </w:rPr>
        <w:t>C</w:t>
      </w:r>
      <w:r w:rsidRPr="00097BBC">
        <w:rPr>
          <w:rFonts w:asciiTheme="minorHAnsi" w:hAnsiTheme="minorHAnsi" w:cstheme="minorHAnsi"/>
        </w:rPr>
        <w:t xml:space="preserve">ritical </w:t>
      </w:r>
      <w:r w:rsidR="00AA7511" w:rsidRPr="00097BBC">
        <w:rPr>
          <w:rFonts w:asciiTheme="minorHAnsi" w:hAnsiTheme="minorHAnsi" w:cstheme="minorHAnsi"/>
        </w:rPr>
        <w:t>E</w:t>
      </w:r>
      <w:r w:rsidRPr="00097BBC">
        <w:rPr>
          <w:rFonts w:asciiTheme="minorHAnsi" w:hAnsiTheme="minorHAnsi" w:cstheme="minorHAnsi"/>
        </w:rPr>
        <w:t xml:space="preserve">xploration of </w:t>
      </w:r>
      <w:r w:rsidR="00AA7511" w:rsidRPr="00097BBC">
        <w:rPr>
          <w:rFonts w:asciiTheme="minorHAnsi" w:hAnsiTheme="minorHAnsi" w:cstheme="minorHAnsi"/>
        </w:rPr>
        <w:t>I</w:t>
      </w:r>
      <w:r w:rsidRPr="00097BBC">
        <w:rPr>
          <w:rFonts w:asciiTheme="minorHAnsi" w:hAnsiTheme="minorHAnsi" w:cstheme="minorHAnsi"/>
        </w:rPr>
        <w:t xml:space="preserve">nclusion </w:t>
      </w:r>
      <w:r w:rsidR="00AA7511" w:rsidRPr="00097BBC">
        <w:rPr>
          <w:rFonts w:asciiTheme="minorHAnsi" w:hAnsiTheme="minorHAnsi" w:cstheme="minorHAnsi"/>
        </w:rPr>
        <w:t>P</w:t>
      </w:r>
      <w:r w:rsidRPr="00097BBC">
        <w:rPr>
          <w:rFonts w:asciiTheme="minorHAnsi" w:hAnsiTheme="minorHAnsi" w:cstheme="minorHAnsi"/>
        </w:rPr>
        <w:t xml:space="preserve">olicies of </w:t>
      </w:r>
      <w:r w:rsidR="00AA7511" w:rsidRPr="00097BBC">
        <w:rPr>
          <w:rFonts w:asciiTheme="minorHAnsi" w:hAnsiTheme="minorHAnsi" w:cstheme="minorHAnsi"/>
        </w:rPr>
        <w:t>E</w:t>
      </w:r>
      <w:r w:rsidRPr="00097BBC">
        <w:rPr>
          <w:rFonts w:asciiTheme="minorHAnsi" w:hAnsiTheme="minorHAnsi" w:cstheme="minorHAnsi"/>
        </w:rPr>
        <w:t xml:space="preserve">lite UK </w:t>
      </w:r>
      <w:r w:rsidR="00AA7511" w:rsidRPr="00097BBC">
        <w:rPr>
          <w:rFonts w:asciiTheme="minorHAnsi" w:hAnsiTheme="minorHAnsi" w:cstheme="minorHAnsi"/>
        </w:rPr>
        <w:t>U</w:t>
      </w:r>
      <w:r w:rsidRPr="00097BBC">
        <w:rPr>
          <w:rFonts w:asciiTheme="minorHAnsi" w:hAnsiTheme="minorHAnsi" w:cstheme="minorHAnsi"/>
        </w:rPr>
        <w:t>niversities</w:t>
      </w:r>
      <w:r w:rsidR="00AA7511" w:rsidRPr="00097BBC">
        <w:rPr>
          <w:rFonts w:asciiTheme="minorHAnsi" w:hAnsiTheme="minorHAnsi" w:cstheme="minorHAnsi"/>
        </w:rPr>
        <w:t>’,</w:t>
      </w:r>
      <w:r w:rsidRPr="00097BBC">
        <w:rPr>
          <w:rFonts w:asciiTheme="minorHAnsi" w:hAnsiTheme="minorHAnsi" w:cstheme="minorHAnsi"/>
        </w:rPr>
        <w:t xml:space="preserve"> </w:t>
      </w:r>
      <w:r w:rsidRPr="00097BBC">
        <w:rPr>
          <w:rFonts w:asciiTheme="minorHAnsi" w:hAnsiTheme="minorHAnsi" w:cstheme="minorHAnsi"/>
          <w:i/>
          <w:iCs/>
        </w:rPr>
        <w:t>British Educational Research</w:t>
      </w:r>
      <w:r w:rsidRPr="00097BBC">
        <w:rPr>
          <w:rFonts w:asciiTheme="minorHAnsi" w:hAnsiTheme="minorHAnsi" w:cstheme="minorHAnsi"/>
        </w:rPr>
        <w:t xml:space="preserve"> </w:t>
      </w:r>
      <w:r w:rsidRPr="00097BBC">
        <w:rPr>
          <w:rFonts w:asciiTheme="minorHAnsi" w:hAnsiTheme="minorHAnsi" w:cstheme="minorHAnsi"/>
          <w:i/>
          <w:iCs/>
        </w:rPr>
        <w:t>Journal</w:t>
      </w:r>
      <w:r w:rsidR="00AA7511" w:rsidRPr="00097BBC">
        <w:rPr>
          <w:rFonts w:asciiTheme="minorHAnsi" w:hAnsiTheme="minorHAnsi" w:cstheme="minorHAnsi"/>
        </w:rPr>
        <w:t>,</w:t>
      </w:r>
      <w:r w:rsidRPr="00097BBC">
        <w:rPr>
          <w:rFonts w:asciiTheme="minorHAnsi" w:hAnsiTheme="minorHAnsi" w:cstheme="minorHAnsi"/>
        </w:rPr>
        <w:t xml:space="preserve"> 48 (2022)</w:t>
      </w:r>
      <w:r w:rsidR="00AA7511" w:rsidRPr="00097BBC">
        <w:rPr>
          <w:rFonts w:asciiTheme="minorHAnsi" w:hAnsiTheme="minorHAnsi" w:cstheme="minorHAnsi"/>
        </w:rPr>
        <w:t>,</w:t>
      </w:r>
      <w:r w:rsidRPr="00097BBC">
        <w:rPr>
          <w:rFonts w:asciiTheme="minorHAnsi" w:hAnsiTheme="minorHAnsi" w:cstheme="minorHAnsi"/>
        </w:rPr>
        <w:t xml:space="preserve"> 878–95</w:t>
      </w:r>
      <w:r w:rsidR="00AA7511" w:rsidRPr="00097BBC">
        <w:rPr>
          <w:rFonts w:asciiTheme="minorHAnsi" w:hAnsiTheme="minorHAnsi" w:cstheme="minorHAnsi"/>
        </w:rPr>
        <w:t>.</w:t>
      </w:r>
    </w:p>
  </w:footnote>
  <w:footnote w:id="160">
    <w:p w14:paraId="722584BB" w14:textId="17677B95" w:rsidR="00811DD0" w:rsidRPr="00643BA0" w:rsidRDefault="00811DD0" w:rsidP="00AE3304">
      <w:pPr>
        <w:pStyle w:val="FootnoteText"/>
        <w:jc w:val="left"/>
        <w:rPr>
          <w:rFonts w:asciiTheme="minorHAnsi" w:hAnsiTheme="minorHAnsi" w:cstheme="minorHAnsi"/>
        </w:rPr>
      </w:pPr>
      <w:r w:rsidRPr="00643BA0">
        <w:rPr>
          <w:rStyle w:val="FootnoteReference"/>
          <w:rFonts w:asciiTheme="minorHAnsi" w:hAnsiTheme="minorHAnsi" w:cstheme="minorHAnsi"/>
        </w:rPr>
        <w:footnoteRef/>
      </w:r>
      <w:r w:rsidR="00305DDA" w:rsidRPr="00643BA0">
        <w:rPr>
          <w:rFonts w:asciiTheme="minorHAnsi" w:hAnsiTheme="minorHAnsi" w:cstheme="minorHAnsi"/>
        </w:rPr>
        <w:t xml:space="preserve"> </w:t>
      </w:r>
      <w:r w:rsidR="007D089E" w:rsidRPr="00643BA0">
        <w:rPr>
          <w:rFonts w:asciiTheme="minorHAnsi" w:hAnsiTheme="minorHAnsi" w:cstheme="minorHAnsi"/>
        </w:rPr>
        <w:t xml:space="preserve">Tommy J. Curry and Gwenetta Curry, ‘On the Perils of Race Neutrality and Anti-Blackness: Philosophy as an Irreconcilable Obstacle to (Black) Thought’, </w:t>
      </w:r>
      <w:r w:rsidR="007D089E" w:rsidRPr="00643BA0">
        <w:rPr>
          <w:rFonts w:asciiTheme="minorHAnsi" w:hAnsiTheme="minorHAnsi" w:cstheme="minorHAnsi"/>
          <w:i/>
          <w:iCs/>
        </w:rPr>
        <w:t>American Journal of Economics and Sociology</w:t>
      </w:r>
      <w:r w:rsidR="007D089E" w:rsidRPr="00643BA0">
        <w:rPr>
          <w:rFonts w:asciiTheme="minorHAnsi" w:hAnsiTheme="minorHAnsi" w:cstheme="minorHAnsi"/>
        </w:rPr>
        <w:t>, 77 (2018), 657–87</w:t>
      </w:r>
      <w:r w:rsidR="006419A3" w:rsidRPr="00643BA0">
        <w:rPr>
          <w:rFonts w:asciiTheme="minorHAnsi" w:hAnsiTheme="minorHAnsi" w:cstheme="minorHAnsi"/>
        </w:rPr>
        <w:t xml:space="preserve">. </w:t>
      </w:r>
      <w:r w:rsidR="00305DDA" w:rsidRPr="00643BA0">
        <w:rPr>
          <w:rFonts w:asciiTheme="minorHAnsi" w:hAnsiTheme="minorHAnsi" w:cstheme="minorHAnsi"/>
        </w:rPr>
        <w:t xml:space="preserve">See </w:t>
      </w:r>
      <w:r w:rsidR="006419A3" w:rsidRPr="00643BA0">
        <w:rPr>
          <w:rFonts w:asciiTheme="minorHAnsi" w:hAnsiTheme="minorHAnsi" w:cstheme="minorHAnsi"/>
        </w:rPr>
        <w:t xml:space="preserve">also </w:t>
      </w:r>
      <w:r w:rsidR="00305DDA" w:rsidRPr="00643BA0">
        <w:rPr>
          <w:rFonts w:asciiTheme="minorHAnsi" w:hAnsiTheme="minorHAnsi" w:cstheme="minorHAnsi"/>
        </w:rPr>
        <w:t xml:space="preserve">Eduardo Bonilla-Silva, </w:t>
      </w:r>
      <w:r w:rsidR="00305DDA" w:rsidRPr="00643BA0">
        <w:rPr>
          <w:rFonts w:asciiTheme="minorHAnsi" w:hAnsiTheme="minorHAnsi" w:cstheme="minorHAnsi"/>
          <w:i/>
          <w:iCs/>
        </w:rPr>
        <w:t xml:space="preserve">Racism without Racists: Color-Blind Racism and the Persistance of Racial Inequality in America </w:t>
      </w:r>
      <w:r w:rsidR="00305DDA" w:rsidRPr="00643BA0">
        <w:rPr>
          <w:rFonts w:asciiTheme="minorHAnsi" w:hAnsiTheme="minorHAnsi" w:cstheme="minorHAnsi"/>
        </w:rPr>
        <w:t>(Lanham, MD: Rowman and Littlefield, 2017; first publ. 2003).</w:t>
      </w:r>
    </w:p>
  </w:footnote>
  <w:footnote w:id="161">
    <w:p w14:paraId="2461E42F" w14:textId="7F98A8F8" w:rsidR="00811DD0" w:rsidRPr="00097BBC" w:rsidRDefault="00811DD0"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UK Government, </w:t>
      </w:r>
      <w:r w:rsidR="00D72352" w:rsidRPr="00097BBC">
        <w:rPr>
          <w:rFonts w:asciiTheme="minorHAnsi" w:hAnsiTheme="minorHAnsi" w:cstheme="minorHAnsi"/>
        </w:rPr>
        <w:t>‘</w:t>
      </w:r>
      <w:r w:rsidRPr="00097BBC">
        <w:rPr>
          <w:rFonts w:asciiTheme="minorHAnsi" w:hAnsiTheme="minorHAnsi" w:cstheme="minorHAnsi"/>
        </w:rPr>
        <w:t>Writing about Ethnicity</w:t>
      </w:r>
      <w:r w:rsidR="00D72352" w:rsidRPr="00097BBC">
        <w:rPr>
          <w:rFonts w:asciiTheme="minorHAnsi" w:hAnsiTheme="minorHAnsi" w:cstheme="minorHAnsi"/>
        </w:rPr>
        <w:t xml:space="preserve">’, </w:t>
      </w:r>
      <w:hyperlink r:id="rId52" w:anchor="bame-and-bme" w:history="1">
        <w:r w:rsidRPr="00097BBC">
          <w:rPr>
            <w:rStyle w:val="Hyperlink"/>
            <w:rFonts w:asciiTheme="minorHAnsi" w:hAnsiTheme="minorHAnsi" w:cstheme="minorHAnsi"/>
          </w:rPr>
          <w:t>https://www.ethnicity-facts-figures.service.gov.uk/style-guide/writing-about-ethnicity/#bame-and-bme</w:t>
        </w:r>
      </w:hyperlink>
      <w:r w:rsidR="00D72352" w:rsidRPr="00643BA0">
        <w:rPr>
          <w:rFonts w:asciiTheme="minorHAnsi" w:hAnsiTheme="minorHAnsi" w:cstheme="minorHAnsi"/>
        </w:rPr>
        <w:t>.</w:t>
      </w:r>
    </w:p>
  </w:footnote>
  <w:footnote w:id="162">
    <w:p w14:paraId="5A7BA847" w14:textId="18C94C0F" w:rsidR="00811DD0" w:rsidRPr="00097BBC" w:rsidRDefault="00811DD0"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Terri Kim and Wilson Ng, </w:t>
      </w:r>
      <w:r w:rsidR="005B4246" w:rsidRPr="00097BBC">
        <w:rPr>
          <w:rFonts w:asciiTheme="minorHAnsi" w:hAnsiTheme="minorHAnsi" w:cstheme="minorHAnsi"/>
        </w:rPr>
        <w:t>‘</w:t>
      </w:r>
      <w:r w:rsidRPr="00097BBC">
        <w:rPr>
          <w:rFonts w:asciiTheme="minorHAnsi" w:hAnsiTheme="minorHAnsi" w:cstheme="minorHAnsi"/>
        </w:rPr>
        <w:t xml:space="preserve">Ticking the </w:t>
      </w:r>
      <w:r w:rsidR="005B4246" w:rsidRPr="00097BBC">
        <w:rPr>
          <w:rFonts w:asciiTheme="minorHAnsi" w:hAnsiTheme="minorHAnsi" w:cstheme="minorHAnsi"/>
        </w:rPr>
        <w:t>“</w:t>
      </w:r>
      <w:r w:rsidRPr="00097BBC">
        <w:rPr>
          <w:rFonts w:asciiTheme="minorHAnsi" w:hAnsiTheme="minorHAnsi" w:cstheme="minorHAnsi"/>
        </w:rPr>
        <w:t>Other</w:t>
      </w:r>
      <w:r w:rsidR="005B4246" w:rsidRPr="00097BBC">
        <w:rPr>
          <w:rFonts w:asciiTheme="minorHAnsi" w:hAnsiTheme="minorHAnsi" w:cstheme="minorHAnsi"/>
        </w:rPr>
        <w:t>”</w:t>
      </w:r>
      <w:r w:rsidRPr="00097BBC">
        <w:rPr>
          <w:rFonts w:asciiTheme="minorHAnsi" w:hAnsiTheme="minorHAnsi" w:cstheme="minorHAnsi"/>
        </w:rPr>
        <w:t xml:space="preserve"> </w:t>
      </w:r>
      <w:r w:rsidR="005B4246" w:rsidRPr="00097BBC">
        <w:rPr>
          <w:rFonts w:asciiTheme="minorHAnsi" w:hAnsiTheme="minorHAnsi" w:cstheme="minorHAnsi"/>
        </w:rPr>
        <w:t>B</w:t>
      </w:r>
      <w:r w:rsidRPr="00097BBC">
        <w:rPr>
          <w:rFonts w:asciiTheme="minorHAnsi" w:hAnsiTheme="minorHAnsi" w:cstheme="minorHAnsi"/>
        </w:rPr>
        <w:t>ox: Positional Identities of East Asian Academics in UK Universities, Internationalisation and Diversification</w:t>
      </w:r>
      <w:r w:rsidR="005B4246" w:rsidRPr="00097BBC">
        <w:rPr>
          <w:rFonts w:asciiTheme="minorHAnsi" w:hAnsiTheme="minorHAnsi" w:cstheme="minorHAnsi"/>
        </w:rPr>
        <w:t>’,</w:t>
      </w:r>
      <w:r w:rsidRPr="00097BBC">
        <w:rPr>
          <w:rFonts w:asciiTheme="minorHAnsi" w:hAnsiTheme="minorHAnsi" w:cstheme="minorHAnsi"/>
        </w:rPr>
        <w:t xml:space="preserve"> </w:t>
      </w:r>
      <w:r w:rsidRPr="00097BBC">
        <w:rPr>
          <w:rFonts w:asciiTheme="minorHAnsi" w:hAnsiTheme="minorHAnsi" w:cstheme="minorHAnsi"/>
          <w:i/>
          <w:iCs/>
        </w:rPr>
        <w:t>Policy Reviews in Higher Education</w:t>
      </w:r>
      <w:r w:rsidR="005B4246" w:rsidRPr="00097BBC">
        <w:rPr>
          <w:rFonts w:asciiTheme="minorHAnsi" w:hAnsiTheme="minorHAnsi" w:cstheme="minorHAnsi"/>
        </w:rPr>
        <w:t>,</w:t>
      </w:r>
      <w:r w:rsidRPr="00097BBC">
        <w:rPr>
          <w:rFonts w:asciiTheme="minorHAnsi" w:hAnsiTheme="minorHAnsi" w:cstheme="minorHAnsi"/>
        </w:rPr>
        <w:t xml:space="preserve"> 3</w:t>
      </w:r>
      <w:r w:rsidR="005B4246" w:rsidRPr="00097BBC">
        <w:rPr>
          <w:rFonts w:asciiTheme="minorHAnsi" w:hAnsiTheme="minorHAnsi" w:cstheme="minorHAnsi"/>
        </w:rPr>
        <w:t xml:space="preserve"> </w:t>
      </w:r>
      <w:r w:rsidRPr="00097BBC">
        <w:rPr>
          <w:rFonts w:asciiTheme="minorHAnsi" w:hAnsiTheme="minorHAnsi" w:cstheme="minorHAnsi"/>
        </w:rPr>
        <w:t>(2019)</w:t>
      </w:r>
      <w:r w:rsidR="005B4246" w:rsidRPr="00097BBC">
        <w:rPr>
          <w:rFonts w:asciiTheme="minorHAnsi" w:hAnsiTheme="minorHAnsi" w:cstheme="minorHAnsi"/>
        </w:rPr>
        <w:t>,</w:t>
      </w:r>
      <w:r w:rsidRPr="00097BBC">
        <w:rPr>
          <w:rFonts w:asciiTheme="minorHAnsi" w:hAnsiTheme="minorHAnsi" w:cstheme="minorHAnsi"/>
        </w:rPr>
        <w:t xml:space="preserve"> 94–119.</w:t>
      </w:r>
    </w:p>
  </w:footnote>
  <w:footnote w:id="163">
    <w:p w14:paraId="6D973774" w14:textId="1E971D52" w:rsidR="004422AA" w:rsidRPr="00097BBC" w:rsidRDefault="004422AA"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26265B" w:rsidRPr="00097BBC">
        <w:rPr>
          <w:rFonts w:asciiTheme="minorHAnsi" w:hAnsiTheme="minorHAnsi" w:cstheme="minorHAnsi"/>
        </w:rPr>
        <w:t>UK Government, ‘</w:t>
      </w:r>
      <w:r w:rsidRPr="00097BBC">
        <w:rPr>
          <w:rFonts w:asciiTheme="minorHAnsi" w:hAnsiTheme="minorHAnsi" w:cstheme="minorHAnsi"/>
        </w:rPr>
        <w:t>Population of England and Wales</w:t>
      </w:r>
      <w:r w:rsidR="0026265B" w:rsidRPr="00097BBC">
        <w:rPr>
          <w:rFonts w:asciiTheme="minorHAnsi" w:hAnsiTheme="minorHAnsi" w:cstheme="minorHAnsi"/>
        </w:rPr>
        <w:t>’,</w:t>
      </w:r>
      <w:r w:rsidRPr="00097BBC">
        <w:rPr>
          <w:rFonts w:asciiTheme="minorHAnsi" w:hAnsiTheme="minorHAnsi" w:cstheme="minorHAnsi"/>
        </w:rPr>
        <w:t xml:space="preserve"> </w:t>
      </w:r>
      <w:hyperlink r:id="rId53" w:history="1">
        <w:r w:rsidRPr="00097BBC">
          <w:rPr>
            <w:rStyle w:val="Hyperlink"/>
            <w:rFonts w:asciiTheme="minorHAnsi" w:hAnsiTheme="minorHAnsi" w:cstheme="minorHAnsi"/>
          </w:rPr>
          <w:t>https://www.ethnicity-facts-figures.service.gov.uk/uk-population-by-ethnicity/national-and-regional-populations/population-of-england-and-wales/latest/</w:t>
        </w:r>
      </w:hyperlink>
      <w:r w:rsidR="0026265B" w:rsidRPr="00643BA0">
        <w:rPr>
          <w:rFonts w:asciiTheme="minorHAnsi" w:hAnsiTheme="minorHAnsi" w:cstheme="minorHAnsi"/>
        </w:rPr>
        <w:t>.</w:t>
      </w:r>
    </w:p>
  </w:footnote>
  <w:footnote w:id="164">
    <w:p w14:paraId="5D37521A" w14:textId="395CCE50" w:rsidR="004422AA" w:rsidRPr="00097BBC" w:rsidRDefault="004422AA"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26265B" w:rsidRPr="00097BBC">
        <w:rPr>
          <w:rFonts w:asciiTheme="minorHAnsi" w:hAnsiTheme="minorHAnsi" w:cstheme="minorHAnsi"/>
        </w:rPr>
        <w:t>UK Government, ‘</w:t>
      </w:r>
      <w:r w:rsidRPr="00097BBC">
        <w:rPr>
          <w:rFonts w:asciiTheme="minorHAnsi" w:hAnsiTheme="minorHAnsi" w:cstheme="minorHAnsi"/>
        </w:rPr>
        <w:t xml:space="preserve">Population of England and Wales by </w:t>
      </w:r>
      <w:r w:rsidR="0026265B" w:rsidRPr="00097BBC">
        <w:rPr>
          <w:rFonts w:asciiTheme="minorHAnsi" w:hAnsiTheme="minorHAnsi" w:cstheme="minorHAnsi"/>
        </w:rPr>
        <w:t>E</w:t>
      </w:r>
      <w:r w:rsidRPr="00097BBC">
        <w:rPr>
          <w:rFonts w:asciiTheme="minorHAnsi" w:hAnsiTheme="minorHAnsi" w:cstheme="minorHAnsi"/>
        </w:rPr>
        <w:t>thnicity</w:t>
      </w:r>
      <w:r w:rsidR="0026265B" w:rsidRPr="00097BBC">
        <w:rPr>
          <w:rFonts w:asciiTheme="minorHAnsi" w:hAnsiTheme="minorHAnsi" w:cstheme="minorHAnsi"/>
        </w:rPr>
        <w:t>’,</w:t>
      </w:r>
      <w:r w:rsidRPr="00097BBC">
        <w:rPr>
          <w:rFonts w:asciiTheme="minorHAnsi" w:hAnsiTheme="minorHAnsi" w:cstheme="minorHAnsi"/>
        </w:rPr>
        <w:t xml:space="preserve"> </w:t>
      </w:r>
      <w:hyperlink r:id="rId54" w:anchor="by-ethnicity-5-groups" w:history="1">
        <w:r w:rsidRPr="00097BBC">
          <w:rPr>
            <w:rStyle w:val="Hyperlink"/>
            <w:rFonts w:asciiTheme="minorHAnsi" w:hAnsiTheme="minorHAnsi" w:cstheme="minorHAnsi"/>
          </w:rPr>
          <w:t>https://www.ethnicity-facts-figures.service.gov.uk/uk-population-by-ethnicity/national-and-regional-populations/population-of-england-and-wales/latest/#by-ethnicity-5-groups</w:t>
        </w:r>
      </w:hyperlink>
      <w:r w:rsidR="0026265B" w:rsidRPr="00643BA0">
        <w:rPr>
          <w:rFonts w:asciiTheme="minorHAnsi" w:hAnsiTheme="minorHAnsi" w:cstheme="minorHAnsi"/>
        </w:rPr>
        <w:t>.</w:t>
      </w:r>
    </w:p>
  </w:footnote>
  <w:footnote w:id="165">
    <w:p w14:paraId="2E559E1E" w14:textId="6C7062A7" w:rsidR="004422AA" w:rsidRPr="00097BBC" w:rsidRDefault="004422AA"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The non-white racial and minority and mixed ethnic groups are comprised of multiple populations. Asian populations are roughly 4%, Black populations are approximately 1.2% and Mixed ethnicities are 1.1% of the BME grouping. See Lucien Staddon Foster, </w:t>
      </w:r>
      <w:r w:rsidR="0082055A" w:rsidRPr="00097BBC">
        <w:rPr>
          <w:rFonts w:asciiTheme="minorHAnsi" w:hAnsiTheme="minorHAnsi" w:cstheme="minorHAnsi"/>
        </w:rPr>
        <w:t>‘</w:t>
      </w:r>
      <w:r w:rsidRPr="00097BBC">
        <w:rPr>
          <w:rFonts w:asciiTheme="minorHAnsi" w:hAnsiTheme="minorHAnsi" w:cstheme="minorHAnsi"/>
        </w:rPr>
        <w:t>Scotland’s Census 2022: What do the latest statistics tell us about minority ethnic groups in Scotland?</w:t>
      </w:r>
      <w:r w:rsidR="0082055A" w:rsidRPr="00097BBC">
        <w:rPr>
          <w:rFonts w:asciiTheme="minorHAnsi" w:hAnsiTheme="minorHAnsi" w:cstheme="minorHAnsi"/>
        </w:rPr>
        <w:t xml:space="preserve">’, </w:t>
      </w:r>
      <w:r w:rsidR="0082055A" w:rsidRPr="00097BBC">
        <w:rPr>
          <w:rFonts w:asciiTheme="minorHAnsi" w:hAnsiTheme="minorHAnsi" w:cstheme="minorHAnsi"/>
          <w:i/>
          <w:iCs/>
        </w:rPr>
        <w:t>Coalition for Racial Equality and Rights</w:t>
      </w:r>
      <w:r w:rsidR="0082055A" w:rsidRPr="00097BBC">
        <w:rPr>
          <w:rFonts w:asciiTheme="minorHAnsi" w:hAnsiTheme="minorHAnsi" w:cstheme="minorHAnsi"/>
        </w:rPr>
        <w:t>,</w:t>
      </w:r>
      <w:r w:rsidR="0082055A" w:rsidRPr="00097BBC">
        <w:rPr>
          <w:rFonts w:asciiTheme="minorHAnsi" w:hAnsiTheme="minorHAnsi" w:cstheme="minorHAnsi"/>
          <w:i/>
          <w:iCs/>
        </w:rPr>
        <w:t xml:space="preserve"> </w:t>
      </w:r>
      <w:r w:rsidR="0082055A" w:rsidRPr="00097BBC">
        <w:rPr>
          <w:rFonts w:asciiTheme="minorHAnsi" w:hAnsiTheme="minorHAnsi" w:cstheme="minorHAnsi"/>
        </w:rPr>
        <w:t>17</w:t>
      </w:r>
      <w:r w:rsidRPr="00097BBC">
        <w:rPr>
          <w:rFonts w:asciiTheme="minorHAnsi" w:hAnsiTheme="minorHAnsi" w:cstheme="minorHAnsi"/>
        </w:rPr>
        <w:t xml:space="preserve"> June 2024</w:t>
      </w:r>
      <w:r w:rsidR="0082055A" w:rsidRPr="00097BBC">
        <w:rPr>
          <w:rFonts w:asciiTheme="minorHAnsi" w:hAnsiTheme="minorHAnsi" w:cstheme="minorHAnsi"/>
        </w:rPr>
        <w:t xml:space="preserve">, </w:t>
      </w:r>
      <w:hyperlink r:id="rId55" w:anchor=":~:text=Scotland's%20Population:%20An%20overview,Scotland's%20last%20census%20in%202011" w:history="1">
        <w:r w:rsidRPr="00097BBC">
          <w:rPr>
            <w:rStyle w:val="Hyperlink"/>
            <w:rFonts w:asciiTheme="minorHAnsi" w:hAnsiTheme="minorHAnsi" w:cstheme="minorHAnsi"/>
          </w:rPr>
          <w:t>https://www.crer.org.uk/blog/census-2022-bme-population#:~:text=Scotland's%20Population:%20An%20overview,Scotland's%20last%20census%20in%202011</w:t>
        </w:r>
      </w:hyperlink>
      <w:r w:rsidR="0082055A" w:rsidRPr="00643BA0">
        <w:rPr>
          <w:rFonts w:asciiTheme="minorHAnsi" w:hAnsiTheme="minorHAnsi" w:cstheme="minorHAnsi"/>
        </w:rPr>
        <w:t>.</w:t>
      </w:r>
    </w:p>
  </w:footnote>
  <w:footnote w:id="166">
    <w:p w14:paraId="1A1F3CF1" w14:textId="4D59396B" w:rsidR="000A57C9" w:rsidRPr="001548BC" w:rsidRDefault="000A57C9" w:rsidP="00AE3304">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A regression </w:t>
      </w:r>
      <w:r w:rsidR="003732BF" w:rsidRPr="001548BC">
        <w:rPr>
          <w:rFonts w:asciiTheme="minorHAnsi" w:hAnsiTheme="minorHAnsi" w:cstheme="minorHAnsi"/>
        </w:rPr>
        <w:t>analysis</w:t>
      </w:r>
      <w:r w:rsidRPr="001548BC">
        <w:rPr>
          <w:rFonts w:asciiTheme="minorHAnsi" w:hAnsiTheme="minorHAnsi" w:cstheme="minorHAnsi"/>
        </w:rPr>
        <w:t xml:space="preserve"> </w:t>
      </w:r>
      <w:r w:rsidR="003732BF" w:rsidRPr="001548BC">
        <w:rPr>
          <w:rFonts w:asciiTheme="minorHAnsi" w:hAnsiTheme="minorHAnsi" w:cstheme="minorHAnsi"/>
        </w:rPr>
        <w:t xml:space="preserve">is a set of statistical methods used for estimating relationships between a dependant variable and one or more independent variables. </w:t>
      </w:r>
      <w:r w:rsidR="00CA7FCD">
        <w:rPr>
          <w:rFonts w:asciiTheme="minorHAnsi" w:hAnsiTheme="minorHAnsi" w:cstheme="minorHAnsi"/>
        </w:rPr>
        <w:t xml:space="preserve">A P-value </w:t>
      </w:r>
      <w:r w:rsidR="008766F7">
        <w:rPr>
          <w:rFonts w:asciiTheme="minorHAnsi" w:hAnsiTheme="minorHAnsi" w:cstheme="minorHAnsi"/>
        </w:rPr>
        <w:t xml:space="preserve">indicates the probability of one’s result to be the result of chance or </w:t>
      </w:r>
      <w:r w:rsidR="005243C2">
        <w:rPr>
          <w:rFonts w:asciiTheme="minorHAnsi" w:hAnsiTheme="minorHAnsi" w:cstheme="minorHAnsi"/>
        </w:rPr>
        <w:t>directly related to an independent variable. The lower the P-value (</w:t>
      </w:r>
      <w:r w:rsidR="003B3BED">
        <w:rPr>
          <w:rFonts w:asciiTheme="minorHAnsi" w:hAnsiTheme="minorHAnsi" w:cstheme="minorHAnsi"/>
        </w:rPr>
        <w:t xml:space="preserve">0.01 to 0.05) indicates with some confidence that a result is related to the stated variable or set of variables. </w:t>
      </w:r>
      <w:r w:rsidR="00CA532E">
        <w:rPr>
          <w:rFonts w:asciiTheme="minorHAnsi" w:hAnsiTheme="minorHAnsi" w:cstheme="minorHAnsi"/>
        </w:rPr>
        <w:t xml:space="preserve">This disproves the null hypothesis that states that a chosen independent variable has no effect of an observed outcome. </w:t>
      </w:r>
      <w:r w:rsidR="00047035">
        <w:rPr>
          <w:rFonts w:asciiTheme="minorHAnsi" w:hAnsiTheme="minorHAnsi" w:cstheme="minorHAnsi"/>
        </w:rPr>
        <w:t xml:space="preserve">For readers, </w:t>
      </w:r>
      <w:r w:rsidR="00E815B0">
        <w:rPr>
          <w:rFonts w:asciiTheme="minorHAnsi" w:hAnsiTheme="minorHAnsi" w:cstheme="minorHAnsi"/>
        </w:rPr>
        <w:t xml:space="preserve">this will be explained as a variable being significant. </w:t>
      </w:r>
    </w:p>
  </w:footnote>
  <w:footnote w:id="167">
    <w:p w14:paraId="77190918" w14:textId="5F04A1A4" w:rsidR="005708A8" w:rsidRPr="00B343F3" w:rsidRDefault="005708A8">
      <w:pPr>
        <w:pStyle w:val="FootnoteText"/>
        <w:rPr>
          <w:lang w:val="en-US"/>
        </w:rPr>
      </w:pPr>
      <w:r>
        <w:rPr>
          <w:rStyle w:val="FootnoteReference"/>
        </w:rPr>
        <w:footnoteRef/>
      </w:r>
      <w:r>
        <w:t xml:space="preserve"> </w:t>
      </w:r>
      <w:r w:rsidRPr="005708A8">
        <w:t>Franssen</w:t>
      </w:r>
      <w:r>
        <w:t xml:space="preserve">, </w:t>
      </w:r>
      <w:r w:rsidRPr="005708A8">
        <w:rPr>
          <w:i/>
          <w:iCs/>
        </w:rPr>
        <w:t>Unblocking the Pipeline</w:t>
      </w:r>
      <w:r>
        <w:t>.</w:t>
      </w:r>
    </w:p>
  </w:footnote>
  <w:footnote w:id="168">
    <w:p w14:paraId="328CE912" w14:textId="77777777" w:rsidR="00F831B2" w:rsidRPr="00097BBC" w:rsidRDefault="00F831B2" w:rsidP="00F831B2">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Kalwant Bhopal, </w:t>
      </w:r>
      <w:r w:rsidRPr="00097BBC">
        <w:rPr>
          <w:rFonts w:asciiTheme="minorHAnsi" w:hAnsiTheme="minorHAnsi" w:cstheme="minorHAnsi"/>
          <w:i/>
          <w:iCs/>
        </w:rPr>
        <w:t>White Privilege: The Myth of a Post-Racial Society</w:t>
      </w:r>
      <w:r w:rsidRPr="00097BBC">
        <w:rPr>
          <w:rFonts w:asciiTheme="minorHAnsi" w:hAnsiTheme="minorHAnsi" w:cstheme="minorHAnsi"/>
        </w:rPr>
        <w:t xml:space="preserve"> (Bristol: Bristol University Press, 2018), p. 91.</w:t>
      </w:r>
    </w:p>
  </w:footnote>
  <w:footnote w:id="169">
    <w:p w14:paraId="62D62AC8" w14:textId="7FED63AC" w:rsidR="00F831B2" w:rsidRPr="00097BBC" w:rsidRDefault="00F831B2" w:rsidP="00F831B2">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Bhopal</w:t>
      </w:r>
      <w:r>
        <w:rPr>
          <w:rFonts w:asciiTheme="minorHAnsi" w:hAnsiTheme="minorHAnsi" w:cstheme="minorHAnsi"/>
        </w:rPr>
        <w:t xml:space="preserve">, </w:t>
      </w:r>
      <w:r>
        <w:rPr>
          <w:rFonts w:asciiTheme="minorHAnsi" w:hAnsiTheme="minorHAnsi" w:cstheme="minorHAnsi"/>
          <w:i/>
          <w:iCs/>
        </w:rPr>
        <w:t>White Privilege</w:t>
      </w:r>
      <w:r w:rsidRPr="00097BBC">
        <w:rPr>
          <w:rFonts w:asciiTheme="minorHAnsi" w:hAnsiTheme="minorHAnsi" w:cstheme="minorHAnsi"/>
        </w:rPr>
        <w:t>, p. 93.</w:t>
      </w:r>
    </w:p>
  </w:footnote>
  <w:footnote w:id="170">
    <w:p w14:paraId="4D34334A" w14:textId="3F4AEA01" w:rsidR="00F831B2" w:rsidRPr="00097BBC" w:rsidRDefault="00F831B2" w:rsidP="00F831B2">
      <w:pPr>
        <w:pStyle w:val="FootnoteText"/>
        <w:rPr>
          <w:rFonts w:asciiTheme="minorHAnsi" w:hAnsiTheme="minorHAnsi" w:cstheme="minorHAnsi"/>
          <w:i/>
          <w:iCs/>
        </w:rPr>
      </w:pPr>
      <w:r w:rsidRPr="00097BBC">
        <w:rPr>
          <w:rStyle w:val="FootnoteReference"/>
          <w:rFonts w:asciiTheme="minorHAnsi" w:hAnsiTheme="minorHAnsi" w:cstheme="minorHAnsi"/>
        </w:rPr>
        <w:footnoteRef/>
      </w:r>
      <w:r w:rsidRPr="00097BBC">
        <w:rPr>
          <w:rFonts w:asciiTheme="minorHAnsi" w:hAnsiTheme="minorHAnsi" w:cstheme="minorHAnsi"/>
        </w:rPr>
        <w:t xml:space="preserve"> Bonilla-Silva, </w:t>
      </w:r>
      <w:r w:rsidRPr="00097BBC">
        <w:rPr>
          <w:rFonts w:asciiTheme="minorHAnsi" w:hAnsiTheme="minorHAnsi" w:cstheme="minorHAnsi"/>
          <w:i/>
          <w:iCs/>
        </w:rPr>
        <w:t>Racism without Racists</w:t>
      </w:r>
      <w:r w:rsidRPr="00097BBC">
        <w:rPr>
          <w:rFonts w:asciiTheme="minorHAnsi" w:hAnsiTheme="minorHAnsi" w:cstheme="minorHAnsi"/>
        </w:rPr>
        <w:t xml:space="preserve">, </w:t>
      </w:r>
      <w:r>
        <w:rPr>
          <w:rFonts w:asciiTheme="minorHAnsi" w:hAnsiTheme="minorHAnsi" w:cstheme="minorHAnsi"/>
        </w:rPr>
        <w:t xml:space="preserve">p. </w:t>
      </w:r>
      <w:r w:rsidRPr="00097BBC">
        <w:rPr>
          <w:rFonts w:asciiTheme="minorHAnsi" w:hAnsiTheme="minorHAnsi" w:cstheme="minorHAnsi"/>
        </w:rPr>
        <w:t xml:space="preserve">104. </w:t>
      </w:r>
    </w:p>
  </w:footnote>
  <w:footnote w:id="171">
    <w:p w14:paraId="66A088A7" w14:textId="39CD672E" w:rsidR="00F831B2" w:rsidRPr="00097BBC" w:rsidRDefault="00F831B2" w:rsidP="00F831B2">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Leathwood, Maylor</w:t>
      </w:r>
      <w:r>
        <w:rPr>
          <w:rFonts w:asciiTheme="minorHAnsi" w:hAnsiTheme="minorHAnsi" w:cstheme="minorHAnsi"/>
        </w:rPr>
        <w:t xml:space="preserve"> and</w:t>
      </w:r>
      <w:r w:rsidRPr="00097BBC">
        <w:rPr>
          <w:rFonts w:asciiTheme="minorHAnsi" w:hAnsiTheme="minorHAnsi" w:cstheme="minorHAnsi"/>
        </w:rPr>
        <w:t xml:space="preserve"> Moreau</w:t>
      </w:r>
      <w:r w:rsidR="009D3676">
        <w:rPr>
          <w:rFonts w:asciiTheme="minorHAnsi" w:hAnsiTheme="minorHAnsi" w:cstheme="minorHAnsi"/>
        </w:rPr>
        <w:t xml:space="preserve">, </w:t>
      </w:r>
      <w:r w:rsidR="009D3676">
        <w:rPr>
          <w:rFonts w:asciiTheme="minorHAnsi" w:hAnsiTheme="minorHAnsi" w:cstheme="minorHAnsi"/>
          <w:i/>
          <w:iCs/>
        </w:rPr>
        <w:t>The Experience of Black</w:t>
      </w:r>
      <w:r w:rsidRPr="00097BBC">
        <w:rPr>
          <w:rFonts w:asciiTheme="minorHAnsi" w:hAnsiTheme="minorHAnsi" w:cstheme="minorHAnsi"/>
        </w:rPr>
        <w:t>.</w:t>
      </w:r>
    </w:p>
  </w:footnote>
  <w:footnote w:id="172">
    <w:p w14:paraId="37A768A7" w14:textId="3A8763CA" w:rsidR="00F831B2" w:rsidRPr="00097BBC" w:rsidRDefault="00F831B2"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Pr>
          <w:rFonts w:asciiTheme="minorHAnsi" w:hAnsiTheme="minorHAnsi" w:cstheme="minorHAnsi"/>
        </w:rPr>
        <w:t>Campbell</w:t>
      </w:r>
      <w:r w:rsidR="00B54166">
        <w:rPr>
          <w:rFonts w:asciiTheme="minorHAnsi" w:hAnsiTheme="minorHAnsi" w:cstheme="minorHAnsi"/>
        </w:rPr>
        <w:t xml:space="preserve">, </w:t>
      </w:r>
      <w:r w:rsidR="00B54166" w:rsidRPr="00B04460">
        <w:rPr>
          <w:rFonts w:asciiTheme="minorHAnsi" w:hAnsiTheme="minorHAnsi" w:cstheme="minorHAnsi"/>
          <w:i/>
        </w:rPr>
        <w:t>Race and Assessment</w:t>
      </w:r>
      <w:r w:rsidRPr="00097BBC">
        <w:rPr>
          <w:rFonts w:asciiTheme="minorHAnsi" w:hAnsiTheme="minorHAnsi" w:cstheme="minorHAnsi"/>
        </w:rPr>
        <w:t>.</w:t>
      </w:r>
    </w:p>
  </w:footnote>
  <w:footnote w:id="173">
    <w:p w14:paraId="2C669D6B" w14:textId="7ED57945" w:rsidR="00F831B2" w:rsidRPr="00097BBC" w:rsidRDefault="00F831B2"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Pr>
          <w:rFonts w:asciiTheme="minorHAnsi" w:hAnsiTheme="minorHAnsi" w:cstheme="minorHAnsi"/>
        </w:rPr>
        <w:t xml:space="preserve"> </w:t>
      </w:r>
      <w:r w:rsidRPr="00097BBC">
        <w:rPr>
          <w:rFonts w:asciiTheme="minorHAnsi" w:hAnsiTheme="minorHAnsi" w:cstheme="minorHAnsi"/>
        </w:rPr>
        <w:t>Leathwood, Maylor</w:t>
      </w:r>
      <w:r>
        <w:rPr>
          <w:rFonts w:asciiTheme="minorHAnsi" w:hAnsiTheme="minorHAnsi" w:cstheme="minorHAnsi"/>
        </w:rPr>
        <w:t xml:space="preserve"> and</w:t>
      </w:r>
      <w:r w:rsidRPr="00097BBC">
        <w:rPr>
          <w:rFonts w:asciiTheme="minorHAnsi" w:hAnsiTheme="minorHAnsi" w:cstheme="minorHAnsi"/>
        </w:rPr>
        <w:t xml:space="preserve"> Moreau</w:t>
      </w:r>
      <w:r w:rsidR="00B54166">
        <w:rPr>
          <w:rFonts w:asciiTheme="minorHAnsi" w:hAnsiTheme="minorHAnsi" w:cstheme="minorHAnsi"/>
        </w:rPr>
        <w:t xml:space="preserve">, </w:t>
      </w:r>
      <w:r w:rsidR="00B54166">
        <w:rPr>
          <w:rFonts w:asciiTheme="minorHAnsi" w:hAnsiTheme="minorHAnsi" w:cstheme="minorHAnsi"/>
          <w:i/>
          <w:iCs/>
        </w:rPr>
        <w:t>The Experience of Black</w:t>
      </w:r>
      <w:r w:rsidRPr="00097BBC">
        <w:rPr>
          <w:rFonts w:asciiTheme="minorHAnsi" w:hAnsiTheme="minorHAnsi" w:cstheme="minorHAnsi"/>
        </w:rPr>
        <w:t xml:space="preserve">, </w:t>
      </w:r>
      <w:r>
        <w:rPr>
          <w:rFonts w:asciiTheme="minorHAnsi" w:hAnsiTheme="minorHAnsi" w:cstheme="minorHAnsi"/>
        </w:rPr>
        <w:t xml:space="preserve">p. </w:t>
      </w:r>
      <w:r w:rsidRPr="00097BBC">
        <w:rPr>
          <w:rFonts w:asciiTheme="minorHAnsi" w:hAnsiTheme="minorHAnsi" w:cstheme="minorHAnsi"/>
        </w:rPr>
        <w:t>42.</w:t>
      </w:r>
    </w:p>
  </w:footnote>
  <w:footnote w:id="174">
    <w:p w14:paraId="77B1E809" w14:textId="77777777" w:rsidR="00F831B2" w:rsidRPr="00097BBC" w:rsidRDefault="00F831B2"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J. Luke Wood, </w:t>
      </w:r>
      <w:r>
        <w:rPr>
          <w:rFonts w:asciiTheme="minorHAnsi" w:hAnsiTheme="minorHAnsi" w:cstheme="minorHAnsi"/>
        </w:rPr>
        <w:t>‘</w:t>
      </w:r>
      <w:r w:rsidRPr="00097BBC">
        <w:rPr>
          <w:rFonts w:asciiTheme="minorHAnsi" w:hAnsiTheme="minorHAnsi" w:cstheme="minorHAnsi"/>
        </w:rPr>
        <w:t>Ethical Dilemmas in African American Faculty Representation</w:t>
      </w:r>
      <w:r>
        <w:rPr>
          <w:rFonts w:asciiTheme="minorHAnsi" w:hAnsiTheme="minorHAnsi" w:cstheme="minorHAnsi"/>
        </w:rPr>
        <w:t>’,</w:t>
      </w:r>
      <w:r w:rsidRPr="00097BBC">
        <w:rPr>
          <w:rFonts w:asciiTheme="minorHAnsi" w:hAnsiTheme="minorHAnsi" w:cstheme="minorHAnsi"/>
        </w:rPr>
        <w:t xml:space="preserve"> </w:t>
      </w:r>
      <w:r w:rsidRPr="00097BBC">
        <w:rPr>
          <w:rFonts w:asciiTheme="minorHAnsi" w:hAnsiTheme="minorHAnsi" w:cstheme="minorHAnsi"/>
          <w:i/>
          <w:iCs/>
        </w:rPr>
        <w:t>JEP: eJournal of Education Policy</w:t>
      </w:r>
      <w:r>
        <w:rPr>
          <w:rFonts w:asciiTheme="minorHAnsi" w:hAnsiTheme="minorHAnsi" w:cstheme="minorHAnsi"/>
        </w:rPr>
        <w:t>,</w:t>
      </w:r>
      <w:r w:rsidRPr="00097BBC">
        <w:rPr>
          <w:rFonts w:asciiTheme="minorHAnsi" w:hAnsiTheme="minorHAnsi" w:cstheme="minorHAnsi"/>
        </w:rPr>
        <w:t xml:space="preserve"> 2</w:t>
      </w:r>
      <w:r>
        <w:rPr>
          <w:rFonts w:asciiTheme="minorHAnsi" w:hAnsiTheme="minorHAnsi" w:cstheme="minorHAnsi"/>
        </w:rPr>
        <w:t xml:space="preserve"> </w:t>
      </w:r>
      <w:r w:rsidRPr="00097BBC">
        <w:rPr>
          <w:rFonts w:asciiTheme="minorHAnsi" w:hAnsiTheme="minorHAnsi" w:cstheme="minorHAnsi"/>
        </w:rPr>
        <w:t>(2008)</w:t>
      </w:r>
      <w:r>
        <w:rPr>
          <w:rFonts w:asciiTheme="minorHAnsi" w:hAnsiTheme="minorHAnsi" w:cstheme="minorHAnsi"/>
        </w:rPr>
        <w:t>, pp.</w:t>
      </w:r>
      <w:r w:rsidRPr="00097BBC">
        <w:rPr>
          <w:rFonts w:asciiTheme="minorHAnsi" w:hAnsiTheme="minorHAnsi" w:cstheme="minorHAnsi"/>
        </w:rPr>
        <w:t xml:space="preserve"> 1</w:t>
      </w:r>
      <w:r w:rsidRPr="00B04460">
        <w:rPr>
          <w:rFonts w:asciiTheme="minorHAnsi" w:hAnsiTheme="minorHAnsi" w:cstheme="minorHAnsi"/>
        </w:rPr>
        <w:t>–</w:t>
      </w:r>
      <w:r w:rsidRPr="00097BBC">
        <w:rPr>
          <w:rFonts w:asciiTheme="minorHAnsi" w:hAnsiTheme="minorHAnsi" w:cstheme="minorHAnsi"/>
        </w:rPr>
        <w:t xml:space="preserve">9. </w:t>
      </w:r>
    </w:p>
  </w:footnote>
  <w:footnote w:id="175">
    <w:p w14:paraId="7F1F9D1F" w14:textId="77777777" w:rsidR="00F831B2" w:rsidRPr="00097BBC" w:rsidRDefault="00F831B2"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William A. Smith, </w:t>
      </w:r>
      <w:r>
        <w:rPr>
          <w:rFonts w:asciiTheme="minorHAnsi" w:hAnsiTheme="minorHAnsi" w:cstheme="minorHAnsi"/>
        </w:rPr>
        <w:t>‘</w:t>
      </w:r>
      <w:r w:rsidRPr="00097BBC">
        <w:rPr>
          <w:rFonts w:asciiTheme="minorHAnsi" w:hAnsiTheme="minorHAnsi" w:cstheme="minorHAnsi"/>
        </w:rPr>
        <w:t>Black Faculty Coping with Racial Battle Fatigue</w:t>
      </w:r>
      <w:r>
        <w:rPr>
          <w:rFonts w:asciiTheme="minorHAnsi" w:hAnsiTheme="minorHAnsi" w:cstheme="minorHAnsi"/>
        </w:rPr>
        <w:t>’,</w:t>
      </w:r>
      <w:r w:rsidRPr="00097BBC">
        <w:rPr>
          <w:rFonts w:asciiTheme="minorHAnsi" w:hAnsiTheme="minorHAnsi" w:cstheme="minorHAnsi"/>
        </w:rPr>
        <w:t xml:space="preserve"> in </w:t>
      </w:r>
      <w:r w:rsidRPr="00097BBC">
        <w:rPr>
          <w:rFonts w:asciiTheme="minorHAnsi" w:hAnsiTheme="minorHAnsi" w:cstheme="minorHAnsi"/>
          <w:i/>
          <w:iCs/>
        </w:rPr>
        <w:t>A Long Way to Go: Conversations about Race by African American Faculty and Graduate Students</w:t>
      </w:r>
      <w:r w:rsidRPr="00097BBC">
        <w:rPr>
          <w:rFonts w:asciiTheme="minorHAnsi" w:hAnsiTheme="minorHAnsi" w:cstheme="minorHAnsi"/>
        </w:rPr>
        <w:t xml:space="preserve">, ed. </w:t>
      </w:r>
      <w:r>
        <w:rPr>
          <w:rFonts w:asciiTheme="minorHAnsi" w:hAnsiTheme="minorHAnsi" w:cstheme="minorHAnsi"/>
        </w:rPr>
        <w:t xml:space="preserve">by </w:t>
      </w:r>
      <w:r w:rsidRPr="00097BBC">
        <w:rPr>
          <w:rFonts w:asciiTheme="minorHAnsi" w:hAnsiTheme="minorHAnsi" w:cstheme="minorHAnsi"/>
        </w:rPr>
        <w:t xml:space="preserve">Darrell Cleveland (New York: Peter Lang, 2004), </w:t>
      </w:r>
      <w:r>
        <w:rPr>
          <w:rFonts w:asciiTheme="minorHAnsi" w:hAnsiTheme="minorHAnsi" w:cstheme="minorHAnsi"/>
        </w:rPr>
        <w:t xml:space="preserve">pp. </w:t>
      </w:r>
      <w:r w:rsidRPr="00097BBC">
        <w:rPr>
          <w:rFonts w:asciiTheme="minorHAnsi" w:hAnsiTheme="minorHAnsi" w:cstheme="minorHAnsi"/>
        </w:rPr>
        <w:t>171</w:t>
      </w:r>
      <w:r w:rsidRPr="00B04460">
        <w:rPr>
          <w:rFonts w:asciiTheme="minorHAnsi" w:hAnsiTheme="minorHAnsi" w:cstheme="minorHAnsi"/>
        </w:rPr>
        <w:t>–</w:t>
      </w:r>
      <w:r w:rsidRPr="00097BBC">
        <w:rPr>
          <w:rFonts w:asciiTheme="minorHAnsi" w:hAnsiTheme="minorHAnsi" w:cstheme="minorHAnsi"/>
        </w:rPr>
        <w:t xml:space="preserve">90. </w:t>
      </w:r>
    </w:p>
  </w:footnote>
  <w:footnote w:id="176">
    <w:p w14:paraId="50EAE47C" w14:textId="4339B030" w:rsidR="005455FE" w:rsidRPr="005455FE" w:rsidRDefault="005455FE" w:rsidP="00AE3304">
      <w:pPr>
        <w:pStyle w:val="FootnoteText"/>
        <w:jc w:val="left"/>
        <w:rPr>
          <w:rFonts w:asciiTheme="minorHAnsi" w:hAnsiTheme="minorHAnsi" w:cstheme="minorHAnsi"/>
        </w:rPr>
      </w:pPr>
      <w:r w:rsidRPr="005455FE">
        <w:rPr>
          <w:rStyle w:val="FootnoteReference"/>
          <w:rFonts w:asciiTheme="minorHAnsi" w:hAnsiTheme="minorHAnsi" w:cstheme="minorHAnsi"/>
        </w:rPr>
        <w:footnoteRef/>
      </w:r>
      <w:r w:rsidRPr="005455FE">
        <w:rPr>
          <w:rFonts w:asciiTheme="minorHAnsi" w:hAnsiTheme="minorHAnsi" w:cstheme="minorHAnsi"/>
        </w:rPr>
        <w:t xml:space="preserve"> </w:t>
      </w:r>
      <w:r w:rsidR="00A8580B">
        <w:rPr>
          <w:rFonts w:asciiTheme="minorHAnsi" w:hAnsiTheme="minorHAnsi" w:cstheme="minorHAnsi"/>
        </w:rPr>
        <w:t xml:space="preserve">Jeni </w:t>
      </w:r>
      <w:r w:rsidRPr="005455FE">
        <w:rPr>
          <w:rFonts w:asciiTheme="minorHAnsi" w:hAnsiTheme="minorHAnsi" w:cstheme="minorHAnsi"/>
          <w:color w:val="262626"/>
        </w:rPr>
        <w:t>Hart</w:t>
      </w:r>
      <w:r w:rsidR="00A8580B">
        <w:rPr>
          <w:rFonts w:asciiTheme="minorHAnsi" w:hAnsiTheme="minorHAnsi" w:cstheme="minorHAnsi"/>
          <w:color w:val="262626"/>
        </w:rPr>
        <w:t xml:space="preserve"> and Jennifer </w:t>
      </w:r>
      <w:r w:rsidRPr="005455FE">
        <w:rPr>
          <w:rFonts w:asciiTheme="minorHAnsi" w:hAnsiTheme="minorHAnsi" w:cstheme="minorHAnsi"/>
          <w:color w:val="262626"/>
        </w:rPr>
        <w:t>Fellabaum,</w:t>
      </w:r>
      <w:r w:rsidR="00A8580B">
        <w:rPr>
          <w:rFonts w:asciiTheme="minorHAnsi" w:hAnsiTheme="minorHAnsi" w:cstheme="minorHAnsi"/>
          <w:color w:val="262626"/>
        </w:rPr>
        <w:t xml:space="preserve"> ‘</w:t>
      </w:r>
      <w:r w:rsidRPr="005455FE">
        <w:rPr>
          <w:rFonts w:asciiTheme="minorHAnsi" w:hAnsiTheme="minorHAnsi" w:cstheme="minorHAnsi"/>
          <w:color w:val="262626"/>
        </w:rPr>
        <w:t xml:space="preserve">Analyzing </w:t>
      </w:r>
      <w:r w:rsidR="00A8580B">
        <w:rPr>
          <w:rFonts w:asciiTheme="minorHAnsi" w:hAnsiTheme="minorHAnsi" w:cstheme="minorHAnsi"/>
          <w:color w:val="262626"/>
        </w:rPr>
        <w:t>C</w:t>
      </w:r>
      <w:r w:rsidRPr="005455FE">
        <w:rPr>
          <w:rFonts w:asciiTheme="minorHAnsi" w:hAnsiTheme="minorHAnsi" w:cstheme="minorHAnsi"/>
          <w:color w:val="262626"/>
        </w:rPr>
        <w:t xml:space="preserve">ampus </w:t>
      </w:r>
      <w:r w:rsidR="00A8580B">
        <w:rPr>
          <w:rFonts w:asciiTheme="minorHAnsi" w:hAnsiTheme="minorHAnsi" w:cstheme="minorHAnsi"/>
          <w:color w:val="262626"/>
        </w:rPr>
        <w:t>C</w:t>
      </w:r>
      <w:r w:rsidRPr="005455FE">
        <w:rPr>
          <w:rFonts w:asciiTheme="minorHAnsi" w:hAnsiTheme="minorHAnsi" w:cstheme="minorHAnsi"/>
          <w:color w:val="262626"/>
        </w:rPr>
        <w:t xml:space="preserve">limate </w:t>
      </w:r>
      <w:r w:rsidR="00A8580B">
        <w:rPr>
          <w:rFonts w:asciiTheme="minorHAnsi" w:hAnsiTheme="minorHAnsi" w:cstheme="minorHAnsi"/>
          <w:color w:val="262626"/>
        </w:rPr>
        <w:t>S</w:t>
      </w:r>
      <w:r w:rsidRPr="005455FE">
        <w:rPr>
          <w:rFonts w:asciiTheme="minorHAnsi" w:hAnsiTheme="minorHAnsi" w:cstheme="minorHAnsi"/>
          <w:color w:val="262626"/>
        </w:rPr>
        <w:t xml:space="preserve">tudies: Seeking to </w:t>
      </w:r>
      <w:r w:rsidR="00A8580B">
        <w:rPr>
          <w:rFonts w:asciiTheme="minorHAnsi" w:hAnsiTheme="minorHAnsi" w:cstheme="minorHAnsi"/>
          <w:color w:val="262626"/>
        </w:rPr>
        <w:t>D</w:t>
      </w:r>
      <w:r w:rsidRPr="005455FE">
        <w:rPr>
          <w:rFonts w:asciiTheme="minorHAnsi" w:hAnsiTheme="minorHAnsi" w:cstheme="minorHAnsi"/>
          <w:color w:val="262626"/>
        </w:rPr>
        <w:t xml:space="preserve">efine and </w:t>
      </w:r>
      <w:r w:rsidR="00A8580B">
        <w:rPr>
          <w:rFonts w:asciiTheme="minorHAnsi" w:hAnsiTheme="minorHAnsi" w:cstheme="minorHAnsi"/>
          <w:color w:val="262626"/>
        </w:rPr>
        <w:t>U</w:t>
      </w:r>
      <w:r w:rsidRPr="005455FE">
        <w:rPr>
          <w:rFonts w:asciiTheme="minorHAnsi" w:hAnsiTheme="minorHAnsi" w:cstheme="minorHAnsi"/>
          <w:color w:val="262626"/>
        </w:rPr>
        <w:t>nderstand</w:t>
      </w:r>
      <w:r w:rsidR="00A8580B">
        <w:rPr>
          <w:rFonts w:asciiTheme="minorHAnsi" w:hAnsiTheme="minorHAnsi" w:cstheme="minorHAnsi"/>
          <w:color w:val="262626"/>
        </w:rPr>
        <w:t>’,</w:t>
      </w:r>
      <w:r w:rsidRPr="005455FE">
        <w:rPr>
          <w:rFonts w:asciiTheme="minorHAnsi" w:hAnsiTheme="minorHAnsi" w:cstheme="minorHAnsi"/>
          <w:color w:val="262626"/>
        </w:rPr>
        <w:t> </w:t>
      </w:r>
      <w:r w:rsidRPr="005455FE">
        <w:rPr>
          <w:rFonts w:asciiTheme="minorHAnsi" w:hAnsiTheme="minorHAnsi" w:cstheme="minorHAnsi"/>
          <w:i/>
          <w:iCs/>
          <w:color w:val="262626"/>
        </w:rPr>
        <w:t>Journal of Diversity in Higher Education</w:t>
      </w:r>
      <w:r w:rsidRPr="00A8580B">
        <w:rPr>
          <w:rFonts w:asciiTheme="minorHAnsi" w:hAnsiTheme="minorHAnsi" w:cstheme="minorHAnsi"/>
          <w:color w:val="262626"/>
        </w:rPr>
        <w:t>, 1</w:t>
      </w:r>
      <w:r w:rsidR="00A8580B">
        <w:rPr>
          <w:rFonts w:asciiTheme="minorHAnsi" w:hAnsiTheme="minorHAnsi" w:cstheme="minorHAnsi"/>
          <w:color w:val="262626"/>
        </w:rPr>
        <w:t xml:space="preserve"> </w:t>
      </w:r>
      <w:r w:rsidRPr="00A8580B">
        <w:rPr>
          <w:rFonts w:asciiTheme="minorHAnsi" w:hAnsiTheme="minorHAnsi" w:cstheme="minorHAnsi"/>
          <w:color w:val="262626"/>
        </w:rPr>
        <w:t>(</w:t>
      </w:r>
      <w:r w:rsidR="003C2CF2">
        <w:rPr>
          <w:rFonts w:asciiTheme="minorHAnsi" w:hAnsiTheme="minorHAnsi" w:cstheme="minorHAnsi"/>
          <w:color w:val="262626"/>
        </w:rPr>
        <w:t>2008</w:t>
      </w:r>
      <w:r w:rsidRPr="005455FE">
        <w:rPr>
          <w:rFonts w:asciiTheme="minorHAnsi" w:hAnsiTheme="minorHAnsi" w:cstheme="minorHAnsi"/>
          <w:color w:val="262626"/>
        </w:rPr>
        <w:t>), 222–34.</w:t>
      </w:r>
    </w:p>
  </w:footnote>
  <w:footnote w:id="177">
    <w:p w14:paraId="61A39680" w14:textId="3CE54025" w:rsidR="00073226" w:rsidRPr="00073226" w:rsidRDefault="00073226" w:rsidP="00AE3304">
      <w:pPr>
        <w:pStyle w:val="FootnoteText"/>
        <w:jc w:val="left"/>
        <w:rPr>
          <w:rFonts w:asciiTheme="minorHAnsi" w:hAnsiTheme="minorHAnsi" w:cstheme="minorHAnsi"/>
        </w:rPr>
      </w:pPr>
      <w:r w:rsidRPr="00073226">
        <w:rPr>
          <w:rStyle w:val="FootnoteReference"/>
          <w:rFonts w:asciiTheme="minorHAnsi" w:hAnsiTheme="minorHAnsi" w:cstheme="minorHAnsi"/>
        </w:rPr>
        <w:footnoteRef/>
      </w:r>
      <w:r w:rsidRPr="00073226">
        <w:rPr>
          <w:rFonts w:asciiTheme="minorHAnsi" w:hAnsiTheme="minorHAnsi" w:cstheme="minorHAnsi"/>
        </w:rPr>
        <w:t xml:space="preserve"> </w:t>
      </w:r>
      <w:r w:rsidRPr="00073226">
        <w:rPr>
          <w:rFonts w:asciiTheme="minorHAnsi" w:hAnsiTheme="minorHAnsi" w:cstheme="minorHAnsi"/>
          <w:color w:val="000000"/>
        </w:rPr>
        <w:t xml:space="preserve">Susan R. Rankin and Robert Dean Reason, ‘Differing Perceptions: How Students of Color and White Students Perceive Campus Climate for Underrepresented Groups’, </w:t>
      </w:r>
      <w:r w:rsidRPr="00073226">
        <w:rPr>
          <w:rFonts w:asciiTheme="minorHAnsi" w:hAnsiTheme="minorHAnsi" w:cstheme="minorHAnsi"/>
          <w:i/>
          <w:iCs/>
          <w:color w:val="000000"/>
        </w:rPr>
        <w:t>Journal of College Student Development</w:t>
      </w:r>
      <w:r w:rsidRPr="00073226">
        <w:rPr>
          <w:rFonts w:asciiTheme="minorHAnsi" w:hAnsiTheme="minorHAnsi" w:cstheme="minorHAnsi"/>
          <w:color w:val="000000"/>
        </w:rPr>
        <w:t>, 46 (2005), 43</w:t>
      </w:r>
      <w:r w:rsidRPr="00073226">
        <w:rPr>
          <w:rFonts w:asciiTheme="minorHAnsi" w:hAnsiTheme="minorHAnsi" w:cstheme="minorHAnsi"/>
          <w:color w:val="262626"/>
        </w:rPr>
        <w:t>–</w:t>
      </w:r>
      <w:r w:rsidRPr="00073226">
        <w:rPr>
          <w:rFonts w:asciiTheme="minorHAnsi" w:hAnsiTheme="minorHAnsi" w:cstheme="minorHAnsi"/>
          <w:color w:val="000000"/>
        </w:rPr>
        <w:t xml:space="preserve">61. Arien B. Telles and Tania D. Mitchell, ‘Much Discussion, Not Much Change: Perceptions of Campus Climate Continue to Differ Along Racial Lines’, in </w:t>
      </w:r>
      <w:r w:rsidRPr="00073226">
        <w:rPr>
          <w:rFonts w:asciiTheme="minorHAnsi" w:hAnsiTheme="minorHAnsi" w:cstheme="minorHAnsi"/>
          <w:i/>
          <w:iCs/>
          <w:color w:val="000000"/>
        </w:rPr>
        <w:t>Evaluating Campus Climate at US Research Universities</w:t>
      </w:r>
      <w:r w:rsidRPr="00073226">
        <w:rPr>
          <w:rFonts w:asciiTheme="minorHAnsi" w:hAnsiTheme="minorHAnsi" w:cstheme="minorHAnsi"/>
          <w:color w:val="000000"/>
        </w:rPr>
        <w:t xml:space="preserve">, ed. by </w:t>
      </w:r>
      <w:r w:rsidR="00C05379">
        <w:rPr>
          <w:rFonts w:asciiTheme="minorHAnsi" w:hAnsiTheme="minorHAnsi" w:cstheme="minorHAnsi"/>
          <w:color w:val="000000"/>
        </w:rPr>
        <w:t xml:space="preserve">Krista M. </w:t>
      </w:r>
      <w:r w:rsidRPr="00073226">
        <w:rPr>
          <w:rFonts w:asciiTheme="minorHAnsi" w:hAnsiTheme="minorHAnsi" w:cstheme="minorHAnsi"/>
          <w:color w:val="000000"/>
        </w:rPr>
        <w:t>Soria (New York: Palgrave Macmillan, 2018), 395</w:t>
      </w:r>
      <w:r w:rsidRPr="00073226">
        <w:rPr>
          <w:rFonts w:asciiTheme="minorHAnsi" w:hAnsiTheme="minorHAnsi" w:cstheme="minorHAnsi"/>
          <w:color w:val="262626"/>
        </w:rPr>
        <w:t>–</w:t>
      </w:r>
      <w:r w:rsidRPr="00073226">
        <w:rPr>
          <w:rFonts w:asciiTheme="minorHAnsi" w:hAnsiTheme="minorHAnsi" w:cstheme="minorHAnsi"/>
          <w:color w:val="000000"/>
        </w:rPr>
        <w:t>408.</w:t>
      </w:r>
    </w:p>
  </w:footnote>
  <w:footnote w:id="178">
    <w:p w14:paraId="22047623" w14:textId="13816662" w:rsidR="009846CC" w:rsidRPr="00097BBC" w:rsidRDefault="009846C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Claire </w:t>
      </w:r>
      <w:r w:rsidRPr="00097BBC">
        <w:rPr>
          <w:rFonts w:asciiTheme="minorHAnsi" w:hAnsiTheme="minorHAnsi" w:cstheme="minorHAnsi"/>
          <w:shd w:val="clear" w:color="auto" w:fill="FFFFFF"/>
        </w:rPr>
        <w:t xml:space="preserve">Alexander and William Shankley, ‘Ethnic Inequalities in the State Education System in England’, in </w:t>
      </w:r>
      <w:r w:rsidRPr="00097BBC">
        <w:rPr>
          <w:rStyle w:val="Emphasis"/>
          <w:rFonts w:asciiTheme="minorHAnsi" w:hAnsiTheme="minorHAnsi" w:cstheme="minorHAnsi"/>
          <w:shd w:val="clear" w:color="auto" w:fill="FFFFFF"/>
        </w:rPr>
        <w:t>Ethnicity, Race and Inequality in the UK: State of the Nation</w:t>
      </w:r>
      <w:r w:rsidRPr="00097BBC">
        <w:rPr>
          <w:rStyle w:val="Emphasis"/>
          <w:rFonts w:asciiTheme="minorHAnsi" w:hAnsiTheme="minorHAnsi" w:cstheme="minorHAnsi"/>
          <w:i w:val="0"/>
          <w:iCs w:val="0"/>
          <w:shd w:val="clear" w:color="auto" w:fill="FFFFFF"/>
        </w:rPr>
        <w:t>, ed. by</w:t>
      </w:r>
      <w:r w:rsidRPr="00097BBC">
        <w:rPr>
          <w:rStyle w:val="Emphasis"/>
          <w:rFonts w:asciiTheme="minorHAnsi" w:hAnsiTheme="minorHAnsi" w:cstheme="minorHAnsi"/>
          <w:shd w:val="clear" w:color="auto" w:fill="FFFFFF"/>
        </w:rPr>
        <w:t> </w:t>
      </w:r>
      <w:r w:rsidRPr="00097BBC">
        <w:rPr>
          <w:rFonts w:asciiTheme="minorHAnsi" w:hAnsiTheme="minorHAnsi" w:cstheme="minorHAnsi"/>
          <w:shd w:val="clear" w:color="auto" w:fill="FFFFFF"/>
        </w:rPr>
        <w:t>Bridget Byrne, Claire Alexander, Omar Khan et al.</w:t>
      </w:r>
      <w:r w:rsidRPr="00097BBC">
        <w:rPr>
          <w:rStyle w:val="Emphasis"/>
          <w:rFonts w:asciiTheme="minorHAnsi" w:hAnsiTheme="minorHAnsi" w:cstheme="minorHAnsi"/>
          <w:i w:val="0"/>
          <w:iCs w:val="0"/>
          <w:shd w:val="clear" w:color="auto" w:fill="FFFFFF"/>
        </w:rPr>
        <w:t xml:space="preserve"> (Bristol: </w:t>
      </w:r>
      <w:r w:rsidRPr="00097BBC">
        <w:rPr>
          <w:rFonts w:asciiTheme="minorHAnsi" w:hAnsiTheme="minorHAnsi" w:cstheme="minorHAnsi"/>
          <w:shd w:val="clear" w:color="auto" w:fill="FFFFFF"/>
        </w:rPr>
        <w:t xml:space="preserve">Bristol University Press, 2020), pp. 93–126; </w:t>
      </w:r>
      <w:r w:rsidRPr="00097BBC">
        <w:rPr>
          <w:rFonts w:asciiTheme="minorHAnsi" w:hAnsiTheme="minorHAnsi" w:cstheme="minorHAnsi"/>
        </w:rPr>
        <w:t xml:space="preserve">Jason Arday and Heidi Safia Mirza (editors), </w:t>
      </w:r>
      <w:r w:rsidRPr="00097BBC">
        <w:rPr>
          <w:rFonts w:asciiTheme="minorHAnsi" w:hAnsiTheme="minorHAnsi" w:cstheme="minorHAnsi"/>
          <w:i/>
          <w:iCs/>
        </w:rPr>
        <w:t xml:space="preserve">Dismantling Race in Higher Education </w:t>
      </w:r>
      <w:r w:rsidRPr="00097BBC">
        <w:rPr>
          <w:rFonts w:asciiTheme="minorHAnsi" w:hAnsiTheme="minorHAnsi" w:cstheme="minorHAnsi"/>
        </w:rPr>
        <w:t xml:space="preserve">(Cham: Palgrave Macmillan, 2018); Equality and Human Rights Commission, </w:t>
      </w:r>
      <w:r w:rsidRPr="00097BBC">
        <w:rPr>
          <w:rFonts w:asciiTheme="minorHAnsi" w:hAnsiTheme="minorHAnsi" w:cstheme="minorHAnsi"/>
          <w:i/>
          <w:iCs/>
        </w:rPr>
        <w:t>Racial Harassment in British Universities: Qualitative Research Findings</w:t>
      </w:r>
      <w:r w:rsidRPr="00097BBC">
        <w:rPr>
          <w:rFonts w:asciiTheme="minorHAnsi" w:hAnsiTheme="minorHAnsi" w:cstheme="minorHAnsi"/>
        </w:rPr>
        <w:t>,</w:t>
      </w:r>
      <w:r w:rsidRPr="00097BBC">
        <w:rPr>
          <w:rFonts w:asciiTheme="minorHAnsi" w:hAnsiTheme="minorHAnsi" w:cstheme="minorHAnsi"/>
          <w:i/>
          <w:iCs/>
        </w:rPr>
        <w:t xml:space="preserve"> </w:t>
      </w:r>
      <w:r w:rsidRPr="00097BBC">
        <w:rPr>
          <w:rFonts w:asciiTheme="minorHAnsi" w:hAnsiTheme="minorHAnsi" w:cstheme="minorHAnsi"/>
        </w:rPr>
        <w:t xml:space="preserve">October 2019, https://www.equalityhumanrights.com/sites/default/files/racial-harassment-in-british-universities-qualitative-research-findings.pdf; Equality and Human Rights Commission, </w:t>
      </w:r>
      <w:r w:rsidRPr="00097BBC">
        <w:rPr>
          <w:rFonts w:asciiTheme="minorHAnsi" w:hAnsiTheme="minorHAnsi" w:cstheme="minorHAnsi"/>
          <w:i/>
          <w:iCs/>
        </w:rPr>
        <w:t>Racial Harassment Inquiry: Survey of Universities</w:t>
      </w:r>
      <w:r w:rsidRPr="00097BBC">
        <w:rPr>
          <w:rFonts w:asciiTheme="minorHAnsi" w:hAnsiTheme="minorHAnsi" w:cstheme="minorHAnsi"/>
        </w:rPr>
        <w:t xml:space="preserve">, October 2019, https://www.equalityhumanrights.com/sites/default/files/racial-harassment-inquiry-survey-of-university-students.pdf; Equality and Human Rights Commission, </w:t>
      </w:r>
      <w:r w:rsidRPr="00097BBC">
        <w:rPr>
          <w:rFonts w:asciiTheme="minorHAnsi" w:hAnsiTheme="minorHAnsi" w:cstheme="minorHAnsi"/>
          <w:i/>
          <w:iCs/>
        </w:rPr>
        <w:t>Tackling Racial Harassment: Universities Challenged</w:t>
      </w:r>
      <w:r w:rsidRPr="00097BBC">
        <w:rPr>
          <w:rFonts w:asciiTheme="minorHAnsi" w:hAnsiTheme="minorHAnsi" w:cstheme="minorHAnsi"/>
        </w:rPr>
        <w:t xml:space="preserve">, October 2019, https://www.equalityhumanrights.com/sites/default/files/tackling-racial-harassment-universities-challenged.pdf; </w:t>
      </w:r>
      <w:r w:rsidRPr="00097BBC">
        <w:rPr>
          <w:rFonts w:asciiTheme="minorHAnsi" w:hAnsiTheme="minorHAnsi" w:cstheme="minorHAnsi"/>
          <w:shd w:val="clear" w:color="auto" w:fill="FFFFFF"/>
        </w:rPr>
        <w:t xml:space="preserve">Universities UK, </w:t>
      </w:r>
      <w:r w:rsidRPr="00097BBC">
        <w:rPr>
          <w:rFonts w:asciiTheme="minorHAnsi" w:hAnsiTheme="minorHAnsi" w:cstheme="minorHAnsi"/>
          <w:i/>
          <w:iCs/>
          <w:shd w:val="clear" w:color="auto" w:fill="FFFFFF"/>
        </w:rPr>
        <w:t>Tackling Racial Harassment in Higher Education</w:t>
      </w:r>
      <w:r w:rsidRPr="00097BBC">
        <w:rPr>
          <w:rFonts w:asciiTheme="minorHAnsi" w:hAnsiTheme="minorHAnsi" w:cstheme="minorHAnsi"/>
          <w:shd w:val="clear" w:color="auto" w:fill="FFFFFF"/>
        </w:rPr>
        <w:t>, 1 October 2024, https://www.universitiesuk.ac.uk/what-we-do/policy-and-research/publications/tackling-racial-harassment-higher.</w:t>
      </w:r>
    </w:p>
  </w:footnote>
  <w:footnote w:id="179">
    <w:p w14:paraId="2034D7D6" w14:textId="77777777" w:rsidR="009846CC" w:rsidRPr="00B04460" w:rsidRDefault="009846CC" w:rsidP="00AE3304">
      <w:pPr>
        <w:pStyle w:val="FootnoteText"/>
        <w:jc w:val="left"/>
        <w:rPr>
          <w:rFonts w:asciiTheme="minorHAnsi" w:hAnsiTheme="minorHAnsi" w:cstheme="minorHAnsi"/>
        </w:rPr>
      </w:pPr>
      <w:r w:rsidRPr="00B04460">
        <w:rPr>
          <w:rStyle w:val="FootnoteReference"/>
          <w:rFonts w:asciiTheme="minorHAnsi" w:hAnsiTheme="minorHAnsi" w:cstheme="minorHAnsi"/>
        </w:rPr>
        <w:footnoteRef/>
      </w:r>
      <w:r w:rsidRPr="00B04460">
        <w:rPr>
          <w:rFonts w:asciiTheme="minorHAnsi" w:hAnsiTheme="minorHAnsi" w:cstheme="minorHAnsi"/>
        </w:rPr>
        <w:t xml:space="preserve"> </w:t>
      </w:r>
      <w:r w:rsidRPr="00097BBC">
        <w:rPr>
          <w:rFonts w:asciiTheme="minorHAnsi" w:eastAsia="Calibri" w:hAnsiTheme="minorHAnsi" w:cstheme="minorHAnsi"/>
          <w:color w:val="000000" w:themeColor="text1"/>
          <w:lang w:eastAsia="en-GB"/>
        </w:rPr>
        <w:t xml:space="preserve">This work was conducted by research fellow, </w:t>
      </w:r>
      <w:r>
        <w:rPr>
          <w:rFonts w:asciiTheme="minorHAnsi" w:eastAsia="Calibri" w:hAnsiTheme="minorHAnsi" w:cstheme="minorHAnsi"/>
          <w:color w:val="000000" w:themeColor="text1"/>
          <w:lang w:eastAsia="en-GB"/>
        </w:rPr>
        <w:t>Yarong Xie.</w:t>
      </w:r>
    </w:p>
  </w:footnote>
  <w:footnote w:id="180">
    <w:p w14:paraId="2648EC49" w14:textId="77777777" w:rsidR="009846CC" w:rsidRPr="00097BBC" w:rsidRDefault="009846C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Diane </w:t>
      </w:r>
      <w:r w:rsidRPr="00097BBC">
        <w:rPr>
          <w:rFonts w:asciiTheme="minorHAnsi" w:hAnsiTheme="minorHAnsi" w:cstheme="minorHAnsi"/>
          <w:shd w:val="clear" w:color="auto" w:fill="FFFFFF"/>
        </w:rPr>
        <w:t xml:space="preserve">Reay, ‘Race and Elite Universities in the UK’, in </w:t>
      </w:r>
      <w:r w:rsidRPr="00097BBC">
        <w:rPr>
          <w:rFonts w:asciiTheme="minorHAnsi" w:hAnsiTheme="minorHAnsi" w:cstheme="minorHAnsi"/>
        </w:rPr>
        <w:t xml:space="preserve">Jason Arday and Heidi Safia Mirza (editors), </w:t>
      </w:r>
      <w:r w:rsidRPr="00097BBC">
        <w:rPr>
          <w:rFonts w:asciiTheme="minorHAnsi" w:hAnsiTheme="minorHAnsi" w:cstheme="minorHAnsi"/>
          <w:i/>
          <w:iCs/>
        </w:rPr>
        <w:t xml:space="preserve">Dismantling Race in Higher Education </w:t>
      </w:r>
      <w:r w:rsidRPr="00097BBC">
        <w:rPr>
          <w:rFonts w:asciiTheme="minorHAnsi" w:hAnsiTheme="minorHAnsi" w:cstheme="minorHAnsi"/>
        </w:rPr>
        <w:t xml:space="preserve">(Cham: Palgrave Macmillan, 2018), </w:t>
      </w:r>
      <w:r w:rsidRPr="00097BBC">
        <w:rPr>
          <w:rFonts w:asciiTheme="minorHAnsi" w:hAnsiTheme="minorHAnsi" w:cstheme="minorHAnsi"/>
          <w:shd w:val="clear" w:color="auto" w:fill="FFFFFF"/>
        </w:rPr>
        <w:t>pp. 47–66.</w:t>
      </w:r>
    </w:p>
  </w:footnote>
  <w:footnote w:id="181">
    <w:p w14:paraId="569D6131" w14:textId="77777777" w:rsidR="009846CC" w:rsidRPr="00097BBC" w:rsidRDefault="009846C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hAnsiTheme="minorHAnsi" w:cstheme="minorHAnsi"/>
          <w:shd w:val="clear" w:color="auto" w:fill="FFFFFF"/>
        </w:rPr>
        <w:t>Reay, ‘Race and Elite Universities’ (</w:t>
      </w:r>
      <w:r w:rsidRPr="00097BBC">
        <w:rPr>
          <w:rFonts w:asciiTheme="minorHAnsi" w:hAnsiTheme="minorHAnsi" w:cstheme="minorHAnsi"/>
        </w:rPr>
        <w:t>2018)</w:t>
      </w:r>
      <w:r w:rsidRPr="00097BBC">
        <w:rPr>
          <w:rFonts w:asciiTheme="minorHAnsi" w:hAnsiTheme="minorHAnsi" w:cstheme="minorHAnsi"/>
          <w:shd w:val="clear" w:color="auto" w:fill="FFFFFF"/>
        </w:rPr>
        <w:t xml:space="preserve">; </w:t>
      </w:r>
      <w:r w:rsidRPr="00097BBC">
        <w:rPr>
          <w:rFonts w:asciiTheme="minorHAnsi" w:hAnsiTheme="minorHAnsi" w:cstheme="minorHAnsi"/>
        </w:rPr>
        <w:t xml:space="preserve">Lateesha </w:t>
      </w:r>
      <w:r w:rsidRPr="00097BBC">
        <w:rPr>
          <w:rStyle w:val="author"/>
          <w:rFonts w:asciiTheme="minorHAnsi" w:hAnsiTheme="minorHAnsi" w:cstheme="minorHAnsi"/>
          <w:shd w:val="clear" w:color="auto" w:fill="FFFFFF"/>
        </w:rPr>
        <w:t>Osbourne, Julie Barnett and Leda Blackwood,</w:t>
      </w:r>
      <w:r w:rsidRPr="00097BBC">
        <w:rPr>
          <w:rFonts w:asciiTheme="minorHAnsi" w:hAnsiTheme="minorHAnsi" w:cstheme="minorHAnsi"/>
          <w:shd w:val="clear" w:color="auto" w:fill="FFFFFF"/>
        </w:rPr>
        <w:t xml:space="preserve"> ‘</w:t>
      </w:r>
      <w:r w:rsidRPr="00097BBC">
        <w:rPr>
          <w:rStyle w:val="articletitle"/>
          <w:rFonts w:asciiTheme="minorHAnsi" w:hAnsiTheme="minorHAnsi" w:cstheme="minorHAnsi"/>
          <w:shd w:val="clear" w:color="auto" w:fill="FFFFFF"/>
        </w:rPr>
        <w:t>Black Students' Experiences of “Acceptable” Racism at a UK University’</w:t>
      </w:r>
      <w:r w:rsidRPr="00097BBC">
        <w:rPr>
          <w:rFonts w:asciiTheme="minorHAnsi" w:hAnsiTheme="minorHAnsi" w:cstheme="minorHAnsi"/>
          <w:shd w:val="clear" w:color="auto" w:fill="FFFFFF"/>
        </w:rPr>
        <w:t xml:space="preserve">, </w:t>
      </w:r>
      <w:r w:rsidRPr="00097BBC">
        <w:rPr>
          <w:rFonts w:asciiTheme="minorHAnsi" w:hAnsiTheme="minorHAnsi" w:cstheme="minorHAnsi"/>
          <w:i/>
          <w:iCs/>
          <w:shd w:val="clear" w:color="auto" w:fill="FFFFFF"/>
        </w:rPr>
        <w:t>Journal of Community &amp; Applied Social Psychology</w:t>
      </w:r>
      <w:r w:rsidRPr="00097BBC">
        <w:rPr>
          <w:rFonts w:asciiTheme="minorHAnsi" w:hAnsiTheme="minorHAnsi" w:cstheme="minorHAnsi"/>
          <w:shd w:val="clear" w:color="auto" w:fill="FFFFFF"/>
        </w:rPr>
        <w:t xml:space="preserve">, </w:t>
      </w:r>
      <w:r w:rsidRPr="00097BBC">
        <w:rPr>
          <w:rStyle w:val="vol"/>
          <w:rFonts w:asciiTheme="minorHAnsi" w:hAnsiTheme="minorHAnsi" w:cstheme="minorHAnsi"/>
          <w:shd w:val="clear" w:color="auto" w:fill="FFFFFF"/>
        </w:rPr>
        <w:t>33</w:t>
      </w:r>
      <w:r w:rsidRPr="00097BBC">
        <w:rPr>
          <w:rFonts w:asciiTheme="minorHAnsi" w:hAnsiTheme="minorHAnsi" w:cstheme="minorHAnsi"/>
          <w:shd w:val="clear" w:color="auto" w:fill="FFFFFF"/>
        </w:rPr>
        <w:t xml:space="preserve"> (2023), </w:t>
      </w:r>
      <w:r w:rsidRPr="00097BBC">
        <w:rPr>
          <w:rStyle w:val="pagefirst"/>
          <w:rFonts w:asciiTheme="minorHAnsi" w:hAnsiTheme="minorHAnsi" w:cstheme="minorHAnsi"/>
          <w:shd w:val="clear" w:color="auto" w:fill="FFFFFF"/>
        </w:rPr>
        <w:t>43</w:t>
      </w:r>
      <w:r w:rsidRPr="00097BBC">
        <w:rPr>
          <w:rFonts w:asciiTheme="minorHAnsi" w:hAnsiTheme="minorHAnsi" w:cstheme="minorHAnsi"/>
          <w:shd w:val="clear" w:color="auto" w:fill="FFFFFF"/>
        </w:rPr>
        <w:t>–</w:t>
      </w:r>
      <w:r w:rsidRPr="00097BBC">
        <w:rPr>
          <w:rStyle w:val="pagelast"/>
          <w:rFonts w:asciiTheme="minorHAnsi" w:hAnsiTheme="minorHAnsi" w:cstheme="minorHAnsi"/>
          <w:shd w:val="clear" w:color="auto" w:fill="FFFFFF"/>
        </w:rPr>
        <w:t>55</w:t>
      </w:r>
      <w:r w:rsidRPr="00097BBC">
        <w:rPr>
          <w:rFonts w:asciiTheme="minorHAnsi" w:hAnsiTheme="minorHAnsi" w:cstheme="minorHAnsi"/>
          <w:shd w:val="clear" w:color="auto" w:fill="FFFFFF"/>
        </w:rPr>
        <w:t>.</w:t>
      </w:r>
      <w:r w:rsidRPr="00097BBC">
        <w:rPr>
          <w:rFonts w:asciiTheme="minorHAnsi" w:hAnsiTheme="minorHAnsi" w:cstheme="minorHAnsi"/>
        </w:rPr>
        <w:t xml:space="preserve"> </w:t>
      </w:r>
    </w:p>
  </w:footnote>
  <w:footnote w:id="182">
    <w:p w14:paraId="6EA6893D" w14:textId="77777777" w:rsidR="009846CC" w:rsidRPr="00097BBC" w:rsidRDefault="009846C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hAnsiTheme="minorHAnsi" w:cstheme="minorHAnsi"/>
          <w:shd w:val="clear" w:color="auto" w:fill="FFFFFF"/>
        </w:rPr>
        <w:t xml:space="preserve">Universities UK. </w:t>
      </w:r>
      <w:r w:rsidRPr="00097BBC">
        <w:rPr>
          <w:rFonts w:asciiTheme="minorHAnsi" w:hAnsiTheme="minorHAnsi" w:cstheme="minorHAnsi"/>
          <w:i/>
          <w:iCs/>
          <w:shd w:val="clear" w:color="auto" w:fill="FFFFFF"/>
        </w:rPr>
        <w:t>Tackling Racial Harassment</w:t>
      </w:r>
      <w:r w:rsidRPr="00097BBC">
        <w:rPr>
          <w:rFonts w:asciiTheme="minorHAnsi" w:hAnsiTheme="minorHAnsi" w:cstheme="minorHAnsi"/>
          <w:shd w:val="clear" w:color="auto" w:fill="FFFFFF"/>
        </w:rPr>
        <w:t xml:space="preserve"> (2024).</w:t>
      </w:r>
    </w:p>
  </w:footnote>
  <w:footnote w:id="183">
    <w:p w14:paraId="05EBCD58" w14:textId="77777777" w:rsidR="009846CC" w:rsidRPr="00097BBC" w:rsidRDefault="009846C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Azeezat </w:t>
      </w:r>
      <w:r w:rsidRPr="00097BBC">
        <w:rPr>
          <w:rFonts w:asciiTheme="minorHAnsi" w:hAnsiTheme="minorHAnsi" w:cstheme="minorHAnsi"/>
          <w:shd w:val="clear" w:color="auto" w:fill="FFFFFF"/>
        </w:rPr>
        <w:t xml:space="preserve">Johnson and Remi Joseph-Salisbury, ‘“Are You Supposed to Be in Here?” Racial Microaggressions and Knowledge Production in Higher Education’, in </w:t>
      </w:r>
      <w:r w:rsidRPr="00097BBC">
        <w:rPr>
          <w:rFonts w:asciiTheme="minorHAnsi" w:hAnsiTheme="minorHAnsi" w:cstheme="minorHAnsi"/>
        </w:rPr>
        <w:t xml:space="preserve">Jason Arday and Heidi Safia Mirza (editors), </w:t>
      </w:r>
      <w:r w:rsidRPr="00097BBC">
        <w:rPr>
          <w:rFonts w:asciiTheme="minorHAnsi" w:hAnsiTheme="minorHAnsi" w:cstheme="minorHAnsi"/>
          <w:i/>
          <w:iCs/>
        </w:rPr>
        <w:t xml:space="preserve">Dismantling Race in Higher Education </w:t>
      </w:r>
      <w:r w:rsidRPr="00097BBC">
        <w:rPr>
          <w:rFonts w:asciiTheme="minorHAnsi" w:hAnsiTheme="minorHAnsi" w:cstheme="minorHAnsi"/>
        </w:rPr>
        <w:t xml:space="preserve">(Cham: Palgrave Macmillan, 2018), </w:t>
      </w:r>
      <w:r w:rsidRPr="00097BBC">
        <w:rPr>
          <w:rFonts w:asciiTheme="minorHAnsi" w:hAnsiTheme="minorHAnsi" w:cstheme="minorHAnsi"/>
          <w:shd w:val="clear" w:color="auto" w:fill="FFFFFF"/>
        </w:rPr>
        <w:t>pp. 143–60.</w:t>
      </w:r>
    </w:p>
  </w:footnote>
  <w:footnote w:id="184">
    <w:p w14:paraId="423156E6" w14:textId="7B193D5A" w:rsidR="009846CC" w:rsidRPr="00097BBC" w:rsidRDefault="009846C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hAnsiTheme="minorHAnsi" w:cstheme="minorHAnsi"/>
          <w:shd w:val="clear" w:color="auto" w:fill="FFFFFF"/>
        </w:rPr>
        <w:t>Johnson</w:t>
      </w:r>
      <w:r w:rsidRPr="00097BBC">
        <w:rPr>
          <w:rFonts w:asciiTheme="minorHAnsi" w:hAnsiTheme="minorHAnsi" w:cstheme="minorHAnsi"/>
        </w:rPr>
        <w:t xml:space="preserve"> and </w:t>
      </w:r>
      <w:r w:rsidRPr="00097BBC">
        <w:rPr>
          <w:rFonts w:asciiTheme="minorHAnsi" w:hAnsiTheme="minorHAnsi" w:cstheme="minorHAnsi"/>
          <w:shd w:val="clear" w:color="auto" w:fill="FFFFFF"/>
        </w:rPr>
        <w:t>Joseph-Salisbury,</w:t>
      </w:r>
      <w:r w:rsidRPr="00097BBC">
        <w:rPr>
          <w:rFonts w:asciiTheme="minorHAnsi" w:hAnsiTheme="minorHAnsi" w:cstheme="minorHAnsi"/>
        </w:rPr>
        <w:t xml:space="preserve"> ‘</w:t>
      </w:r>
      <w:r w:rsidRPr="00097BBC">
        <w:rPr>
          <w:rFonts w:asciiTheme="minorHAnsi" w:hAnsiTheme="minorHAnsi" w:cstheme="minorHAnsi"/>
          <w:shd w:val="clear" w:color="auto" w:fill="FFFFFF"/>
        </w:rPr>
        <w:t xml:space="preserve">Are You Supposed’, </w:t>
      </w:r>
      <w:r w:rsidRPr="00097BBC">
        <w:rPr>
          <w:rFonts w:asciiTheme="minorHAnsi" w:hAnsiTheme="minorHAnsi" w:cstheme="minorHAnsi"/>
        </w:rPr>
        <w:t>p.</w:t>
      </w:r>
      <w:r w:rsidR="001E6F31">
        <w:rPr>
          <w:rFonts w:asciiTheme="minorHAnsi" w:hAnsiTheme="minorHAnsi" w:cstheme="minorHAnsi"/>
        </w:rPr>
        <w:t xml:space="preserve"> </w:t>
      </w:r>
      <w:r w:rsidRPr="00097BBC">
        <w:rPr>
          <w:rFonts w:asciiTheme="minorHAnsi" w:hAnsiTheme="minorHAnsi" w:cstheme="minorHAnsi"/>
        </w:rPr>
        <w:t>151.</w:t>
      </w:r>
    </w:p>
  </w:footnote>
  <w:footnote w:id="185">
    <w:p w14:paraId="79DF9CA7" w14:textId="64F6AD32" w:rsidR="009846CC" w:rsidRPr="00097BBC" w:rsidRDefault="009846CC" w:rsidP="00AE3304">
      <w:pPr>
        <w:rPr>
          <w:rFonts w:cstheme="minorHAnsi"/>
          <w:sz w:val="20"/>
          <w:szCs w:val="20"/>
          <w:shd w:val="clear" w:color="auto" w:fill="FFFFFF"/>
        </w:rPr>
      </w:pPr>
      <w:r w:rsidRPr="00097BBC">
        <w:rPr>
          <w:rStyle w:val="FootnoteReference"/>
          <w:rFonts w:cstheme="minorHAnsi"/>
          <w:sz w:val="20"/>
          <w:szCs w:val="20"/>
        </w:rPr>
        <w:footnoteRef/>
      </w:r>
      <w:r w:rsidRPr="00097BBC">
        <w:rPr>
          <w:rFonts w:cstheme="minorHAnsi"/>
          <w:sz w:val="20"/>
          <w:szCs w:val="20"/>
        </w:rPr>
        <w:t xml:space="preserve"> Gary </w:t>
      </w:r>
      <w:r w:rsidRPr="00097BBC">
        <w:rPr>
          <w:rFonts w:cstheme="minorHAnsi"/>
          <w:sz w:val="20"/>
          <w:szCs w:val="20"/>
          <w:shd w:val="clear" w:color="auto" w:fill="FFFFFF"/>
        </w:rPr>
        <w:t xml:space="preserve">Loke, ‘So What Next? A Policy Response’, in </w:t>
      </w:r>
      <w:r w:rsidRPr="00097BBC">
        <w:rPr>
          <w:rFonts w:cstheme="minorHAnsi"/>
          <w:sz w:val="20"/>
          <w:szCs w:val="20"/>
        </w:rPr>
        <w:t xml:space="preserve">Jason Arday and Heidi Safia Mirza (editors), </w:t>
      </w:r>
      <w:r w:rsidRPr="00097BBC">
        <w:rPr>
          <w:rFonts w:cstheme="minorHAnsi"/>
          <w:i/>
          <w:iCs/>
          <w:sz w:val="20"/>
          <w:szCs w:val="20"/>
        </w:rPr>
        <w:t xml:space="preserve">Dismantling Race in Higher Education </w:t>
      </w:r>
      <w:r w:rsidRPr="00097BBC">
        <w:rPr>
          <w:rFonts w:cstheme="minorHAnsi"/>
          <w:sz w:val="20"/>
          <w:szCs w:val="20"/>
        </w:rPr>
        <w:t>(Cham: Palgrave Macmillan, 2018), pp. 383</w:t>
      </w:r>
      <w:r w:rsidRPr="00097BBC">
        <w:rPr>
          <w:rFonts w:cstheme="minorHAnsi"/>
          <w:sz w:val="20"/>
          <w:szCs w:val="20"/>
          <w:shd w:val="clear" w:color="auto" w:fill="FFFFFF"/>
        </w:rPr>
        <w:t>–90 (</w:t>
      </w:r>
      <w:r w:rsidRPr="00097BBC">
        <w:rPr>
          <w:rFonts w:cstheme="minorHAnsi"/>
          <w:sz w:val="20"/>
          <w:szCs w:val="20"/>
        </w:rPr>
        <w:t>p.</w:t>
      </w:r>
      <w:r w:rsidR="001E6F31">
        <w:rPr>
          <w:rFonts w:cstheme="minorHAnsi"/>
          <w:sz w:val="20"/>
          <w:szCs w:val="20"/>
        </w:rPr>
        <w:t xml:space="preserve"> </w:t>
      </w:r>
      <w:r w:rsidRPr="00097BBC">
        <w:rPr>
          <w:rFonts w:cstheme="minorHAnsi"/>
          <w:sz w:val="20"/>
          <w:szCs w:val="20"/>
        </w:rPr>
        <w:t>19)</w:t>
      </w:r>
      <w:r w:rsidRPr="00097BBC">
        <w:rPr>
          <w:rFonts w:cstheme="minorHAnsi"/>
          <w:sz w:val="20"/>
          <w:szCs w:val="20"/>
          <w:shd w:val="clear" w:color="auto" w:fill="FFFFFF"/>
        </w:rPr>
        <w:t>.</w:t>
      </w:r>
    </w:p>
  </w:footnote>
  <w:footnote w:id="186">
    <w:p w14:paraId="1289B07A" w14:textId="416C35FA" w:rsidR="009846CC" w:rsidRPr="00097BBC" w:rsidRDefault="009846C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Loke, ‘So What Next?’; Heidi Safia </w:t>
      </w:r>
      <w:r w:rsidRPr="00097BBC">
        <w:rPr>
          <w:rFonts w:asciiTheme="minorHAnsi" w:hAnsiTheme="minorHAnsi" w:cstheme="minorHAnsi"/>
          <w:shd w:val="clear" w:color="auto" w:fill="FFFFFF"/>
        </w:rPr>
        <w:t xml:space="preserve">Mirza, ‘Racism in Higher Education: “What Then, Can Be Done?”’, in </w:t>
      </w:r>
      <w:r w:rsidRPr="00097BBC">
        <w:rPr>
          <w:rFonts w:asciiTheme="minorHAnsi" w:hAnsiTheme="minorHAnsi" w:cstheme="minorHAnsi"/>
        </w:rPr>
        <w:t xml:space="preserve">Jason Arday and Heidi Safia Mirza (editors), </w:t>
      </w:r>
      <w:r w:rsidRPr="00097BBC">
        <w:rPr>
          <w:rFonts w:asciiTheme="minorHAnsi" w:hAnsiTheme="minorHAnsi" w:cstheme="minorHAnsi"/>
          <w:i/>
          <w:iCs/>
        </w:rPr>
        <w:t xml:space="preserve">Dismantling Race in Higher Education </w:t>
      </w:r>
      <w:r w:rsidRPr="00097BBC">
        <w:rPr>
          <w:rFonts w:asciiTheme="minorHAnsi" w:hAnsiTheme="minorHAnsi" w:cstheme="minorHAnsi"/>
        </w:rPr>
        <w:t>(Cham: Palgrave Macmillan, 2018), pp. 3</w:t>
      </w:r>
      <w:r w:rsidRPr="00097BBC">
        <w:rPr>
          <w:rFonts w:asciiTheme="minorHAnsi" w:hAnsiTheme="minorHAnsi" w:cstheme="minorHAnsi"/>
          <w:shd w:val="clear" w:color="auto" w:fill="FFFFFF"/>
        </w:rPr>
        <w:t xml:space="preserve">–23; </w:t>
      </w:r>
      <w:r w:rsidRPr="00097BBC">
        <w:rPr>
          <w:rFonts w:asciiTheme="minorHAnsi" w:hAnsiTheme="minorHAnsi" w:cstheme="minorHAnsi"/>
        </w:rPr>
        <w:t xml:space="preserve">Kalwant </w:t>
      </w:r>
      <w:r w:rsidRPr="00097BBC">
        <w:rPr>
          <w:rFonts w:asciiTheme="minorHAnsi" w:hAnsiTheme="minorHAnsi" w:cstheme="minorHAnsi"/>
          <w:shd w:val="clear" w:color="auto" w:fill="FFFFFF"/>
        </w:rPr>
        <w:t>Bhopal, ‘Academics of Colour in Elite Universities in the UK and the USA: The “Unspoken System of Exclusion”’, </w:t>
      </w:r>
      <w:r w:rsidRPr="00097BBC">
        <w:rPr>
          <w:rFonts w:asciiTheme="minorHAnsi" w:hAnsiTheme="minorHAnsi" w:cstheme="minorHAnsi"/>
          <w:i/>
          <w:iCs/>
          <w:shd w:val="clear" w:color="auto" w:fill="FFFFFF"/>
        </w:rPr>
        <w:t>Studies in Higher Education</w:t>
      </w:r>
      <w:r w:rsidRPr="00097BBC">
        <w:rPr>
          <w:rFonts w:asciiTheme="minorHAnsi" w:hAnsiTheme="minorHAnsi" w:cstheme="minorHAnsi"/>
          <w:shd w:val="clear" w:color="auto" w:fill="FFFFFF"/>
        </w:rPr>
        <w:t xml:space="preserve">, 47 (2022), 2127–37; </w:t>
      </w:r>
      <w:r w:rsidRPr="00097BBC">
        <w:rPr>
          <w:rStyle w:val="author"/>
          <w:rFonts w:asciiTheme="minorHAnsi" w:hAnsiTheme="minorHAnsi" w:cstheme="minorHAnsi"/>
          <w:shd w:val="clear" w:color="auto" w:fill="FFFFFF"/>
        </w:rPr>
        <w:t>Osbourne, Barnett and</w:t>
      </w:r>
      <w:r w:rsidRPr="00097BBC">
        <w:rPr>
          <w:rFonts w:asciiTheme="minorHAnsi" w:hAnsiTheme="minorHAnsi" w:cstheme="minorHAnsi"/>
          <w:shd w:val="clear" w:color="auto" w:fill="FFFFFF"/>
        </w:rPr>
        <w:t> </w:t>
      </w:r>
      <w:r w:rsidRPr="00097BBC">
        <w:rPr>
          <w:rStyle w:val="author"/>
          <w:rFonts w:asciiTheme="minorHAnsi" w:hAnsiTheme="minorHAnsi" w:cstheme="minorHAnsi"/>
          <w:shd w:val="clear" w:color="auto" w:fill="FFFFFF"/>
        </w:rPr>
        <w:t>Blackwood, ‘Black Students’ Experiences’</w:t>
      </w:r>
      <w:r w:rsidRPr="00097BBC">
        <w:rPr>
          <w:rFonts w:asciiTheme="minorHAnsi" w:hAnsiTheme="minorHAnsi" w:cstheme="minorHAnsi"/>
          <w:shd w:val="clear" w:color="auto" w:fill="FFFFFF"/>
        </w:rPr>
        <w:t xml:space="preserve">; </w:t>
      </w:r>
      <w:r w:rsidRPr="00097BBC">
        <w:rPr>
          <w:rFonts w:asciiTheme="minorHAnsi" w:hAnsiTheme="minorHAnsi" w:cstheme="minorHAnsi"/>
        </w:rPr>
        <w:t xml:space="preserve">Billy </w:t>
      </w:r>
      <w:r w:rsidRPr="00097BBC">
        <w:rPr>
          <w:rFonts w:asciiTheme="minorHAnsi" w:hAnsiTheme="minorHAnsi" w:cstheme="minorHAnsi"/>
          <w:shd w:val="clear" w:color="auto" w:fill="FFFFFF"/>
        </w:rPr>
        <w:t xml:space="preserve">Wong, Reham Elmorally, Meggie Copsey-Blake et al., ‘Is Race Still Relevant? Student Perceptions and Experiences of Racism in Higher Education’, </w:t>
      </w:r>
      <w:r w:rsidRPr="00097BBC">
        <w:rPr>
          <w:rFonts w:asciiTheme="minorHAnsi" w:hAnsiTheme="minorHAnsi" w:cstheme="minorHAnsi"/>
          <w:i/>
          <w:iCs/>
          <w:shd w:val="clear" w:color="auto" w:fill="FFFFFF"/>
        </w:rPr>
        <w:t>Cambridge Journal of Education</w:t>
      </w:r>
      <w:r w:rsidRPr="00097BBC">
        <w:rPr>
          <w:rFonts w:asciiTheme="minorHAnsi" w:hAnsiTheme="minorHAnsi" w:cstheme="minorHAnsi"/>
          <w:shd w:val="clear" w:color="auto" w:fill="FFFFFF"/>
        </w:rPr>
        <w:t>, 51 (2021), 359–75.</w:t>
      </w:r>
    </w:p>
  </w:footnote>
  <w:footnote w:id="187">
    <w:p w14:paraId="4743EAE6" w14:textId="1D50FA8A" w:rsidR="009846CC" w:rsidRPr="00097BBC" w:rsidRDefault="009846C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hAnsiTheme="minorHAnsi" w:cstheme="minorHAnsi"/>
          <w:shd w:val="clear" w:color="auto" w:fill="FFFFFF"/>
        </w:rPr>
        <w:t>Wong, Elmorally, Copsey-Blake et al., ‘Is Race Still Relevant?’.</w:t>
      </w:r>
    </w:p>
  </w:footnote>
  <w:footnote w:id="188">
    <w:p w14:paraId="13974456" w14:textId="77777777" w:rsidR="009846CC" w:rsidRPr="00097BBC" w:rsidRDefault="009846C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Hind </w:t>
      </w:r>
      <w:r w:rsidRPr="00097BBC">
        <w:rPr>
          <w:rFonts w:asciiTheme="minorHAnsi" w:hAnsiTheme="minorHAnsi" w:cstheme="minorHAnsi"/>
          <w:shd w:val="clear" w:color="auto" w:fill="FFFFFF"/>
        </w:rPr>
        <w:t xml:space="preserve">Elhinnawy, ‘Decolonising the Curriculum: Students’ Perspectives in Criminology’, </w:t>
      </w:r>
      <w:r w:rsidRPr="00097BBC">
        <w:rPr>
          <w:rFonts w:asciiTheme="minorHAnsi" w:hAnsiTheme="minorHAnsi" w:cstheme="minorHAnsi"/>
          <w:i/>
          <w:iCs/>
          <w:shd w:val="clear" w:color="auto" w:fill="FFFFFF"/>
        </w:rPr>
        <w:t>Race Ethnicity and Education</w:t>
      </w:r>
      <w:r w:rsidRPr="00097BBC">
        <w:rPr>
          <w:rFonts w:asciiTheme="minorHAnsi" w:hAnsiTheme="minorHAnsi" w:cstheme="minorHAnsi"/>
          <w:shd w:val="clear" w:color="auto" w:fill="FFFFFF"/>
        </w:rPr>
        <w:t xml:space="preserve">, 26 (2023), 663–79; </w:t>
      </w:r>
      <w:r w:rsidRPr="00097BBC">
        <w:rPr>
          <w:rFonts w:asciiTheme="minorHAnsi" w:hAnsiTheme="minorHAnsi" w:cstheme="minorHAnsi"/>
        </w:rPr>
        <w:t xml:space="preserve">Shaminder </w:t>
      </w:r>
      <w:r w:rsidRPr="00097BBC">
        <w:rPr>
          <w:rFonts w:asciiTheme="minorHAnsi" w:hAnsiTheme="minorHAnsi" w:cstheme="minorHAnsi"/>
          <w:shd w:val="clear" w:color="auto" w:fill="FFFFFF"/>
        </w:rPr>
        <w:t xml:space="preserve">Takhar, ‘The Student Voice: Decolonising the Curriculum’, </w:t>
      </w:r>
      <w:r w:rsidRPr="00097BBC">
        <w:rPr>
          <w:rFonts w:asciiTheme="minorHAnsi" w:hAnsiTheme="minorHAnsi" w:cstheme="minorHAnsi"/>
          <w:i/>
          <w:iCs/>
          <w:shd w:val="clear" w:color="auto" w:fill="FFFFFF"/>
        </w:rPr>
        <w:t>Equity in Education &amp; Society</w:t>
      </w:r>
      <w:r w:rsidRPr="00097BBC">
        <w:rPr>
          <w:rFonts w:asciiTheme="minorHAnsi" w:hAnsiTheme="minorHAnsi" w:cstheme="minorHAnsi"/>
          <w:shd w:val="clear" w:color="auto" w:fill="FFFFFF"/>
        </w:rPr>
        <w:t xml:space="preserve">, 3 (2024), 114-29; </w:t>
      </w:r>
      <w:r w:rsidRPr="00097BBC">
        <w:rPr>
          <w:rFonts w:asciiTheme="minorHAnsi" w:hAnsiTheme="minorHAnsi" w:cstheme="minorHAnsi"/>
        </w:rPr>
        <w:t xml:space="preserve">Nancy </w:t>
      </w:r>
      <w:r w:rsidRPr="00097BBC">
        <w:rPr>
          <w:rFonts w:asciiTheme="minorHAnsi" w:hAnsiTheme="minorHAnsi" w:cstheme="minorHAnsi"/>
          <w:shd w:val="clear" w:color="auto" w:fill="FFFFFF"/>
        </w:rPr>
        <w:t xml:space="preserve">Tamimi, Hala Khalawi, Mariama A. Jallow et al., ‘Towards Decolonising Higher Education: A Case Study from a UK University’, </w:t>
      </w:r>
      <w:r w:rsidRPr="00097BBC">
        <w:rPr>
          <w:rFonts w:asciiTheme="minorHAnsi" w:hAnsiTheme="minorHAnsi" w:cstheme="minorHAnsi"/>
          <w:i/>
          <w:iCs/>
          <w:shd w:val="clear" w:color="auto" w:fill="FFFFFF"/>
        </w:rPr>
        <w:t>High Education</w:t>
      </w:r>
      <w:r w:rsidRPr="00097BBC">
        <w:rPr>
          <w:rFonts w:asciiTheme="minorHAnsi" w:hAnsiTheme="minorHAnsi" w:cstheme="minorHAnsi"/>
          <w:shd w:val="clear" w:color="auto" w:fill="FFFFFF"/>
        </w:rPr>
        <w:t>, 88 (2024), 815–37.</w:t>
      </w:r>
    </w:p>
  </w:footnote>
  <w:footnote w:id="189">
    <w:p w14:paraId="2D25555C" w14:textId="77777777" w:rsidR="009846CC" w:rsidRPr="00097BBC" w:rsidRDefault="009846C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Farzana </w:t>
      </w:r>
      <w:r w:rsidRPr="00097BBC">
        <w:rPr>
          <w:rFonts w:asciiTheme="minorHAnsi" w:hAnsiTheme="minorHAnsi" w:cstheme="minorHAnsi"/>
          <w:shd w:val="clear" w:color="auto" w:fill="FFFFFF"/>
        </w:rPr>
        <w:t xml:space="preserve">Shain, Ümit Kemal Yıldız, Veronica Poku, ‘From Silence to “Strategic Advancement”: Institutional Responses to “Decolonising” in Higher Education in England, </w:t>
      </w:r>
      <w:r w:rsidRPr="00097BBC">
        <w:rPr>
          <w:rFonts w:asciiTheme="minorHAnsi" w:hAnsiTheme="minorHAnsi" w:cstheme="minorHAnsi"/>
          <w:i/>
          <w:iCs/>
          <w:shd w:val="clear" w:color="auto" w:fill="FFFFFF"/>
        </w:rPr>
        <w:t>Teaching in Higher Education</w:t>
      </w:r>
      <w:r w:rsidRPr="00097BBC">
        <w:rPr>
          <w:rFonts w:asciiTheme="minorHAnsi" w:hAnsiTheme="minorHAnsi" w:cstheme="minorHAnsi"/>
          <w:shd w:val="clear" w:color="auto" w:fill="FFFFFF"/>
        </w:rPr>
        <w:t>, 26 (2021), 920–36.</w:t>
      </w:r>
    </w:p>
  </w:footnote>
  <w:footnote w:id="190">
    <w:p w14:paraId="3110EB74" w14:textId="28676BD0" w:rsidR="00773F7C" w:rsidRPr="00097BBC" w:rsidRDefault="00773F7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Application Reference Number: 270-2223/4</w:t>
      </w:r>
      <w:r w:rsidR="008622AF" w:rsidRPr="00097BBC">
        <w:rPr>
          <w:rFonts w:asciiTheme="minorHAnsi" w:hAnsiTheme="minorHAnsi" w:cstheme="minorHAnsi"/>
        </w:rPr>
        <w:t>.</w:t>
      </w:r>
    </w:p>
  </w:footnote>
  <w:footnote w:id="191">
    <w:p w14:paraId="7C55C780" w14:textId="2681BF6C" w:rsidR="00773F7C" w:rsidRPr="00097BBC" w:rsidRDefault="00773F7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191B91" w:rsidRPr="00097BBC">
        <w:rPr>
          <w:rFonts w:asciiTheme="minorHAnsi" w:hAnsiTheme="minorHAnsi" w:cstheme="minorHAnsi"/>
        </w:rPr>
        <w:t>Helen A. Neville, Roderick L. Lilly, Georgia Duran et al., ‘Construction and Initial Validation of the Color-Blind Racial Attitudes Scale (CoBRAS)’,</w:t>
      </w:r>
      <w:r w:rsidR="00191B91" w:rsidRPr="00097BBC">
        <w:rPr>
          <w:rFonts w:asciiTheme="minorHAnsi" w:hAnsiTheme="minorHAnsi" w:cstheme="minorHAnsi"/>
          <w:i/>
          <w:iCs/>
        </w:rPr>
        <w:t xml:space="preserve"> Journal of Counselling Psychology</w:t>
      </w:r>
      <w:r w:rsidR="00191B91" w:rsidRPr="00097BBC">
        <w:rPr>
          <w:rFonts w:asciiTheme="minorHAnsi" w:hAnsiTheme="minorHAnsi" w:cstheme="minorHAnsi"/>
        </w:rPr>
        <w:t xml:space="preserve">, 47 (2000), 59–70; </w:t>
      </w:r>
      <w:r w:rsidRPr="00097BBC">
        <w:rPr>
          <w:rFonts w:asciiTheme="minorHAnsi" w:hAnsiTheme="minorHAnsi" w:cstheme="minorHAnsi"/>
        </w:rPr>
        <w:t>B</w:t>
      </w:r>
      <w:r w:rsidR="00D86174" w:rsidRPr="00097BBC">
        <w:rPr>
          <w:rFonts w:asciiTheme="minorHAnsi" w:hAnsiTheme="minorHAnsi" w:cstheme="minorHAnsi"/>
        </w:rPr>
        <w:t>ridgit C.</w:t>
      </w:r>
      <w:r w:rsidRPr="00097BBC">
        <w:rPr>
          <w:rFonts w:asciiTheme="minorHAnsi" w:hAnsiTheme="minorHAnsi" w:cstheme="minorHAnsi"/>
        </w:rPr>
        <w:t xml:space="preserve"> Dunton and R</w:t>
      </w:r>
      <w:r w:rsidR="00D86174" w:rsidRPr="00097BBC">
        <w:rPr>
          <w:rFonts w:asciiTheme="minorHAnsi" w:hAnsiTheme="minorHAnsi" w:cstheme="minorHAnsi"/>
        </w:rPr>
        <w:t>ussell</w:t>
      </w:r>
      <w:r w:rsidRPr="00097BBC">
        <w:rPr>
          <w:rFonts w:asciiTheme="minorHAnsi" w:hAnsiTheme="minorHAnsi" w:cstheme="minorHAnsi"/>
        </w:rPr>
        <w:t xml:space="preserve">. H. Fazio, ‘An Individual Difference Measure of Motivation to Control Prejudiced Reactions’, </w:t>
      </w:r>
      <w:r w:rsidRPr="00097BBC">
        <w:rPr>
          <w:rFonts w:asciiTheme="minorHAnsi" w:hAnsiTheme="minorHAnsi" w:cstheme="minorHAnsi"/>
          <w:i/>
          <w:iCs/>
        </w:rPr>
        <w:t>Personality and Social Psychology Bulletin</w:t>
      </w:r>
      <w:r w:rsidRPr="00097BBC">
        <w:rPr>
          <w:rFonts w:asciiTheme="minorHAnsi" w:hAnsiTheme="minorHAnsi" w:cstheme="minorHAnsi"/>
        </w:rPr>
        <w:t>, 23 (1997), 316–26.</w:t>
      </w:r>
    </w:p>
  </w:footnote>
  <w:footnote w:id="192">
    <w:p w14:paraId="0AAC1C03" w14:textId="77777777" w:rsidR="008A7B30" w:rsidRPr="00097BBC" w:rsidRDefault="008A7B30" w:rsidP="00AE3304">
      <w:pPr>
        <w:rPr>
          <w:rFonts w:eastAsia="Times New Roman" w:cstheme="minorHAnsi"/>
          <w:sz w:val="20"/>
          <w:szCs w:val="20"/>
        </w:rPr>
      </w:pPr>
      <w:r w:rsidRPr="00097BBC">
        <w:rPr>
          <w:rStyle w:val="FootnoteReference"/>
          <w:rFonts w:cstheme="minorHAnsi"/>
          <w:sz w:val="20"/>
          <w:szCs w:val="20"/>
        </w:rPr>
        <w:footnoteRef/>
      </w:r>
      <w:r w:rsidRPr="00097BBC">
        <w:rPr>
          <w:rFonts w:cstheme="minorHAnsi"/>
          <w:sz w:val="20"/>
          <w:szCs w:val="20"/>
        </w:rPr>
        <w:t xml:space="preserve"> Maya Dominguez </w:t>
      </w:r>
      <w:r w:rsidRPr="00097BBC">
        <w:rPr>
          <w:rFonts w:eastAsia="Times New Roman" w:cstheme="minorHAnsi"/>
          <w:sz w:val="20"/>
          <w:szCs w:val="20"/>
        </w:rPr>
        <w:t xml:space="preserve">McNeilly, Norman B. Anderson, Cheryl A. Armstead et al., ‘The Perceived Racism Scale: A Multidimensional Assessment of The Experience of White Racism Among African Americans’, </w:t>
      </w:r>
      <w:r w:rsidRPr="00097BBC">
        <w:rPr>
          <w:rFonts w:eastAsia="Times New Roman" w:cstheme="minorHAnsi"/>
          <w:i/>
          <w:iCs/>
          <w:sz w:val="20"/>
          <w:szCs w:val="20"/>
        </w:rPr>
        <w:t>Ethnicity &amp; Disease</w:t>
      </w:r>
      <w:r w:rsidRPr="00097BBC">
        <w:rPr>
          <w:rFonts w:eastAsia="Times New Roman" w:cstheme="minorHAnsi"/>
          <w:sz w:val="20"/>
          <w:szCs w:val="20"/>
        </w:rPr>
        <w:t>, 6 (1996), 154–66.</w:t>
      </w:r>
    </w:p>
  </w:footnote>
  <w:footnote w:id="193">
    <w:p w14:paraId="2824A93F" w14:textId="24C6B16C" w:rsidR="00773F7C" w:rsidRPr="00097BBC" w:rsidRDefault="00773F7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Style w:val="outlook-search-highlight"/>
          <w:rFonts w:asciiTheme="minorHAnsi" w:hAnsiTheme="minorHAnsi" w:cstheme="minorHAnsi"/>
          <w:i/>
          <w:iCs/>
        </w:rPr>
        <w:t>Qualtrics</w:t>
      </w:r>
      <w:r w:rsidRPr="00097BBC">
        <w:rPr>
          <w:rStyle w:val="apple-converted-space"/>
          <w:rFonts w:asciiTheme="minorHAnsi" w:hAnsiTheme="minorHAnsi" w:cstheme="minorHAnsi"/>
        </w:rPr>
        <w:t> </w:t>
      </w:r>
      <w:r w:rsidRPr="00097BBC">
        <w:rPr>
          <w:rFonts w:asciiTheme="minorHAnsi" w:hAnsiTheme="minorHAnsi" w:cstheme="minorHAnsi"/>
        </w:rPr>
        <w:t xml:space="preserve">is a secure online space to run </w:t>
      </w:r>
      <w:r w:rsidR="00424B16">
        <w:rPr>
          <w:rFonts w:asciiTheme="minorHAnsi" w:hAnsiTheme="minorHAnsi" w:cstheme="minorHAnsi"/>
        </w:rPr>
        <w:t>a</w:t>
      </w:r>
      <w:r w:rsidR="00424B16" w:rsidRPr="00097BBC">
        <w:rPr>
          <w:rFonts w:asciiTheme="minorHAnsi" w:hAnsiTheme="minorHAnsi" w:cstheme="minorHAnsi"/>
        </w:rPr>
        <w:t xml:space="preserve"> </w:t>
      </w:r>
      <w:r w:rsidRPr="00097BBC">
        <w:rPr>
          <w:rFonts w:asciiTheme="minorHAnsi" w:hAnsiTheme="minorHAnsi" w:cstheme="minorHAnsi"/>
        </w:rPr>
        <w:t>survey and collect data. It</w:t>
      </w:r>
      <w:r w:rsidRPr="00097BBC">
        <w:rPr>
          <w:rFonts w:asciiTheme="minorHAnsi" w:hAnsiTheme="minorHAnsi" w:cstheme="minorHAnsi"/>
          <w:i/>
          <w:iCs/>
        </w:rPr>
        <w:t xml:space="preserve"> </w:t>
      </w:r>
      <w:r w:rsidRPr="00097BBC">
        <w:rPr>
          <w:rFonts w:asciiTheme="minorHAnsi" w:hAnsiTheme="minorHAnsi" w:cstheme="minorHAnsi"/>
        </w:rPr>
        <w:t>offers self-service products via an Application Service Provider Model delivered via the Internet and using standard web browser software. It abides by the EU’s General Data Protection Regulation (GDPR). All user data are owned by the user and protected with sophisticated layers of security.</w:t>
      </w:r>
    </w:p>
  </w:footnote>
  <w:footnote w:id="194">
    <w:p w14:paraId="5148D3C0" w14:textId="7EEAE320" w:rsidR="00773F7C" w:rsidRPr="00097BBC" w:rsidRDefault="00773F7C" w:rsidP="00AE3304">
      <w:pPr>
        <w:rPr>
          <w:rFonts w:cstheme="minorHAnsi"/>
          <w:sz w:val="20"/>
          <w:szCs w:val="20"/>
        </w:rPr>
      </w:pPr>
      <w:r w:rsidRPr="00097BBC">
        <w:rPr>
          <w:rStyle w:val="FootnoteReference"/>
          <w:rFonts w:cstheme="minorHAnsi"/>
          <w:sz w:val="20"/>
          <w:szCs w:val="20"/>
        </w:rPr>
        <w:footnoteRef/>
      </w:r>
      <w:r w:rsidRPr="00097BBC">
        <w:rPr>
          <w:rFonts w:cstheme="minorHAnsi"/>
          <w:sz w:val="20"/>
          <w:szCs w:val="20"/>
        </w:rPr>
        <w:t xml:space="preserve"> Participant Information Sheet for Questionnaire 1 is accessible on: </w:t>
      </w:r>
      <w:hyperlink r:id="rId56" w:history="1">
        <w:r w:rsidRPr="00097BBC">
          <w:rPr>
            <w:rStyle w:val="Hyperlink"/>
            <w:rFonts w:cstheme="minorHAnsi"/>
            <w:sz w:val="20"/>
            <w:szCs w:val="20"/>
          </w:rPr>
          <w:t>https://blogs.ed.ac.uk/decolonise/2023/11/13/questionnaire-to…iences-of-racism/</w:t>
        </w:r>
      </w:hyperlink>
      <w:r w:rsidR="00A90D63" w:rsidRPr="00097BBC">
        <w:rPr>
          <w:rFonts w:cstheme="minorHAnsi"/>
          <w:sz w:val="20"/>
          <w:szCs w:val="20"/>
        </w:rPr>
        <w:t xml:space="preserve">; </w:t>
      </w:r>
      <w:r w:rsidRPr="00097BBC">
        <w:rPr>
          <w:rFonts w:cstheme="minorHAnsi"/>
          <w:sz w:val="20"/>
          <w:szCs w:val="20"/>
        </w:rPr>
        <w:t xml:space="preserve">Participant Information Sheet for Questionnaire 2 is accessible on: </w:t>
      </w:r>
      <w:hyperlink r:id="rId57" w:history="1">
        <w:r w:rsidR="00A90D63" w:rsidRPr="00097BBC">
          <w:rPr>
            <w:rStyle w:val="Hyperlink"/>
            <w:rFonts w:cstheme="minorHAnsi"/>
            <w:sz w:val="20"/>
            <w:szCs w:val="20"/>
          </w:rPr>
          <w:t>https://blogs.ed.ac.uk/decolonise/2023/11/13/information-shee…s-racial-climate/</w:t>
        </w:r>
      </w:hyperlink>
      <w:r w:rsidR="00A90D63" w:rsidRPr="00097BBC">
        <w:rPr>
          <w:rFonts w:cstheme="minorHAnsi"/>
          <w:sz w:val="20"/>
          <w:szCs w:val="20"/>
        </w:rPr>
        <w:t>.</w:t>
      </w:r>
    </w:p>
  </w:footnote>
  <w:footnote w:id="195">
    <w:p w14:paraId="71F03ECB" w14:textId="100DD141" w:rsidR="00773F7C" w:rsidRPr="00097BBC" w:rsidRDefault="00773F7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Two responses were removed for analysis as the questionnaires were incomplete and no final scores were recorded. One response was added manually as a participant took part offline.</w:t>
      </w:r>
    </w:p>
  </w:footnote>
  <w:footnote w:id="196">
    <w:p w14:paraId="58C6CB59" w14:textId="7265F563" w:rsidR="00A00DF7" w:rsidRPr="00097BBC" w:rsidRDefault="00A00DF7"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hAnsiTheme="minorHAnsi" w:cstheme="minorHAnsi"/>
          <w:color w:val="000000"/>
        </w:rPr>
        <w:t>Collected and analysed by Obasanjo Bolarinwa: see Section 3 of this report and/</w:t>
      </w:r>
      <w:r w:rsidRPr="000D0386">
        <w:rPr>
          <w:rFonts w:asciiTheme="minorHAnsi" w:hAnsiTheme="minorHAnsi" w:cstheme="minorHAnsi"/>
          <w:color w:val="000000"/>
        </w:rPr>
        <w:t xml:space="preserve">or </w:t>
      </w:r>
      <w:r w:rsidRPr="00AE3304">
        <w:rPr>
          <w:rFonts w:asciiTheme="minorHAnsi" w:hAnsiTheme="minorHAnsi" w:cstheme="minorHAnsi"/>
          <w:color w:val="000000"/>
        </w:rPr>
        <w:t xml:space="preserve">Appendix </w:t>
      </w:r>
      <w:r w:rsidR="003E0E0B" w:rsidRPr="000D0386">
        <w:rPr>
          <w:rFonts w:asciiTheme="minorHAnsi" w:hAnsiTheme="minorHAnsi" w:cstheme="minorHAnsi"/>
          <w:color w:val="000000"/>
        </w:rPr>
        <w:t>4</w:t>
      </w:r>
      <w:r w:rsidRPr="00097BBC">
        <w:rPr>
          <w:rFonts w:asciiTheme="minorHAnsi" w:hAnsiTheme="minorHAnsi" w:cstheme="minorHAnsi"/>
          <w:color w:val="000000"/>
        </w:rPr>
        <w:t>.</w:t>
      </w:r>
    </w:p>
  </w:footnote>
  <w:footnote w:id="197">
    <w:p w14:paraId="6B5D2B2E" w14:textId="77777777" w:rsidR="002E30EE" w:rsidRPr="00097BBC" w:rsidRDefault="002E30EE"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David S. </w:t>
      </w:r>
      <w:r w:rsidRPr="00097BBC">
        <w:rPr>
          <w:rFonts w:asciiTheme="minorHAnsi" w:hAnsiTheme="minorHAnsi" w:cstheme="minorHAnsi"/>
          <w:shd w:val="clear" w:color="auto" w:fill="FFFFFF"/>
        </w:rPr>
        <w:t xml:space="preserve">Crystal, Melanie Killen and Martin Ruck, ‘It is Who You Know That Counts: Intergroup Contact and Judgments about Race-Based Exclusion’, </w:t>
      </w:r>
      <w:r w:rsidRPr="00097BBC">
        <w:rPr>
          <w:rFonts w:asciiTheme="minorHAnsi" w:hAnsiTheme="minorHAnsi" w:cstheme="minorHAnsi"/>
          <w:i/>
          <w:iCs/>
          <w:shd w:val="clear" w:color="auto" w:fill="FFFFFF"/>
        </w:rPr>
        <w:t>The British Journal of Developmental Psychology</w:t>
      </w:r>
      <w:r w:rsidRPr="00097BBC">
        <w:rPr>
          <w:rFonts w:asciiTheme="minorHAnsi" w:hAnsiTheme="minorHAnsi" w:cstheme="minorHAnsi"/>
          <w:shd w:val="clear" w:color="auto" w:fill="FFFFFF"/>
        </w:rPr>
        <w:t xml:space="preserve">, 26 (2008), 51–70; </w:t>
      </w:r>
      <w:r w:rsidRPr="00097BBC">
        <w:rPr>
          <w:rFonts w:asciiTheme="minorHAnsi" w:hAnsiTheme="minorHAnsi" w:cstheme="minorHAnsi"/>
        </w:rPr>
        <w:t xml:space="preserve">Thomas F. </w:t>
      </w:r>
      <w:r w:rsidRPr="00097BBC">
        <w:rPr>
          <w:rFonts w:asciiTheme="minorHAnsi" w:hAnsiTheme="minorHAnsi" w:cstheme="minorHAnsi"/>
          <w:shd w:val="clear" w:color="auto" w:fill="FFFFFF"/>
        </w:rPr>
        <w:t xml:space="preserve">Pettigrew, Linda R. Tropp, Ulrich Wagner et al., ‘Recent Advances in Intergroup Contact Theory’, </w:t>
      </w:r>
      <w:r w:rsidRPr="00097BBC">
        <w:rPr>
          <w:rFonts w:asciiTheme="minorHAnsi" w:hAnsiTheme="minorHAnsi" w:cstheme="minorHAnsi"/>
          <w:i/>
          <w:iCs/>
          <w:shd w:val="clear" w:color="auto" w:fill="FFFFFF"/>
        </w:rPr>
        <w:t>International Journal of Intercultural Relations,</w:t>
      </w:r>
      <w:r w:rsidRPr="00097BBC">
        <w:rPr>
          <w:rFonts w:asciiTheme="minorHAnsi" w:hAnsiTheme="minorHAnsi" w:cstheme="minorHAnsi"/>
          <w:shd w:val="clear" w:color="auto" w:fill="FFFFFF"/>
        </w:rPr>
        <w:t xml:space="preserve"> 35 (2011), 271–80; </w:t>
      </w:r>
      <w:r w:rsidRPr="00097BBC">
        <w:rPr>
          <w:rFonts w:asciiTheme="minorHAnsi" w:hAnsiTheme="minorHAnsi" w:cstheme="minorHAnsi"/>
        </w:rPr>
        <w:t xml:space="preserve">Jasper </w:t>
      </w:r>
      <w:r w:rsidRPr="00097BBC">
        <w:rPr>
          <w:rFonts w:asciiTheme="minorHAnsi" w:hAnsiTheme="minorHAnsi" w:cstheme="minorHAnsi"/>
          <w:shd w:val="clear" w:color="auto" w:fill="FFFFFF"/>
        </w:rPr>
        <w:t xml:space="preserve">Van Assche, Hermann Swart, Katherina Schmid et al., ‘Intergroup Contact is Reliably Associated with Reduced Prejudice, even in the Face of Group Threat and Discrimination’, </w:t>
      </w:r>
      <w:r w:rsidRPr="00097BBC">
        <w:rPr>
          <w:rStyle w:val="Emphasis"/>
          <w:rFonts w:asciiTheme="minorHAnsi" w:hAnsiTheme="minorHAnsi" w:cstheme="minorHAnsi"/>
          <w:shd w:val="clear" w:color="auto" w:fill="FFFFFF"/>
        </w:rPr>
        <w:t>American Psychologist</w:t>
      </w:r>
      <w:r w:rsidRPr="00097BBC">
        <w:rPr>
          <w:rStyle w:val="Emphasis"/>
          <w:rFonts w:asciiTheme="minorHAnsi" w:hAnsiTheme="minorHAnsi" w:cstheme="minorHAnsi"/>
          <w:i w:val="0"/>
          <w:iCs w:val="0"/>
          <w:shd w:val="clear" w:color="auto" w:fill="FFFFFF"/>
        </w:rPr>
        <w:t>,</w:t>
      </w:r>
      <w:r w:rsidRPr="00097BBC">
        <w:rPr>
          <w:rStyle w:val="Emphasis"/>
          <w:rFonts w:asciiTheme="minorHAnsi" w:hAnsiTheme="minorHAnsi" w:cstheme="minorHAnsi"/>
          <w:shd w:val="clear" w:color="auto" w:fill="FFFFFF"/>
        </w:rPr>
        <w:t xml:space="preserve"> </w:t>
      </w:r>
      <w:r w:rsidRPr="00097BBC">
        <w:rPr>
          <w:rStyle w:val="Emphasis"/>
          <w:rFonts w:asciiTheme="minorHAnsi" w:hAnsiTheme="minorHAnsi" w:cstheme="minorHAnsi"/>
          <w:i w:val="0"/>
          <w:iCs w:val="0"/>
          <w:shd w:val="clear" w:color="auto" w:fill="FFFFFF"/>
        </w:rPr>
        <w:t>78 (2023)</w:t>
      </w:r>
      <w:r w:rsidRPr="00097BBC">
        <w:rPr>
          <w:rFonts w:asciiTheme="minorHAnsi" w:hAnsiTheme="minorHAnsi" w:cstheme="minorHAnsi"/>
          <w:shd w:val="clear" w:color="auto" w:fill="FFFFFF"/>
        </w:rPr>
        <w:t>, 761–74.</w:t>
      </w:r>
    </w:p>
  </w:footnote>
  <w:footnote w:id="198">
    <w:p w14:paraId="3FAFF4A6" w14:textId="1E65E75A" w:rsidR="00DB28E8" w:rsidRPr="00B04460" w:rsidRDefault="00DB28E8">
      <w:pPr>
        <w:pStyle w:val="FootnoteText"/>
        <w:rPr>
          <w:rFonts w:asciiTheme="minorHAnsi" w:hAnsiTheme="minorHAnsi" w:cstheme="minorHAnsi"/>
        </w:rPr>
      </w:pPr>
      <w:r w:rsidRPr="00B04460">
        <w:rPr>
          <w:rStyle w:val="FootnoteReference"/>
          <w:rFonts w:asciiTheme="minorHAnsi" w:hAnsiTheme="minorHAnsi" w:cstheme="minorHAnsi"/>
        </w:rPr>
        <w:footnoteRef/>
      </w:r>
      <w:r w:rsidRPr="00B04460">
        <w:rPr>
          <w:rFonts w:asciiTheme="minorHAnsi" w:hAnsiTheme="minorHAnsi" w:cstheme="minorHAnsi"/>
        </w:rPr>
        <w:t xml:space="preserve"> Arshad, ‘Thematic Review’, p. 1.</w:t>
      </w:r>
    </w:p>
  </w:footnote>
  <w:footnote w:id="199">
    <w:p w14:paraId="1786A2AF" w14:textId="25A692EF" w:rsidR="00052E93" w:rsidRPr="00097BBC" w:rsidRDefault="00052E93" w:rsidP="00097BBC">
      <w:pPr>
        <w:pStyle w:val="paragraph"/>
        <w:spacing w:before="0" w:beforeAutospacing="0" w:after="0" w:afterAutospacing="0"/>
        <w:jc w:val="both"/>
        <w:textAlignment w:val="baseline"/>
        <w:rPr>
          <w:rFonts w:asciiTheme="minorHAnsi" w:hAnsiTheme="minorHAnsi" w:cstheme="minorHAnsi"/>
          <w:sz w:val="20"/>
          <w:szCs w:val="20"/>
          <w:shd w:val="clear" w:color="auto" w:fill="FFFFFF"/>
        </w:rPr>
      </w:pPr>
      <w:r w:rsidRPr="00097BBC">
        <w:rPr>
          <w:rStyle w:val="FootnoteReference"/>
          <w:rFonts w:asciiTheme="minorHAnsi" w:eastAsiaTheme="majorEastAsia" w:hAnsiTheme="minorHAnsi" w:cstheme="minorHAnsi"/>
          <w:sz w:val="20"/>
          <w:szCs w:val="20"/>
        </w:rPr>
        <w:footnoteRef/>
      </w:r>
      <w:r w:rsidRPr="00097BBC">
        <w:rPr>
          <w:rFonts w:asciiTheme="minorHAnsi" w:hAnsiTheme="minorHAnsi" w:cstheme="minorHAnsi"/>
          <w:sz w:val="20"/>
          <w:szCs w:val="20"/>
        </w:rPr>
        <w:t xml:space="preserve"> </w:t>
      </w:r>
      <w:r w:rsidR="00DF62CF" w:rsidRPr="00097BBC">
        <w:rPr>
          <w:rFonts w:asciiTheme="minorHAnsi" w:hAnsiTheme="minorHAnsi" w:cstheme="minorHAnsi"/>
          <w:sz w:val="20"/>
          <w:szCs w:val="20"/>
        </w:rPr>
        <w:t xml:space="preserve">Yarong </w:t>
      </w:r>
      <w:r w:rsidRPr="00097BBC">
        <w:rPr>
          <w:rStyle w:val="normaltextrun"/>
          <w:rFonts w:asciiTheme="minorHAnsi" w:hAnsiTheme="minorHAnsi" w:cstheme="minorHAnsi"/>
          <w:sz w:val="20"/>
          <w:szCs w:val="20"/>
          <w:shd w:val="clear" w:color="auto" w:fill="FFFFFF"/>
        </w:rPr>
        <w:t>Xie,</w:t>
      </w:r>
      <w:r w:rsidRPr="00643BA0">
        <w:rPr>
          <w:rStyle w:val="normaltextrun"/>
          <w:rFonts w:asciiTheme="minorHAnsi" w:hAnsiTheme="minorHAnsi" w:cstheme="minorHAnsi"/>
          <w:sz w:val="20"/>
          <w:szCs w:val="20"/>
          <w:shd w:val="clear" w:color="auto" w:fill="FFFFFF"/>
        </w:rPr>
        <w:t> </w:t>
      </w:r>
      <w:r w:rsidR="00B32C63">
        <w:rPr>
          <w:rStyle w:val="normaltextrun"/>
          <w:rFonts w:asciiTheme="minorHAnsi" w:hAnsiTheme="minorHAnsi" w:cstheme="minorHAnsi"/>
          <w:sz w:val="20"/>
          <w:szCs w:val="20"/>
          <w:shd w:val="clear" w:color="auto" w:fill="FFFFFF"/>
        </w:rPr>
        <w:t>’</w:t>
      </w:r>
      <w:r w:rsidRPr="00643BA0">
        <w:rPr>
          <w:rStyle w:val="normaltextrun"/>
          <w:rFonts w:asciiTheme="minorHAnsi" w:hAnsiTheme="minorHAnsi" w:cstheme="minorHAnsi"/>
          <w:sz w:val="20"/>
          <w:szCs w:val="20"/>
          <w:shd w:val="clear" w:color="auto" w:fill="FFFFFF"/>
        </w:rPr>
        <w:t>Talking</w:t>
      </w:r>
      <w:r w:rsidRPr="00097BBC">
        <w:rPr>
          <w:rStyle w:val="normaltextrun"/>
          <w:rFonts w:asciiTheme="minorHAnsi" w:hAnsiTheme="minorHAnsi" w:cstheme="minorHAnsi"/>
          <w:sz w:val="20"/>
          <w:szCs w:val="20"/>
          <w:shd w:val="clear" w:color="auto" w:fill="FFFFFF"/>
        </w:rPr>
        <w:t xml:space="preserve"> about the </w:t>
      </w:r>
      <w:r w:rsidR="00DF62CF" w:rsidRPr="00097BBC">
        <w:rPr>
          <w:rStyle w:val="normaltextrun"/>
          <w:rFonts w:asciiTheme="minorHAnsi" w:hAnsiTheme="minorHAnsi" w:cstheme="minorHAnsi"/>
          <w:sz w:val="20"/>
          <w:szCs w:val="20"/>
          <w:shd w:val="clear" w:color="auto" w:fill="FFFFFF"/>
        </w:rPr>
        <w:t>E</w:t>
      </w:r>
      <w:r w:rsidRPr="00097BBC">
        <w:rPr>
          <w:rStyle w:val="normaltextrun"/>
          <w:rFonts w:asciiTheme="minorHAnsi" w:hAnsiTheme="minorHAnsi" w:cstheme="minorHAnsi"/>
          <w:sz w:val="20"/>
          <w:szCs w:val="20"/>
          <w:shd w:val="clear" w:color="auto" w:fill="FFFFFF"/>
        </w:rPr>
        <w:t xml:space="preserve">xperiences of </w:t>
      </w:r>
      <w:r w:rsidR="00DF62CF" w:rsidRPr="00097BBC">
        <w:rPr>
          <w:rStyle w:val="normaltextrun"/>
          <w:rFonts w:asciiTheme="minorHAnsi" w:hAnsiTheme="minorHAnsi" w:cstheme="minorHAnsi"/>
          <w:sz w:val="20"/>
          <w:szCs w:val="20"/>
          <w:shd w:val="clear" w:color="auto" w:fill="FFFFFF"/>
        </w:rPr>
        <w:t>R</w:t>
      </w:r>
      <w:r w:rsidRPr="00097BBC">
        <w:rPr>
          <w:rStyle w:val="normaltextrun"/>
          <w:rFonts w:asciiTheme="minorHAnsi" w:hAnsiTheme="minorHAnsi" w:cstheme="minorHAnsi"/>
          <w:sz w:val="20"/>
          <w:szCs w:val="20"/>
          <w:shd w:val="clear" w:color="auto" w:fill="FFFFFF"/>
        </w:rPr>
        <w:t xml:space="preserve">acism: A </w:t>
      </w:r>
      <w:r w:rsidR="00DF62CF" w:rsidRPr="00097BBC">
        <w:rPr>
          <w:rStyle w:val="normaltextrun"/>
          <w:rFonts w:asciiTheme="minorHAnsi" w:hAnsiTheme="minorHAnsi" w:cstheme="minorHAnsi"/>
          <w:sz w:val="20"/>
          <w:szCs w:val="20"/>
          <w:shd w:val="clear" w:color="auto" w:fill="FFFFFF"/>
        </w:rPr>
        <w:t>S</w:t>
      </w:r>
      <w:r w:rsidRPr="00097BBC">
        <w:rPr>
          <w:rStyle w:val="normaltextrun"/>
          <w:rFonts w:asciiTheme="minorHAnsi" w:hAnsiTheme="minorHAnsi" w:cstheme="minorHAnsi"/>
          <w:sz w:val="20"/>
          <w:szCs w:val="20"/>
          <w:shd w:val="clear" w:color="auto" w:fill="FFFFFF"/>
        </w:rPr>
        <w:t xml:space="preserve">tudy of </w:t>
      </w:r>
      <w:r w:rsidR="00DF62CF" w:rsidRPr="00097BBC">
        <w:rPr>
          <w:rStyle w:val="normaltextrun"/>
          <w:rFonts w:asciiTheme="minorHAnsi" w:hAnsiTheme="minorHAnsi" w:cstheme="minorHAnsi"/>
          <w:sz w:val="20"/>
          <w:szCs w:val="20"/>
          <w:shd w:val="clear" w:color="auto" w:fill="FFFFFF"/>
        </w:rPr>
        <w:t>R</w:t>
      </w:r>
      <w:r w:rsidRPr="00097BBC">
        <w:rPr>
          <w:rStyle w:val="normaltextrun"/>
          <w:rFonts w:asciiTheme="minorHAnsi" w:hAnsiTheme="minorHAnsi" w:cstheme="minorHAnsi"/>
          <w:sz w:val="20"/>
          <w:szCs w:val="20"/>
          <w:shd w:val="clear" w:color="auto" w:fill="FFFFFF"/>
        </w:rPr>
        <w:t xml:space="preserve">eporting </w:t>
      </w:r>
      <w:r w:rsidR="00DF62CF" w:rsidRPr="00097BBC">
        <w:rPr>
          <w:rStyle w:val="normaltextrun"/>
          <w:rFonts w:asciiTheme="minorHAnsi" w:hAnsiTheme="minorHAnsi" w:cstheme="minorHAnsi"/>
          <w:sz w:val="20"/>
          <w:szCs w:val="20"/>
          <w:shd w:val="clear" w:color="auto" w:fill="FFFFFF"/>
        </w:rPr>
        <w:t>R</w:t>
      </w:r>
      <w:r w:rsidRPr="00097BBC">
        <w:rPr>
          <w:rStyle w:val="normaltextrun"/>
          <w:rFonts w:asciiTheme="minorHAnsi" w:hAnsiTheme="minorHAnsi" w:cstheme="minorHAnsi"/>
          <w:sz w:val="20"/>
          <w:szCs w:val="20"/>
          <w:shd w:val="clear" w:color="auto" w:fill="FFFFFF"/>
        </w:rPr>
        <w:t xml:space="preserve">acism in </w:t>
      </w:r>
      <w:r w:rsidR="00DF62CF" w:rsidRPr="00097BBC">
        <w:rPr>
          <w:rStyle w:val="normaltextrun"/>
          <w:rFonts w:asciiTheme="minorHAnsi" w:hAnsiTheme="minorHAnsi" w:cstheme="minorHAnsi"/>
          <w:sz w:val="20"/>
          <w:szCs w:val="20"/>
          <w:shd w:val="clear" w:color="auto" w:fill="FFFFFF"/>
        </w:rPr>
        <w:t>B</w:t>
      </w:r>
      <w:r w:rsidRPr="00097BBC">
        <w:rPr>
          <w:rStyle w:val="normaltextrun"/>
          <w:rFonts w:asciiTheme="minorHAnsi" w:hAnsiTheme="minorHAnsi" w:cstheme="minorHAnsi"/>
          <w:sz w:val="20"/>
          <w:szCs w:val="20"/>
          <w:shd w:val="clear" w:color="auto" w:fill="FFFFFF"/>
        </w:rPr>
        <w:t xml:space="preserve">roadcast </w:t>
      </w:r>
      <w:r w:rsidR="00DF62CF" w:rsidRPr="00097BBC">
        <w:rPr>
          <w:rStyle w:val="normaltextrun"/>
          <w:rFonts w:asciiTheme="minorHAnsi" w:hAnsiTheme="minorHAnsi" w:cstheme="minorHAnsi"/>
          <w:sz w:val="20"/>
          <w:szCs w:val="20"/>
          <w:shd w:val="clear" w:color="auto" w:fill="FFFFFF"/>
        </w:rPr>
        <w:t>I</w:t>
      </w:r>
      <w:r w:rsidRPr="00097BBC">
        <w:rPr>
          <w:rStyle w:val="normaltextrun"/>
          <w:rFonts w:asciiTheme="minorHAnsi" w:hAnsiTheme="minorHAnsi" w:cstheme="minorHAnsi"/>
          <w:sz w:val="20"/>
          <w:szCs w:val="20"/>
          <w:shd w:val="clear" w:color="auto" w:fill="FFFFFF"/>
        </w:rPr>
        <w:t>nterviews</w:t>
      </w:r>
      <w:r w:rsidR="00DF62CF" w:rsidRPr="00097BBC">
        <w:rPr>
          <w:rStyle w:val="normaltextrun"/>
          <w:rFonts w:asciiTheme="minorHAnsi" w:hAnsiTheme="minorHAnsi" w:cstheme="minorHAnsi"/>
          <w:sz w:val="20"/>
          <w:szCs w:val="20"/>
          <w:shd w:val="clear" w:color="auto" w:fill="FFFFFF"/>
        </w:rPr>
        <w:t>’,</w:t>
      </w:r>
      <w:r w:rsidRPr="00097BBC">
        <w:rPr>
          <w:rStyle w:val="normaltextrun"/>
          <w:rFonts w:asciiTheme="minorHAnsi" w:hAnsiTheme="minorHAnsi" w:cstheme="minorHAnsi"/>
          <w:sz w:val="20"/>
          <w:szCs w:val="20"/>
          <w:shd w:val="clear" w:color="auto" w:fill="FFFFFF"/>
        </w:rPr>
        <w:t> </w:t>
      </w:r>
      <w:r w:rsidRPr="00097BBC">
        <w:rPr>
          <w:rStyle w:val="normaltextrun"/>
          <w:rFonts w:asciiTheme="minorHAnsi" w:hAnsiTheme="minorHAnsi" w:cstheme="minorHAnsi"/>
          <w:i/>
          <w:iCs/>
          <w:sz w:val="20"/>
          <w:szCs w:val="20"/>
          <w:shd w:val="clear" w:color="auto" w:fill="FFFFFF"/>
        </w:rPr>
        <w:t>British Journal of Social Psychology</w:t>
      </w:r>
      <w:r w:rsidRPr="00097BBC">
        <w:rPr>
          <w:rStyle w:val="normaltextrun"/>
          <w:rFonts w:asciiTheme="minorHAnsi" w:hAnsiTheme="minorHAnsi" w:cstheme="minorHAnsi"/>
          <w:sz w:val="20"/>
          <w:szCs w:val="20"/>
          <w:shd w:val="clear" w:color="auto" w:fill="FFFFFF"/>
        </w:rPr>
        <w:t>, 62</w:t>
      </w:r>
      <w:r w:rsidR="00DF62CF" w:rsidRPr="00097BBC">
        <w:rPr>
          <w:rStyle w:val="normaltextrun"/>
          <w:rFonts w:asciiTheme="minorHAnsi" w:hAnsiTheme="minorHAnsi" w:cstheme="minorHAnsi"/>
          <w:sz w:val="20"/>
          <w:szCs w:val="20"/>
          <w:shd w:val="clear" w:color="auto" w:fill="FFFFFF"/>
        </w:rPr>
        <w:t xml:space="preserve"> (2023</w:t>
      </w:r>
      <w:r w:rsidRPr="00097BBC">
        <w:rPr>
          <w:rStyle w:val="normaltextrun"/>
          <w:rFonts w:asciiTheme="minorHAnsi" w:hAnsiTheme="minorHAnsi" w:cstheme="minorHAnsi"/>
          <w:sz w:val="20"/>
          <w:szCs w:val="20"/>
          <w:shd w:val="clear" w:color="auto" w:fill="FFFFFF"/>
        </w:rPr>
        <w:t>), 1469</w:t>
      </w:r>
      <w:r w:rsidR="007D631D" w:rsidRPr="00097BBC">
        <w:rPr>
          <w:rStyle w:val="normaltextrun"/>
          <w:rFonts w:asciiTheme="minorHAnsi" w:hAnsiTheme="minorHAnsi" w:cstheme="minorHAnsi"/>
          <w:sz w:val="20"/>
          <w:szCs w:val="20"/>
          <w:shd w:val="clear" w:color="auto" w:fill="FFFFFF"/>
        </w:rPr>
        <w:t>–</w:t>
      </w:r>
      <w:r w:rsidRPr="00097BBC">
        <w:rPr>
          <w:rStyle w:val="normaltextrun"/>
          <w:rFonts w:asciiTheme="minorHAnsi" w:hAnsiTheme="minorHAnsi" w:cstheme="minorHAnsi"/>
          <w:sz w:val="20"/>
          <w:szCs w:val="20"/>
          <w:shd w:val="clear" w:color="auto" w:fill="FFFFFF"/>
        </w:rPr>
        <w:t>85</w:t>
      </w:r>
      <w:r w:rsidR="007D631D" w:rsidRPr="00097BBC">
        <w:rPr>
          <w:rStyle w:val="normaltextrun"/>
          <w:rFonts w:asciiTheme="minorHAnsi" w:hAnsiTheme="minorHAnsi" w:cstheme="minorHAnsi"/>
          <w:sz w:val="20"/>
          <w:szCs w:val="20"/>
          <w:shd w:val="clear" w:color="auto" w:fill="FFFFFF"/>
        </w:rPr>
        <w:t xml:space="preserve"> (</w:t>
      </w:r>
      <w:r w:rsidRPr="00097BBC">
        <w:rPr>
          <w:rFonts w:asciiTheme="minorHAnsi" w:hAnsiTheme="minorHAnsi" w:cstheme="minorHAnsi"/>
          <w:sz w:val="20"/>
          <w:szCs w:val="20"/>
        </w:rPr>
        <w:t>p. 1482</w:t>
      </w:r>
      <w:r w:rsidR="007D631D" w:rsidRPr="00097BBC">
        <w:rPr>
          <w:rFonts w:asciiTheme="minorHAnsi" w:hAnsiTheme="minorHAnsi" w:cstheme="minorHAnsi"/>
          <w:sz w:val="20"/>
          <w:szCs w:val="20"/>
        </w:rPr>
        <w:t>).</w:t>
      </w:r>
    </w:p>
  </w:footnote>
  <w:footnote w:id="200">
    <w:p w14:paraId="26BF9923" w14:textId="03F4E19E" w:rsidR="00555B0D" w:rsidRPr="001548BC" w:rsidRDefault="00555B0D" w:rsidP="00AE3304">
      <w:pPr>
        <w:pStyle w:val="FootnoteText"/>
        <w:jc w:val="left"/>
        <w:rPr>
          <w:rFonts w:asciiTheme="minorHAnsi" w:eastAsia="Calibri" w:hAnsiTheme="minorHAnsi" w:cstheme="minorHAnsi"/>
          <w:color w:val="000000" w:themeColor="text1"/>
        </w:rPr>
      </w:pPr>
      <w:r w:rsidRPr="001548BC">
        <w:rPr>
          <w:rStyle w:val="FootnoteReference"/>
          <w:rFonts w:asciiTheme="minorHAnsi" w:hAnsiTheme="minorHAnsi" w:cstheme="minorHAnsi"/>
        </w:rPr>
        <w:footnoteRef/>
      </w:r>
      <w:r w:rsidRPr="001548BC">
        <w:rPr>
          <w:rFonts w:asciiTheme="minorHAnsi" w:hAnsiTheme="minorHAnsi" w:cstheme="minorHAnsi"/>
        </w:rPr>
        <w:t xml:space="preserve"> This work was </w:t>
      </w:r>
      <w:r w:rsidR="003A01EC" w:rsidRPr="001548BC">
        <w:rPr>
          <w:rFonts w:asciiTheme="minorHAnsi" w:hAnsiTheme="minorHAnsi" w:cstheme="minorHAnsi"/>
        </w:rPr>
        <w:t xml:space="preserve">led </w:t>
      </w:r>
      <w:r w:rsidRPr="001548BC">
        <w:rPr>
          <w:rFonts w:asciiTheme="minorHAnsi" w:hAnsiTheme="minorHAnsi" w:cstheme="minorHAnsi"/>
        </w:rPr>
        <w:t xml:space="preserve">by Community Engagement Officer, Samantha Likonde, in collaboration with </w:t>
      </w:r>
      <w:r w:rsidR="003A01EC" w:rsidRPr="001548BC">
        <w:rPr>
          <w:rFonts w:asciiTheme="minorHAnsi" w:hAnsiTheme="minorHAnsi" w:cstheme="minorHAnsi"/>
        </w:rPr>
        <w:t>community consultants Esther Xosei</w:t>
      </w:r>
      <w:r w:rsidR="00B90031" w:rsidRPr="001548BC">
        <w:rPr>
          <w:rFonts w:asciiTheme="minorHAnsi" w:hAnsiTheme="minorHAnsi" w:cstheme="minorHAnsi"/>
        </w:rPr>
        <w:t xml:space="preserve">, Zaki El-Salahi and Silence Chuhuri, </w:t>
      </w:r>
      <w:r w:rsidR="002418C2">
        <w:rPr>
          <w:rFonts w:asciiTheme="minorHAnsi" w:hAnsiTheme="minorHAnsi" w:cstheme="minorHAnsi"/>
        </w:rPr>
        <w:t>C</w:t>
      </w:r>
      <w:r w:rsidR="00B90031" w:rsidRPr="001548BC">
        <w:rPr>
          <w:rFonts w:asciiTheme="minorHAnsi" w:hAnsiTheme="minorHAnsi" w:cstheme="minorHAnsi"/>
        </w:rPr>
        <w:t xml:space="preserve">ommunity </w:t>
      </w:r>
      <w:r w:rsidR="002418C2">
        <w:rPr>
          <w:rFonts w:asciiTheme="minorHAnsi" w:hAnsiTheme="minorHAnsi" w:cstheme="minorHAnsi"/>
        </w:rPr>
        <w:t>A</w:t>
      </w:r>
      <w:r w:rsidR="00B90031" w:rsidRPr="001548BC">
        <w:rPr>
          <w:rFonts w:asciiTheme="minorHAnsi" w:hAnsiTheme="minorHAnsi" w:cstheme="minorHAnsi"/>
        </w:rPr>
        <w:t xml:space="preserve">nchors </w:t>
      </w:r>
      <w:r w:rsidR="009C3823" w:rsidRPr="001548BC">
        <w:rPr>
          <w:rFonts w:asciiTheme="minorHAnsi" w:hAnsiTheme="minorHAnsi" w:cstheme="minorHAnsi"/>
        </w:rPr>
        <w:t>Omolabake Fakunle, Rpger Jeffery, Nini Kerr, Ebo Anyebe, Abigail Ocansey, Kobina Amokwandoh</w:t>
      </w:r>
      <w:r w:rsidR="00445FBC" w:rsidRPr="001548BC">
        <w:rPr>
          <w:rFonts w:asciiTheme="minorHAnsi" w:hAnsiTheme="minorHAnsi" w:cstheme="minorHAnsi"/>
        </w:rPr>
        <w:t xml:space="preserve"> and Trishna Singh, and co-chair Nicola Frith.</w:t>
      </w:r>
    </w:p>
  </w:footnote>
  <w:footnote w:id="201">
    <w:p w14:paraId="5A255F4E" w14:textId="3B06FE88" w:rsidR="00700F99" w:rsidRPr="001548BC" w:rsidRDefault="00700F99" w:rsidP="00AE3304">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008E221C" w:rsidRPr="001548BC">
        <w:rPr>
          <w:rFonts w:asciiTheme="minorHAnsi" w:hAnsiTheme="minorHAnsi" w:cstheme="minorHAnsi"/>
        </w:rPr>
        <w:t xml:space="preserve">REWG, ‘Principles of Participation’, </w:t>
      </w:r>
      <w:r w:rsidR="00426174" w:rsidRPr="001548BC">
        <w:rPr>
          <w:rFonts w:asciiTheme="minorHAnsi" w:hAnsiTheme="minorHAnsi" w:cstheme="minorHAnsi"/>
        </w:rPr>
        <w:t xml:space="preserve">9 May 2023, </w:t>
      </w:r>
      <w:r w:rsidR="009C729D" w:rsidRPr="001548BC">
        <w:rPr>
          <w:rFonts w:asciiTheme="minorHAnsi" w:hAnsiTheme="minorHAnsi" w:cstheme="minorHAnsi"/>
        </w:rPr>
        <w:t>https://blogs.ed.ac.uk/decolonise/2023/05/09/what-are-principles-of-participation-and-why-do-we-need-them/.</w:t>
      </w:r>
    </w:p>
  </w:footnote>
  <w:footnote w:id="202">
    <w:p w14:paraId="54A5C063" w14:textId="77777777" w:rsidR="008F43BF" w:rsidRPr="00643BA0" w:rsidRDefault="008F43BF" w:rsidP="00AE3304">
      <w:pPr>
        <w:pStyle w:val="NormalWeb"/>
        <w:spacing w:before="0" w:beforeAutospacing="0" w:after="0" w:afterAutospacing="0"/>
        <w:rPr>
          <w:rFonts w:asciiTheme="minorHAnsi" w:eastAsiaTheme="minorEastAsia" w:hAnsiTheme="minorHAnsi" w:cstheme="minorHAnsi"/>
          <w:sz w:val="20"/>
          <w:szCs w:val="20"/>
          <w:lang w:eastAsia="ja-JP"/>
        </w:rPr>
      </w:pPr>
      <w:r w:rsidRPr="00643BA0">
        <w:rPr>
          <w:rStyle w:val="FootnoteReference"/>
          <w:rFonts w:asciiTheme="minorHAnsi" w:hAnsiTheme="minorHAnsi" w:cstheme="minorHAnsi"/>
          <w:sz w:val="20"/>
          <w:szCs w:val="20"/>
        </w:rPr>
        <w:footnoteRef/>
      </w:r>
      <w:r w:rsidRPr="00643BA0">
        <w:rPr>
          <w:rFonts w:asciiTheme="minorHAnsi" w:hAnsiTheme="minorHAnsi" w:cstheme="minorHAnsi"/>
          <w:sz w:val="20"/>
          <w:szCs w:val="20"/>
        </w:rPr>
        <w:t xml:space="preserve"> West Lothian Community Planning Partnership, ‘Engaging Communities Toolkit: A Practical Guide to Community Engagement’, </w:t>
      </w:r>
      <w:hyperlink r:id="rId58" w:history="1">
        <w:r w:rsidRPr="00643BA0">
          <w:rPr>
            <w:rStyle w:val="Hyperlink"/>
            <w:rFonts w:asciiTheme="minorHAnsi" w:eastAsiaTheme="minorEastAsia" w:hAnsiTheme="minorHAnsi" w:cstheme="minorHAnsi"/>
            <w:sz w:val="20"/>
            <w:szCs w:val="20"/>
            <w:lang w:eastAsia="ja-JP"/>
          </w:rPr>
          <w:t>https://www.westlothian.gov.uk/media/8652/Engaging-Communities-Toolkit/pdf/Engaging_Communities_Toolkit.pdf?m=635694591719070000</w:t>
        </w:r>
      </w:hyperlink>
      <w:r w:rsidRPr="00643BA0">
        <w:rPr>
          <w:rFonts w:asciiTheme="minorHAnsi" w:eastAsiaTheme="minorEastAsia" w:hAnsiTheme="minorHAnsi" w:cstheme="minorHAnsi"/>
          <w:sz w:val="20"/>
          <w:szCs w:val="20"/>
          <w:lang w:eastAsia="ja-JP"/>
        </w:rPr>
        <w:t xml:space="preserve">. </w:t>
      </w:r>
    </w:p>
  </w:footnote>
  <w:footnote w:id="203">
    <w:p w14:paraId="29033C55" w14:textId="61F6B8B9" w:rsidR="00430F4E" w:rsidRPr="001548BC" w:rsidRDefault="00430F4E" w:rsidP="00AE3304">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00EE0B59" w:rsidRPr="001548BC">
        <w:rPr>
          <w:rFonts w:asciiTheme="minorHAnsi" w:hAnsiTheme="minorHAnsi" w:cstheme="minorHAnsi"/>
        </w:rPr>
        <w:t xml:space="preserve">Five levels of engagement are outlined in the </w:t>
      </w:r>
      <w:r w:rsidR="004B42AE" w:rsidRPr="001548BC">
        <w:rPr>
          <w:rFonts w:asciiTheme="minorHAnsi" w:hAnsiTheme="minorHAnsi" w:cstheme="minorHAnsi"/>
        </w:rPr>
        <w:t>spectrum of community engagement</w:t>
      </w:r>
      <w:r w:rsidR="00AD3DB7" w:rsidRPr="001548BC">
        <w:rPr>
          <w:rFonts w:asciiTheme="minorHAnsi" w:hAnsiTheme="minorHAnsi" w:cstheme="minorHAnsi"/>
        </w:rPr>
        <w:t xml:space="preserve">, with </w:t>
      </w:r>
      <w:r w:rsidR="004A4370" w:rsidRPr="001548BC">
        <w:rPr>
          <w:rFonts w:asciiTheme="minorHAnsi" w:hAnsiTheme="minorHAnsi" w:cstheme="minorHAnsi"/>
        </w:rPr>
        <w:t>increasing levels of public engagement</w:t>
      </w:r>
      <w:r w:rsidR="00721A8A" w:rsidRPr="001548BC">
        <w:rPr>
          <w:rFonts w:asciiTheme="minorHAnsi" w:hAnsiTheme="minorHAnsi" w:cstheme="minorHAnsi"/>
        </w:rPr>
        <w:t xml:space="preserve"> from ‘inform’, ‘consult’, ‘involve’, ‘collaborate’ and ‘empower’;</w:t>
      </w:r>
      <w:r w:rsidR="004B42AE" w:rsidRPr="001548BC">
        <w:rPr>
          <w:rFonts w:asciiTheme="minorHAnsi" w:hAnsiTheme="minorHAnsi" w:cstheme="minorHAnsi"/>
        </w:rPr>
        <w:t xml:space="preserve"> </w:t>
      </w:r>
      <w:r w:rsidR="00721A8A" w:rsidRPr="00643BA0">
        <w:rPr>
          <w:rFonts w:asciiTheme="minorHAnsi" w:hAnsiTheme="minorHAnsi" w:cstheme="minorHAnsi"/>
        </w:rPr>
        <w:t>West Lothian Community Planning Partnership</w:t>
      </w:r>
      <w:r w:rsidR="00A242A3" w:rsidRPr="00643BA0">
        <w:rPr>
          <w:rFonts w:asciiTheme="minorHAnsi" w:hAnsiTheme="minorHAnsi" w:cstheme="minorHAnsi"/>
        </w:rPr>
        <w:t>, p. 4.</w:t>
      </w:r>
    </w:p>
  </w:footnote>
  <w:footnote w:id="204">
    <w:p w14:paraId="4FD40C50" w14:textId="0D553690" w:rsidR="00D94135" w:rsidRPr="001548BC" w:rsidRDefault="00D94135" w:rsidP="00643BA0">
      <w:pPr>
        <w:pStyle w:val="FootnoteTex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REWG, ‘Community Anchor Invitation’, </w:t>
      </w:r>
      <w:r w:rsidR="00795F3B" w:rsidRPr="001548BC">
        <w:rPr>
          <w:rFonts w:asciiTheme="minorHAnsi" w:hAnsiTheme="minorHAnsi" w:cstheme="minorHAnsi"/>
        </w:rPr>
        <w:t>https://blogs.ed.ac.uk/decolonise/2024/01/25/community-anchor-invitation/.</w:t>
      </w:r>
    </w:p>
  </w:footnote>
  <w:footnote w:id="205">
    <w:p w14:paraId="73EF91CB" w14:textId="17396AE7" w:rsidR="00E236DF" w:rsidRPr="00097BBC" w:rsidRDefault="00E236DF"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REWG, ‘Community Anchor Invitation’</w:t>
      </w:r>
      <w:r w:rsidR="00BD1524" w:rsidRPr="00643BA0">
        <w:rPr>
          <w:rFonts w:asciiTheme="minorHAnsi" w:hAnsiTheme="minorHAnsi" w:cstheme="minorHAnsi"/>
        </w:rPr>
        <w:t>.</w:t>
      </w:r>
    </w:p>
  </w:footnote>
  <w:footnote w:id="206">
    <w:p w14:paraId="156EE424" w14:textId="6B91C299" w:rsidR="004E2CA0" w:rsidRPr="001548BC" w:rsidRDefault="004E2CA0" w:rsidP="00643BA0">
      <w:pPr>
        <w:pStyle w:val="FootnoteTex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00813DA7" w:rsidRPr="00643BA0">
        <w:rPr>
          <w:rFonts w:asciiTheme="minorHAnsi" w:hAnsiTheme="minorHAnsi" w:cstheme="minorHAnsi"/>
        </w:rPr>
        <w:t>West Lothian Community Planning Partnership, p. 4.</w:t>
      </w:r>
    </w:p>
  </w:footnote>
  <w:footnote w:id="207">
    <w:p w14:paraId="7C76625F" w14:textId="74F4A37F" w:rsidR="005133F3" w:rsidRPr="001548BC" w:rsidRDefault="005133F3" w:rsidP="00643BA0">
      <w:pPr>
        <w:pStyle w:val="FootnoteTex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In total, 291 people attended our community events. </w:t>
      </w:r>
    </w:p>
  </w:footnote>
  <w:footnote w:id="208">
    <w:p w14:paraId="37AFE733" w14:textId="73A230BE" w:rsidR="003E6047" w:rsidRPr="001548BC" w:rsidRDefault="003E6047" w:rsidP="00AE3304">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00937F74" w:rsidRPr="001548BC">
        <w:rPr>
          <w:rFonts w:asciiTheme="minorHAnsi" w:hAnsiTheme="minorHAnsi" w:cstheme="minorHAnsi"/>
        </w:rPr>
        <w:t xml:space="preserve">International Network of Scholars and Activists for Afrikan Reparations (INOSAAR), </w:t>
      </w:r>
      <w:r w:rsidR="002C0641" w:rsidRPr="001548BC">
        <w:rPr>
          <w:rFonts w:asciiTheme="minorHAnsi" w:hAnsiTheme="minorHAnsi" w:cstheme="minorHAnsi"/>
        </w:rPr>
        <w:t>‘Prin</w:t>
      </w:r>
      <w:r w:rsidR="0002635D">
        <w:rPr>
          <w:rFonts w:asciiTheme="minorHAnsi" w:hAnsiTheme="minorHAnsi" w:cstheme="minorHAnsi"/>
        </w:rPr>
        <w:t>c</w:t>
      </w:r>
      <w:r w:rsidR="002C0641" w:rsidRPr="001548BC">
        <w:rPr>
          <w:rFonts w:asciiTheme="minorHAnsi" w:hAnsiTheme="minorHAnsi" w:cstheme="minorHAnsi"/>
        </w:rPr>
        <w:t xml:space="preserve">iples of Participation’, July 2021, </w:t>
      </w:r>
      <w:hyperlink r:id="rId59" w:history="1">
        <w:r w:rsidR="002C0641" w:rsidRPr="001548BC">
          <w:rPr>
            <w:rStyle w:val="Hyperlink"/>
            <w:rFonts w:asciiTheme="minorHAnsi" w:hAnsiTheme="minorHAnsi" w:cstheme="minorHAnsi"/>
          </w:rPr>
          <w:t>https://www.inosaar.llc.ed.ac.uk/sites/default/files/atoms/files/principles_of_participation_jul_2021.pdf</w:t>
        </w:r>
      </w:hyperlink>
      <w:r w:rsidR="002C0641" w:rsidRPr="001548BC">
        <w:rPr>
          <w:rFonts w:asciiTheme="minorHAnsi" w:hAnsiTheme="minorHAnsi" w:cstheme="minorHAnsi"/>
        </w:rPr>
        <w:t xml:space="preserve">; </w:t>
      </w:r>
      <w:r w:rsidR="00224038" w:rsidRPr="001548BC">
        <w:rPr>
          <w:rFonts w:asciiTheme="minorHAnsi" w:hAnsiTheme="minorHAnsi" w:cstheme="minorHAnsi"/>
        </w:rPr>
        <w:t>Runnymede Trust, ‘Finding Common Cause: Building Research Collaborations Between Universities and Black and Minority Ethnic Communities</w:t>
      </w:r>
      <w:r w:rsidR="00224038" w:rsidRPr="001548BC">
        <w:rPr>
          <w:rFonts w:asciiTheme="minorHAnsi" w:eastAsia="Calibri" w:hAnsiTheme="minorHAnsi" w:cstheme="minorHAnsi"/>
          <w:color w:val="000000" w:themeColor="text1"/>
        </w:rPr>
        <w:t xml:space="preserve">’, 2018, </w:t>
      </w:r>
      <w:r w:rsidR="00421E50" w:rsidRPr="001548BC">
        <w:rPr>
          <w:rFonts w:asciiTheme="minorHAnsi" w:eastAsia="Calibri" w:hAnsiTheme="minorHAnsi" w:cstheme="minorHAnsi"/>
          <w:color w:val="000000" w:themeColor="text1"/>
        </w:rPr>
        <w:t>https://www.runnymedetrust.org/publications/finding-common-cause-building-research-collaborations-between-universities-and-black-and-minority-ethnic-communities.</w:t>
      </w:r>
    </w:p>
  </w:footnote>
  <w:footnote w:id="209">
    <w:p w14:paraId="1F638AF6" w14:textId="4D8AD06C" w:rsidR="00773F7C" w:rsidRPr="00097BBC" w:rsidRDefault="00773F7C"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This is a link to the groups that were contacted ahead of the inaugural event: </w:t>
      </w:r>
      <w:hyperlink r:id="rId60">
        <w:r w:rsidRPr="00097BBC">
          <w:rPr>
            <w:rStyle w:val="Hyperlink"/>
            <w:rFonts w:asciiTheme="minorHAnsi" w:hAnsiTheme="minorHAnsi" w:cstheme="minorHAnsi"/>
            <w:color w:val="auto"/>
          </w:rPr>
          <w:t>https</w:t>
        </w:r>
        <w:r w:rsidRPr="00643BA0">
          <w:rPr>
            <w:rStyle w:val="Hyperlink"/>
            <w:rFonts w:asciiTheme="minorHAnsi" w:hAnsiTheme="minorHAnsi" w:cstheme="minorHAnsi"/>
            <w:color w:val="auto"/>
          </w:rPr>
          <w:t>://-</w:t>
        </w:r>
        <w:r w:rsidRPr="00097BBC">
          <w:rPr>
            <w:rStyle w:val="Hyperlink"/>
            <w:rFonts w:asciiTheme="minorHAnsi" w:hAnsiTheme="minorHAnsi" w:cstheme="minorHAnsi"/>
            <w:color w:val="auto"/>
          </w:rPr>
          <w:t>my.sharepoint.com/:x:/g/personal/slikonde_ed_ac_uk/EeFjCUrdfYpCjYit4aS3oQcBa7M74dAE8uMp-bLSTRpM5Q?e=JCu5Uh</w:t>
        </w:r>
      </w:hyperlink>
      <w:r w:rsidRPr="00097BBC">
        <w:rPr>
          <w:rFonts w:asciiTheme="minorHAnsi" w:hAnsiTheme="minorHAnsi" w:cstheme="minorHAnsi"/>
        </w:rPr>
        <w:t xml:space="preserve">. </w:t>
      </w:r>
    </w:p>
  </w:footnote>
  <w:footnote w:id="210">
    <w:p w14:paraId="4D21F515" w14:textId="57E0C876" w:rsidR="00771512" w:rsidRPr="00B04460" w:rsidRDefault="00771512" w:rsidP="00AE3304">
      <w:pPr>
        <w:pStyle w:val="FootnoteText"/>
        <w:jc w:val="left"/>
        <w:rPr>
          <w:rFonts w:asciiTheme="minorHAnsi" w:hAnsiTheme="minorHAnsi" w:cstheme="minorHAnsi"/>
        </w:rPr>
      </w:pPr>
      <w:r w:rsidRPr="00B04460">
        <w:rPr>
          <w:rStyle w:val="FootnoteReference"/>
          <w:rFonts w:asciiTheme="minorHAnsi" w:hAnsiTheme="minorHAnsi" w:cstheme="minorHAnsi"/>
        </w:rPr>
        <w:footnoteRef/>
      </w:r>
      <w:r w:rsidRPr="00B04460">
        <w:rPr>
          <w:rFonts w:asciiTheme="minorHAnsi" w:hAnsiTheme="minorHAnsi" w:cstheme="minorHAnsi"/>
        </w:rPr>
        <w:t xml:space="preserve"> Talbot Rice Gallery, ‘The Accursed Share’, 17 March to 27 May 2023, https://www.trg.ed.ac.uk/exhibition/accursed-share.</w:t>
      </w:r>
    </w:p>
  </w:footnote>
  <w:footnote w:id="211">
    <w:p w14:paraId="57513513" w14:textId="2CEAD5CA" w:rsidR="001D540B" w:rsidRPr="001548BC" w:rsidRDefault="001D540B" w:rsidP="00AE3304">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000051AA" w:rsidRPr="001548BC">
        <w:rPr>
          <w:rFonts w:asciiTheme="minorHAnsi" w:hAnsiTheme="minorHAnsi" w:cstheme="minorHAnsi"/>
        </w:rPr>
        <w:t xml:space="preserve">Further information can be found here: </w:t>
      </w:r>
      <w:r w:rsidRPr="001548BC">
        <w:rPr>
          <w:rFonts w:asciiTheme="minorHAnsi" w:hAnsiTheme="minorHAnsi" w:cstheme="minorHAnsi"/>
        </w:rPr>
        <w:t xml:space="preserve">REWG, ‘Decolonised Transformations Inaugural Event: Recapitulation’, </w:t>
      </w:r>
      <w:r w:rsidR="000051AA" w:rsidRPr="001548BC">
        <w:rPr>
          <w:rFonts w:asciiTheme="minorHAnsi" w:hAnsiTheme="minorHAnsi" w:cstheme="minorHAnsi"/>
        </w:rPr>
        <w:t>22 April 2023, https://blogs.ed.ac.uk/decolonise/2023/07/11/decolonised-transformations-inaugural-event-recapitulation/.</w:t>
      </w:r>
    </w:p>
  </w:footnote>
  <w:footnote w:id="212">
    <w:p w14:paraId="2FE7A369" w14:textId="5E9532FE" w:rsidR="00C03A88" w:rsidRPr="001548BC" w:rsidRDefault="00C03A88" w:rsidP="00AE3304">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00864AC2" w:rsidRPr="001548BC">
        <w:rPr>
          <w:rFonts w:asciiTheme="minorHAnsi" w:hAnsiTheme="minorHAnsi" w:cstheme="minorHAnsi"/>
        </w:rPr>
        <w:t xml:space="preserve">University of Edinburgh, ‘Minority communities to play key role in University Race Review’, </w:t>
      </w:r>
      <w:r w:rsidR="00632921" w:rsidRPr="001548BC">
        <w:rPr>
          <w:rFonts w:asciiTheme="minorHAnsi" w:hAnsiTheme="minorHAnsi" w:cstheme="minorHAnsi"/>
        </w:rPr>
        <w:t xml:space="preserve">21 April 2023, </w:t>
      </w:r>
      <w:hyperlink r:id="rId61" w:history="1">
        <w:r w:rsidR="00632921" w:rsidRPr="001548BC">
          <w:rPr>
            <w:rStyle w:val="Hyperlink"/>
            <w:rFonts w:asciiTheme="minorHAnsi" w:hAnsiTheme="minorHAnsi" w:cstheme="minorHAnsi"/>
          </w:rPr>
          <w:t>https://www.ed.ac.uk/news/2023/minority-communities-to-play-key-role-in-universit</w:t>
        </w:r>
      </w:hyperlink>
      <w:r w:rsidR="00632921" w:rsidRPr="001548BC">
        <w:rPr>
          <w:rFonts w:asciiTheme="minorHAnsi" w:hAnsiTheme="minorHAnsi" w:cstheme="minorHAnsi"/>
        </w:rPr>
        <w:t xml:space="preserve">; </w:t>
      </w:r>
      <w:r w:rsidR="00153D0F" w:rsidRPr="001548BC">
        <w:rPr>
          <w:rFonts w:asciiTheme="minorHAnsi" w:hAnsiTheme="minorHAnsi" w:cstheme="minorHAnsi"/>
        </w:rPr>
        <w:t xml:space="preserve">Race.Ed, ‘Race.Ed podcast </w:t>
      </w:r>
      <w:r w:rsidR="00784EF8" w:rsidRPr="001548BC">
        <w:rPr>
          <w:rFonts w:asciiTheme="minorHAnsi" w:hAnsiTheme="minorHAnsi" w:cstheme="minorHAnsi"/>
        </w:rPr>
        <w:t xml:space="preserve">– </w:t>
      </w:r>
      <w:r w:rsidR="00153D0F" w:rsidRPr="001548BC">
        <w:rPr>
          <w:rFonts w:asciiTheme="minorHAnsi" w:hAnsiTheme="minorHAnsi" w:cstheme="minorHAnsi"/>
        </w:rPr>
        <w:t>Undersong</w:t>
      </w:r>
      <w:r w:rsidR="00784EF8" w:rsidRPr="001548BC">
        <w:rPr>
          <w:rFonts w:asciiTheme="minorHAnsi" w:hAnsiTheme="minorHAnsi" w:cstheme="minorHAnsi"/>
        </w:rPr>
        <w:t>: Episode 13 (Parts 1 and 2)</w:t>
      </w:r>
      <w:r w:rsidR="00F7279D" w:rsidRPr="001548BC">
        <w:rPr>
          <w:rFonts w:asciiTheme="minorHAnsi" w:hAnsiTheme="minorHAnsi" w:cstheme="minorHAnsi"/>
        </w:rPr>
        <w:t xml:space="preserve"> – On Reparations at the University of Edinburgh’, </w:t>
      </w:r>
      <w:r w:rsidR="00B533CB" w:rsidRPr="001548BC">
        <w:rPr>
          <w:rFonts w:asciiTheme="minorHAnsi" w:hAnsiTheme="minorHAnsi" w:cstheme="minorHAnsi"/>
        </w:rPr>
        <w:t xml:space="preserve">2024, </w:t>
      </w:r>
      <w:r w:rsidR="00BE0247" w:rsidRPr="001548BC">
        <w:rPr>
          <w:rFonts w:asciiTheme="minorHAnsi" w:hAnsiTheme="minorHAnsi" w:cstheme="minorHAnsi"/>
        </w:rPr>
        <w:t>https://www.race.ed.ac.uk/podcast/.</w:t>
      </w:r>
    </w:p>
  </w:footnote>
  <w:footnote w:id="213">
    <w:p w14:paraId="2C6C8D17" w14:textId="6632A0F7" w:rsidR="00BE0247" w:rsidRPr="001548BC" w:rsidRDefault="00BE0247" w:rsidP="00AE3304">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0073501D" w:rsidRPr="001548BC">
        <w:rPr>
          <w:rFonts w:asciiTheme="minorHAnsi" w:hAnsiTheme="minorHAnsi" w:cstheme="minorHAnsi"/>
          <w:color w:val="212121"/>
        </w:rPr>
        <w:t>Decoloni</w:t>
      </w:r>
      <w:r w:rsidR="00CC41AC">
        <w:rPr>
          <w:rFonts w:asciiTheme="minorHAnsi" w:hAnsiTheme="minorHAnsi" w:cstheme="minorHAnsi"/>
          <w:color w:val="212121"/>
        </w:rPr>
        <w:t>s</w:t>
      </w:r>
      <w:r w:rsidR="0073501D" w:rsidRPr="001548BC">
        <w:rPr>
          <w:rFonts w:asciiTheme="minorHAnsi" w:hAnsiTheme="minorHAnsi" w:cstheme="minorHAnsi"/>
          <w:color w:val="212121"/>
        </w:rPr>
        <w:t xml:space="preserve">ed Transformations: Confronting the UoE's Legacies of Enslavement and Colonialism, </w:t>
      </w:r>
      <w:r w:rsidR="00225D8E" w:rsidRPr="001548BC">
        <w:rPr>
          <w:rFonts w:asciiTheme="minorHAnsi" w:hAnsiTheme="minorHAnsi" w:cstheme="minorHAnsi"/>
          <w:color w:val="212121"/>
        </w:rPr>
        <w:t>PPLS Research Ethics, 346-2223/</w:t>
      </w:r>
      <w:r w:rsidR="009D38E0" w:rsidRPr="001548BC">
        <w:rPr>
          <w:rFonts w:asciiTheme="minorHAnsi" w:hAnsiTheme="minorHAnsi" w:cstheme="minorHAnsi"/>
          <w:color w:val="212121"/>
        </w:rPr>
        <w:t>3.</w:t>
      </w:r>
    </w:p>
  </w:footnote>
  <w:footnote w:id="214">
    <w:p w14:paraId="41EFD0BE" w14:textId="2B937524" w:rsidR="009443AD" w:rsidRPr="009443AD" w:rsidRDefault="009443AD" w:rsidP="00AE3304">
      <w:pPr>
        <w:pStyle w:val="FootnoteText"/>
        <w:jc w:val="left"/>
        <w:rPr>
          <w:rFonts w:asciiTheme="minorHAnsi" w:hAnsiTheme="minorHAnsi" w:cstheme="minorHAnsi"/>
          <w:u w:val="single"/>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Pr="00443670">
        <w:rPr>
          <w:rFonts w:asciiTheme="minorHAnsi" w:hAnsiTheme="minorHAnsi" w:cstheme="minorHAnsi"/>
        </w:rPr>
        <w:t xml:space="preserve">Nira Wickramasinghe, ‘The Return of Keppetipola’s Cranium: Authenticity in a New Nation’, </w:t>
      </w:r>
      <w:r w:rsidRPr="00443670">
        <w:rPr>
          <w:rFonts w:asciiTheme="minorHAnsi" w:hAnsiTheme="minorHAnsi" w:cstheme="minorHAnsi"/>
          <w:i/>
          <w:iCs/>
          <w:color w:val="343332"/>
        </w:rPr>
        <w:t>Economic and Political Weekly</w:t>
      </w:r>
      <w:r w:rsidRPr="00443670">
        <w:rPr>
          <w:rFonts w:asciiTheme="minorHAnsi" w:hAnsiTheme="minorHAnsi" w:cstheme="minorHAnsi"/>
          <w:color w:val="343332"/>
        </w:rPr>
        <w:t>, 32 (1997), 85–92</w:t>
      </w:r>
      <w:r w:rsidR="00FF07FB">
        <w:rPr>
          <w:rFonts w:asciiTheme="minorHAnsi" w:hAnsiTheme="minorHAnsi" w:cstheme="minorHAnsi"/>
          <w:color w:val="343332"/>
        </w:rPr>
        <w:t>.</w:t>
      </w:r>
    </w:p>
  </w:footnote>
  <w:footnote w:id="215">
    <w:p w14:paraId="01A02A28" w14:textId="1D8DFB75" w:rsidR="00FF07FB" w:rsidRPr="001548BC" w:rsidRDefault="00FF07FB" w:rsidP="00AE3304">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Pr="00443670">
        <w:rPr>
          <w:rFonts w:asciiTheme="minorHAnsi" w:hAnsiTheme="minorHAnsi" w:cstheme="minorHAnsi"/>
        </w:rPr>
        <w:t xml:space="preserve">University of Edinburgh Court Minutes, 5 November 1990. For more information, see Cressida Fforde, ‘Controlling the Dead: An Analysis of the Collecting and Repatriation of Aboriginal Human Remains’, 2 vols (unpublished doctoral thesis, University of Southampton, 1997); Cressida Fforde, </w:t>
      </w:r>
      <w:r w:rsidRPr="00443670">
        <w:rPr>
          <w:rFonts w:asciiTheme="minorHAnsi" w:hAnsiTheme="minorHAnsi" w:cstheme="minorHAnsi"/>
          <w:i/>
          <w:iCs/>
        </w:rPr>
        <w:t xml:space="preserve">Collecting the Dead: Archaeology and the Reburial Issue </w:t>
      </w:r>
      <w:r w:rsidRPr="00443670">
        <w:rPr>
          <w:rFonts w:asciiTheme="minorHAnsi" w:hAnsiTheme="minorHAnsi" w:cstheme="minorHAnsi"/>
        </w:rPr>
        <w:t>(London</w:t>
      </w:r>
      <w:r w:rsidRPr="00097BBC">
        <w:rPr>
          <w:rFonts w:asciiTheme="minorHAnsi" w:hAnsiTheme="minorHAnsi" w:cstheme="minorHAnsi"/>
        </w:rPr>
        <w:t>: Duckworth, 2004)</w:t>
      </w:r>
      <w:r>
        <w:rPr>
          <w:rFonts w:asciiTheme="minorHAnsi" w:hAnsiTheme="minorHAnsi" w:cstheme="minorHAnsi"/>
        </w:rPr>
        <w:t>.</w:t>
      </w:r>
    </w:p>
  </w:footnote>
  <w:footnote w:id="216">
    <w:p w14:paraId="30F51667" w14:textId="77777777" w:rsidR="00F86B38" w:rsidRPr="00097BBC" w:rsidRDefault="00F86B38"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‘Warrior Skulls Returned to their Ancestral Home’, 7 November 2023, </w:t>
      </w:r>
      <w:hyperlink r:id="rId62" w:anchor=":~:text=The%20first%20repatriation%20at%20the,colonial%20period%20in%20the%201880s" w:history="1">
        <w:r w:rsidRPr="00097BBC">
          <w:rPr>
            <w:rStyle w:val="Hyperlink"/>
            <w:rFonts w:asciiTheme="minorHAnsi" w:hAnsiTheme="minorHAnsi" w:cstheme="minorHAnsi"/>
          </w:rPr>
          <w:t>https://www.ed.ac.uk/news/2023/mudan-skulls#:~:text=The%20first%20repatriation%20at%20the,colonial%20period%20in%20the%201880s</w:t>
        </w:r>
      </w:hyperlink>
      <w:r w:rsidRPr="00097BBC">
        <w:rPr>
          <w:rFonts w:asciiTheme="minorHAnsi" w:hAnsiTheme="minorHAnsi" w:cstheme="minorHAnsi"/>
        </w:rPr>
        <w:t xml:space="preserve">. </w:t>
      </w:r>
    </w:p>
  </w:footnote>
  <w:footnote w:id="217">
    <w:p w14:paraId="3138B9D2" w14:textId="205BF041" w:rsidR="00883086" w:rsidRPr="00097BBC" w:rsidRDefault="00883086" w:rsidP="00AE3304">
      <w:pPr>
        <w:pStyle w:val="FootnoteText"/>
        <w:jc w:val="left"/>
        <w:rPr>
          <w:rFonts w:asciiTheme="minorHAnsi" w:hAnsiTheme="minorHAnsi" w:cstheme="minorHAnsi"/>
          <w:i/>
          <w:iCs/>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BD46E5" w:rsidRPr="00097BBC">
        <w:rPr>
          <w:rFonts w:asciiTheme="minorHAnsi" w:hAnsiTheme="minorHAnsi" w:cstheme="minorHAnsi"/>
        </w:rPr>
        <w:t>Daisy Chamberlain, ‘Collections Uncovered: Omdurman Battlefield Skulls’,</w:t>
      </w:r>
      <w:r w:rsidR="000056AE" w:rsidRPr="00097BBC">
        <w:rPr>
          <w:rFonts w:asciiTheme="minorHAnsi" w:hAnsiTheme="minorHAnsi" w:cstheme="minorHAnsi"/>
        </w:rPr>
        <w:t xml:space="preserve"> 25 May 2021, </w:t>
      </w:r>
      <w:hyperlink r:id="rId63" w:history="1">
        <w:r w:rsidR="000056AE" w:rsidRPr="00097BBC">
          <w:rPr>
            <w:rStyle w:val="Hyperlink"/>
            <w:rFonts w:asciiTheme="minorHAnsi" w:hAnsiTheme="minorHAnsi" w:cstheme="minorHAnsi"/>
          </w:rPr>
          <w:t>https://anatomicalmuseum.wordpress.com/2021/05/25/collections-uncovered-omdurman-battlefield-skulls/</w:t>
        </w:r>
      </w:hyperlink>
      <w:r w:rsidR="000056AE" w:rsidRPr="00097BBC">
        <w:rPr>
          <w:rFonts w:asciiTheme="minorHAnsi" w:hAnsiTheme="minorHAnsi" w:cstheme="minorHAnsi"/>
        </w:rPr>
        <w:t xml:space="preserve"> (accessed 9 January 2025).</w:t>
      </w:r>
      <w:r w:rsidR="005A49D4">
        <w:rPr>
          <w:rFonts w:asciiTheme="minorHAnsi" w:hAnsiTheme="minorHAnsi" w:cstheme="minorHAnsi"/>
        </w:rPr>
        <w:t xml:space="preserve"> </w:t>
      </w:r>
    </w:p>
  </w:footnote>
  <w:footnote w:id="218">
    <w:p w14:paraId="2FFEF179" w14:textId="73CA9455" w:rsidR="00795037" w:rsidRPr="001548BC" w:rsidRDefault="00795037" w:rsidP="00AE3304">
      <w:pPr>
        <w:pStyle w:val="FootnoteText"/>
        <w:jc w:val="left"/>
        <w:rPr>
          <w:rFonts w:asciiTheme="minorHAnsi" w:hAnsiTheme="minorHAnsi" w:cstheme="minorHAnsi"/>
        </w:rPr>
      </w:pPr>
      <w:r w:rsidRPr="001548BC">
        <w:rPr>
          <w:rStyle w:val="FootnoteReference"/>
          <w:rFonts w:asciiTheme="minorHAnsi" w:hAnsiTheme="minorHAnsi" w:cstheme="minorHAnsi"/>
        </w:rPr>
        <w:footnoteRef/>
      </w:r>
      <w:r w:rsidRPr="001548BC">
        <w:rPr>
          <w:rFonts w:asciiTheme="minorHAnsi" w:hAnsiTheme="minorHAnsi" w:cstheme="minorHAnsi"/>
        </w:rPr>
        <w:t xml:space="preserve"> </w:t>
      </w:r>
      <w:r w:rsidR="003B4C2A" w:rsidRPr="001548BC">
        <w:rPr>
          <w:rFonts w:asciiTheme="minorHAnsi" w:eastAsia="Calibri" w:hAnsiTheme="minorHAnsi" w:cstheme="minorHAnsi"/>
        </w:rPr>
        <w:t>Communiversity is a concept for bringing people</w:t>
      </w:r>
      <w:r w:rsidR="003E0D72" w:rsidRPr="001548BC">
        <w:rPr>
          <w:rFonts w:asciiTheme="minorHAnsi" w:eastAsia="Calibri" w:hAnsiTheme="minorHAnsi" w:cstheme="minorHAnsi"/>
        </w:rPr>
        <w:t>’</w:t>
      </w:r>
      <w:r w:rsidR="003B4C2A" w:rsidRPr="001548BC">
        <w:rPr>
          <w:rFonts w:asciiTheme="minorHAnsi" w:eastAsia="Calibri" w:hAnsiTheme="minorHAnsi" w:cstheme="minorHAnsi"/>
        </w:rPr>
        <w:t>s power together through educational procedures and systems that emphasise pluriversality, decolonisation and indigeneity in order to create a more integrated global academy commons.</w:t>
      </w:r>
    </w:p>
  </w:footnote>
  <w:footnote w:id="219">
    <w:p w14:paraId="260FC7DD" w14:textId="6CBC6B62" w:rsidR="19D534DB" w:rsidRPr="00B04460" w:rsidRDefault="19D534DB" w:rsidP="00AE3304">
      <w:pPr>
        <w:rPr>
          <w:rFonts w:eastAsia="Calibri" w:cstheme="minorHAnsi"/>
          <w:color w:val="0563C1" w:themeColor="hyperlink"/>
          <w:sz w:val="20"/>
          <w:szCs w:val="20"/>
          <w:u w:val="single"/>
        </w:rPr>
      </w:pPr>
      <w:r w:rsidRPr="001548BC">
        <w:rPr>
          <w:rStyle w:val="FootnoteReference"/>
          <w:rFonts w:cstheme="minorHAnsi"/>
          <w:sz w:val="20"/>
          <w:szCs w:val="20"/>
        </w:rPr>
        <w:footnoteRef/>
      </w:r>
      <w:r w:rsidR="0010321B" w:rsidRPr="001548BC">
        <w:rPr>
          <w:rFonts w:cstheme="minorHAnsi"/>
          <w:sz w:val="20"/>
          <w:szCs w:val="20"/>
        </w:rPr>
        <w:t xml:space="preserve"> For more information, see </w:t>
      </w:r>
      <w:r w:rsidR="00641816" w:rsidRPr="001548BC">
        <w:rPr>
          <w:rFonts w:cstheme="minorHAnsi"/>
          <w:sz w:val="20"/>
          <w:szCs w:val="20"/>
        </w:rPr>
        <w:t>PRALER, ‘Global Citizenship Education for Planet Repairs Action (GCEPRA) - Ghana in Planet Repairs Action Dialogue (GIPRAD), 16 July 2024,</w:t>
      </w:r>
      <w:r w:rsidR="008804F2" w:rsidRPr="001548BC">
        <w:rPr>
          <w:rFonts w:cstheme="minorHAnsi"/>
          <w:sz w:val="20"/>
          <w:szCs w:val="20"/>
        </w:rPr>
        <w:t xml:space="preserve"> </w:t>
      </w:r>
      <w:hyperlink r:id="rId64" w:history="1">
        <w:r w:rsidR="00641816" w:rsidRPr="00E52FD6">
          <w:rPr>
            <w:rFonts w:cstheme="minorHAnsi"/>
            <w:sz w:val="20"/>
            <w:szCs w:val="20"/>
          </w:rPr>
          <w:t>https://www.praler.net/post/global-citizenship-education-for-planet-repairs-action-gcepra-ghana-in-planet-repairs-action-dia</w:t>
        </w:r>
      </w:hyperlink>
      <w:r w:rsidR="008804F2" w:rsidRPr="001548BC">
        <w:rPr>
          <w:rFonts w:cstheme="minorHAnsi"/>
          <w:sz w:val="20"/>
          <w:szCs w:val="20"/>
        </w:rPr>
        <w:t>.</w:t>
      </w:r>
    </w:p>
  </w:footnote>
  <w:footnote w:id="220">
    <w:p w14:paraId="093A6DFD" w14:textId="0FC6430D" w:rsidR="00016A95" w:rsidRPr="00097BBC" w:rsidRDefault="00016A95" w:rsidP="00AE3304">
      <w:pPr>
        <w:pStyle w:val="FootnoteText"/>
        <w:jc w:val="left"/>
        <w:rPr>
          <w:rFonts w:asciiTheme="minorHAnsi" w:eastAsia="Calibr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The </w:t>
      </w:r>
      <w:hyperlink r:id="rId65">
        <w:r w:rsidRPr="00097BBC">
          <w:rPr>
            <w:rStyle w:val="Hyperlink"/>
            <w:rFonts w:asciiTheme="minorHAnsi" w:eastAsia="Calibri" w:hAnsiTheme="minorHAnsi" w:cstheme="minorHAnsi"/>
            <w:color w:val="auto"/>
          </w:rPr>
          <w:t>Edinburgh Futures Institute</w:t>
        </w:r>
      </w:hyperlink>
      <w:r w:rsidRPr="00097BBC">
        <w:rPr>
          <w:rFonts w:asciiTheme="minorHAnsi" w:eastAsia="Calibri" w:hAnsiTheme="minorHAnsi" w:cstheme="minorHAnsi"/>
        </w:rPr>
        <w:t xml:space="preserve"> provided funds to resource a feasibility study into the ISMAR Archive collection. This aspect of our community engagement work builds on the recommendations of that feasibility study conducted by </w:t>
      </w:r>
      <w:hyperlink r:id="rId66">
        <w:r w:rsidRPr="00097BBC">
          <w:rPr>
            <w:rStyle w:val="Hyperlink"/>
            <w:rFonts w:asciiTheme="minorHAnsi" w:eastAsia="Calibri" w:hAnsiTheme="minorHAnsi" w:cstheme="minorHAnsi"/>
            <w:color w:val="auto"/>
          </w:rPr>
          <w:t>Janice Tullock Associates</w:t>
        </w:r>
      </w:hyperlink>
      <w:r w:rsidRPr="00097BBC">
        <w:rPr>
          <w:rFonts w:asciiTheme="minorHAnsi" w:eastAsia="Calibri" w:hAnsiTheme="minorHAnsi" w:cstheme="minorHAnsi"/>
        </w:rPr>
        <w:t xml:space="preserve">. </w:t>
      </w:r>
    </w:p>
  </w:footnote>
  <w:footnote w:id="221">
    <w:p w14:paraId="3A536659" w14:textId="4AE7546C" w:rsidR="00CA0DE2" w:rsidRPr="00E52FD6" w:rsidRDefault="00CA0DE2" w:rsidP="00AE3304">
      <w:pPr>
        <w:pStyle w:val="FootnoteText"/>
        <w:jc w:val="left"/>
        <w:rPr>
          <w:rFonts w:asciiTheme="minorHAnsi" w:hAnsiTheme="minorHAnsi" w:cstheme="minorHAnsi"/>
        </w:rPr>
      </w:pPr>
      <w:r w:rsidRPr="00E52FD6">
        <w:rPr>
          <w:rStyle w:val="FootnoteReference"/>
          <w:rFonts w:asciiTheme="minorHAnsi" w:hAnsiTheme="minorHAnsi" w:cstheme="minorHAnsi"/>
        </w:rPr>
        <w:footnoteRef/>
      </w:r>
      <w:r w:rsidRPr="00E52FD6">
        <w:rPr>
          <w:rFonts w:asciiTheme="minorHAnsi" w:hAnsiTheme="minorHAnsi" w:cstheme="minorHAnsi"/>
        </w:rPr>
        <w:t xml:space="preserve"> Decolonising the Archive, </w:t>
      </w:r>
      <w:r w:rsidR="00976EA5" w:rsidRPr="00E52FD6">
        <w:rPr>
          <w:rFonts w:asciiTheme="minorHAnsi" w:hAnsiTheme="minorHAnsi" w:cstheme="minorHAnsi"/>
        </w:rPr>
        <w:t>‘About Us’, https://www.decolonisingthearchive.com/about.</w:t>
      </w:r>
    </w:p>
  </w:footnote>
  <w:footnote w:id="222">
    <w:p w14:paraId="00C80B13" w14:textId="1BF716BE" w:rsidR="00D07AB0" w:rsidRPr="00097BBC" w:rsidRDefault="00D07AB0" w:rsidP="00AE3304">
      <w:pPr>
        <w:pStyle w:val="FootnoteText"/>
        <w:jc w:val="left"/>
        <w:rPr>
          <w:rFonts w:asciiTheme="minorHAnsi" w:hAnsiTheme="minorHAnsi" w:cstheme="minorHAnsi"/>
        </w:rPr>
      </w:pPr>
      <w:r w:rsidRPr="00E52FD6">
        <w:rPr>
          <w:rStyle w:val="FootnoteReference"/>
          <w:rFonts w:asciiTheme="minorHAnsi" w:hAnsiTheme="minorHAnsi" w:cstheme="minorHAnsi"/>
        </w:rPr>
        <w:footnoteRef/>
      </w:r>
      <w:r w:rsidRPr="00E52FD6">
        <w:rPr>
          <w:rFonts w:asciiTheme="minorHAnsi" w:hAnsiTheme="minorHAnsi" w:cstheme="minorHAnsi"/>
        </w:rPr>
        <w:t xml:space="preserve"> </w:t>
      </w:r>
      <w:r w:rsidR="00D75906" w:rsidRPr="00643BA0">
        <w:rPr>
          <w:rFonts w:asciiTheme="minorHAnsi" w:hAnsiTheme="minorHAnsi" w:cstheme="minorHAnsi"/>
        </w:rPr>
        <w:t>Decolonising the Archive</w:t>
      </w:r>
      <w:r w:rsidR="001D2536" w:rsidRPr="00643BA0">
        <w:rPr>
          <w:rFonts w:asciiTheme="minorHAnsi" w:hAnsiTheme="minorHAnsi" w:cstheme="minorHAnsi"/>
        </w:rPr>
        <w:t>, ‘Correcting our Collecting: An Introduction to African-Centred Archiving (Bespoke Programme)’,</w:t>
      </w:r>
      <w:r w:rsidR="004777D4" w:rsidRPr="00643BA0">
        <w:rPr>
          <w:rFonts w:asciiTheme="minorHAnsi" w:hAnsiTheme="minorHAnsi" w:cstheme="minorHAnsi"/>
        </w:rPr>
        <w:t xml:space="preserve"> September 2024, https://blogs.ed.ac.uk/decolonise/wp-content/uploads/sites/7804/2025/02/DTA_Correcting-Our-Collecting-Bespoke-Edinburgh-Group.pdf</w:t>
      </w:r>
      <w:r w:rsidR="00B8563C" w:rsidRPr="00643BA0">
        <w:rPr>
          <w:rFonts w:asciiTheme="minorHAnsi" w:hAnsiTheme="minorHAnsi" w:cstheme="minorHAnsi"/>
        </w:rPr>
        <w:t>.</w:t>
      </w:r>
      <w:r w:rsidRPr="00643BA0">
        <w:rPr>
          <w:rFonts w:asciiTheme="minorHAnsi" w:hAnsiTheme="minorHAnsi" w:cstheme="minorHAnsi"/>
        </w:rPr>
        <w:t xml:space="preserve"> </w:t>
      </w:r>
    </w:p>
  </w:footnote>
  <w:footnote w:id="223">
    <w:p w14:paraId="155D8A68" w14:textId="7F9EB06A" w:rsidR="00D07AB0" w:rsidRPr="00097BBC" w:rsidRDefault="00D07AB0"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000854E3" w:rsidRPr="00097BBC">
        <w:rPr>
          <w:rFonts w:asciiTheme="minorHAnsi" w:hAnsiTheme="minorHAnsi" w:cstheme="minorHAnsi"/>
        </w:rPr>
        <w:t xml:space="preserve"> Sarah Van Beurden, ‘L</w:t>
      </w:r>
      <w:r w:rsidRPr="00097BBC">
        <w:rPr>
          <w:rFonts w:asciiTheme="minorHAnsi" w:hAnsiTheme="minorHAnsi" w:cstheme="minorHAnsi"/>
        </w:rPr>
        <w:t>OOT: Colonial Collections and African Restitution Debates</w:t>
      </w:r>
      <w:r w:rsidR="000854E3" w:rsidRPr="00097BBC">
        <w:rPr>
          <w:rFonts w:asciiTheme="minorHAnsi" w:hAnsiTheme="minorHAnsi" w:cstheme="minorHAnsi"/>
        </w:rPr>
        <w:t xml:space="preserve">’, </w:t>
      </w:r>
      <w:r w:rsidR="00C6344E" w:rsidRPr="00097BBC">
        <w:rPr>
          <w:rFonts w:asciiTheme="minorHAnsi" w:hAnsiTheme="minorHAnsi" w:cstheme="minorHAnsi"/>
        </w:rPr>
        <w:t>March 2022,</w:t>
      </w:r>
      <w:r w:rsidRPr="00097BBC">
        <w:rPr>
          <w:rFonts w:asciiTheme="minorHAnsi" w:hAnsiTheme="minorHAnsi" w:cstheme="minorHAnsi"/>
        </w:rPr>
        <w:t xml:space="preserve"> </w:t>
      </w:r>
      <w:r w:rsidR="00137286" w:rsidRPr="00097BBC">
        <w:rPr>
          <w:rFonts w:asciiTheme="minorHAnsi" w:hAnsiTheme="minorHAnsi" w:cstheme="minorHAnsi"/>
        </w:rPr>
        <w:t>https://origins.osu.edu/read/loot-colonial-collections-and-african-restitution-debates#page-content</w:t>
      </w:r>
      <w:r w:rsidR="00137286" w:rsidRPr="00643BA0">
        <w:rPr>
          <w:rFonts w:asciiTheme="minorHAnsi" w:hAnsiTheme="minorHAnsi" w:cstheme="minorHAnsi"/>
        </w:rPr>
        <w:t>.</w:t>
      </w:r>
    </w:p>
  </w:footnote>
  <w:footnote w:id="224">
    <w:p w14:paraId="19B0E60C" w14:textId="02B9E231" w:rsidR="00D07AB0" w:rsidRPr="00097BBC" w:rsidRDefault="00D07AB0" w:rsidP="00AE3304">
      <w:pPr>
        <w:pStyle w:val="FootnoteText"/>
        <w:jc w:val="lef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008B2DC0" w:rsidRPr="00097BBC">
        <w:rPr>
          <w:rFonts w:asciiTheme="minorHAnsi" w:hAnsiTheme="minorHAnsi" w:cstheme="minorHAnsi"/>
        </w:rPr>
        <w:t xml:space="preserve">Tosin </w:t>
      </w:r>
      <w:r w:rsidRPr="00097BBC">
        <w:rPr>
          <w:rFonts w:asciiTheme="minorHAnsi" w:hAnsiTheme="minorHAnsi" w:cstheme="minorHAnsi"/>
        </w:rPr>
        <w:t>Adeate and Anusharani Sewchurran</w:t>
      </w:r>
      <w:r w:rsidR="002A625E" w:rsidRPr="00097BBC">
        <w:rPr>
          <w:rFonts w:asciiTheme="minorHAnsi" w:hAnsiTheme="minorHAnsi" w:cstheme="minorHAnsi"/>
        </w:rPr>
        <w:t>,</w:t>
      </w:r>
      <w:r w:rsidRPr="00097BBC">
        <w:rPr>
          <w:rFonts w:asciiTheme="minorHAnsi" w:hAnsiTheme="minorHAnsi" w:cstheme="minorHAnsi"/>
        </w:rPr>
        <w:t xml:space="preserve"> </w:t>
      </w:r>
      <w:r w:rsidR="002A625E" w:rsidRPr="00097BBC">
        <w:rPr>
          <w:rFonts w:asciiTheme="minorHAnsi" w:hAnsiTheme="minorHAnsi" w:cstheme="minorHAnsi"/>
        </w:rPr>
        <w:t>‘</w:t>
      </w:r>
      <w:r w:rsidRPr="00097BBC">
        <w:rPr>
          <w:rFonts w:asciiTheme="minorHAnsi" w:hAnsiTheme="minorHAnsi" w:cstheme="minorHAnsi"/>
        </w:rPr>
        <w:t>African Epistemologies and the Decolonial Curriculum</w:t>
      </w:r>
      <w:r w:rsidR="002A625E" w:rsidRPr="00097BBC">
        <w:rPr>
          <w:rFonts w:asciiTheme="minorHAnsi" w:hAnsiTheme="minorHAnsi" w:cstheme="minorHAnsi"/>
        </w:rPr>
        <w:t>’,</w:t>
      </w:r>
      <w:r w:rsidRPr="00097BBC">
        <w:rPr>
          <w:rFonts w:asciiTheme="minorHAnsi" w:hAnsiTheme="minorHAnsi" w:cstheme="minorHAnsi"/>
        </w:rPr>
        <w:t xml:space="preserve"> </w:t>
      </w:r>
      <w:r w:rsidRPr="00097BBC">
        <w:rPr>
          <w:rFonts w:asciiTheme="minorHAnsi" w:hAnsiTheme="minorHAnsi" w:cstheme="minorHAnsi"/>
          <w:i/>
          <w:iCs/>
        </w:rPr>
        <w:t>Acta Academica Critical Views on Society Culture and Politics</w:t>
      </w:r>
      <w:r w:rsidRPr="00097BBC">
        <w:rPr>
          <w:rFonts w:asciiTheme="minorHAnsi" w:hAnsiTheme="minorHAnsi" w:cstheme="minorHAnsi"/>
        </w:rPr>
        <w:t>, 55</w:t>
      </w:r>
      <w:r w:rsidR="00F711B0" w:rsidRPr="00097BBC">
        <w:rPr>
          <w:rFonts w:asciiTheme="minorHAnsi" w:hAnsiTheme="minorHAnsi" w:cstheme="minorHAnsi"/>
        </w:rPr>
        <w:t xml:space="preserve"> (2023),</w:t>
      </w:r>
      <w:r w:rsidRPr="00097BBC">
        <w:rPr>
          <w:rFonts w:asciiTheme="minorHAnsi" w:hAnsiTheme="minorHAnsi" w:cstheme="minorHAnsi"/>
        </w:rPr>
        <w:t xml:space="preserve"> 1–18</w:t>
      </w:r>
      <w:r w:rsidR="00F711B0" w:rsidRPr="00097BBC">
        <w:rPr>
          <w:rFonts w:asciiTheme="minorHAnsi" w:hAnsiTheme="minorHAnsi" w:cstheme="minorHAnsi"/>
        </w:rPr>
        <w:t>.</w:t>
      </w:r>
      <w:r w:rsidRPr="00097BBC">
        <w:rPr>
          <w:rFonts w:asciiTheme="minorHAnsi" w:hAnsiTheme="minorHAnsi" w:cstheme="minorHAnsi"/>
        </w:rPr>
        <w:t xml:space="preserve"> </w:t>
      </w:r>
    </w:p>
  </w:footnote>
  <w:footnote w:id="225">
    <w:p w14:paraId="32761E52" w14:textId="2F61890A" w:rsidR="00D07AB0" w:rsidRPr="00097BBC" w:rsidRDefault="00D07AB0"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w:t>
      </w:r>
      <w:r w:rsidRPr="00097BBC">
        <w:rPr>
          <w:rFonts w:asciiTheme="minorHAnsi" w:hAnsiTheme="minorHAnsi" w:cstheme="minorHAnsi"/>
          <w:shd w:val="clear" w:color="auto" w:fill="FFFFFF"/>
        </w:rPr>
        <w:t xml:space="preserve">Julia E. Rodriguez, </w:t>
      </w:r>
      <w:r w:rsidR="001D7161" w:rsidRPr="00097BBC">
        <w:rPr>
          <w:rFonts w:asciiTheme="minorHAnsi" w:hAnsiTheme="minorHAnsi" w:cstheme="minorHAnsi"/>
          <w:shd w:val="clear" w:color="auto" w:fill="FFFFFF"/>
        </w:rPr>
        <w:t>‘</w:t>
      </w:r>
      <w:r w:rsidRPr="00097BBC">
        <w:rPr>
          <w:rFonts w:asciiTheme="minorHAnsi" w:hAnsiTheme="minorHAnsi" w:cstheme="minorHAnsi"/>
          <w:shd w:val="clear" w:color="auto" w:fill="FFFFFF"/>
        </w:rPr>
        <w:t>Decolonizing or Recolonizing? The (Mis)Representation of Humanity in Natural History Museums</w:t>
      </w:r>
      <w:r w:rsidR="001D7161" w:rsidRPr="00097BBC">
        <w:rPr>
          <w:rFonts w:asciiTheme="minorHAnsi" w:hAnsiTheme="minorHAnsi" w:cstheme="minorHAnsi"/>
          <w:shd w:val="clear" w:color="auto" w:fill="FFFFFF"/>
        </w:rPr>
        <w:t>’,</w:t>
      </w:r>
      <w:r w:rsidR="00DA68BC" w:rsidRPr="00097BBC">
        <w:rPr>
          <w:rFonts w:asciiTheme="minorHAnsi" w:hAnsiTheme="minorHAnsi" w:cstheme="minorHAnsi"/>
          <w:shd w:val="clear" w:color="auto" w:fill="FFFFFF"/>
        </w:rPr>
        <w:t xml:space="preserve"> </w:t>
      </w:r>
      <w:r w:rsidRPr="00097BBC">
        <w:rPr>
          <w:rFonts w:asciiTheme="minorHAnsi" w:hAnsiTheme="minorHAnsi" w:cstheme="minorHAnsi"/>
          <w:i/>
          <w:iCs/>
          <w:shd w:val="clear" w:color="auto" w:fill="FFFFFF"/>
        </w:rPr>
        <w:t>History of Anthropology Review</w:t>
      </w:r>
      <w:r w:rsidR="001D7161" w:rsidRPr="00097BBC">
        <w:rPr>
          <w:rFonts w:asciiTheme="minorHAnsi" w:hAnsiTheme="minorHAnsi" w:cstheme="minorHAnsi"/>
          <w:shd w:val="clear" w:color="auto" w:fill="FFFFFF"/>
        </w:rPr>
        <w:t xml:space="preserve">, </w:t>
      </w:r>
      <w:r w:rsidRPr="00097BBC">
        <w:rPr>
          <w:rFonts w:asciiTheme="minorHAnsi" w:hAnsiTheme="minorHAnsi" w:cstheme="minorHAnsi"/>
          <w:shd w:val="clear" w:color="auto" w:fill="FFFFFF"/>
        </w:rPr>
        <w:t>44 (2020)</w:t>
      </w:r>
      <w:r w:rsidR="001D7161" w:rsidRPr="00097BBC">
        <w:rPr>
          <w:rFonts w:asciiTheme="minorHAnsi" w:hAnsiTheme="minorHAnsi" w:cstheme="minorHAnsi"/>
          <w:shd w:val="clear" w:color="auto" w:fill="FFFFFF"/>
        </w:rPr>
        <w:t>,</w:t>
      </w:r>
      <w:r w:rsidRPr="00097BBC">
        <w:rPr>
          <w:rFonts w:asciiTheme="minorHAnsi" w:hAnsiTheme="minorHAnsi" w:cstheme="minorHAnsi"/>
          <w:shd w:val="clear" w:color="auto" w:fill="FFFFFF"/>
        </w:rPr>
        <w:t xml:space="preserve"> </w:t>
      </w:r>
      <w:hyperlink r:id="rId67" w:history="1">
        <w:r w:rsidR="005D27D7" w:rsidRPr="00097BBC">
          <w:rPr>
            <w:rStyle w:val="Hyperlink"/>
            <w:rFonts w:asciiTheme="minorHAnsi" w:hAnsiTheme="minorHAnsi" w:cstheme="minorHAnsi"/>
            <w:shd w:val="clear" w:color="auto" w:fill="FFFFFF"/>
          </w:rPr>
          <w:t>https://histanthro.org/notes/decolonizing-or-recolonizing/</w:t>
        </w:r>
      </w:hyperlink>
      <w:r w:rsidR="005D27D7" w:rsidRPr="00643BA0">
        <w:rPr>
          <w:rFonts w:asciiTheme="minorHAnsi" w:hAnsiTheme="minorHAnsi" w:cstheme="minorHAnsi"/>
          <w:shd w:val="clear" w:color="auto" w:fill="FFFFFF"/>
        </w:rPr>
        <w:t>.</w:t>
      </w:r>
    </w:p>
  </w:footnote>
  <w:footnote w:id="226">
    <w:p w14:paraId="69AB903E" w14:textId="77777777" w:rsidR="00BA7481" w:rsidRPr="00B04460" w:rsidRDefault="00BA7481" w:rsidP="00B04460">
      <w:pPr>
        <w:pStyle w:val="FootnoteText"/>
        <w:rPr>
          <w:rFonts w:asciiTheme="minorHAnsi" w:hAnsiTheme="minorHAnsi" w:cstheme="minorHAnsi"/>
        </w:rPr>
      </w:pPr>
      <w:r w:rsidRPr="00B04460">
        <w:rPr>
          <w:rStyle w:val="FootnoteReference"/>
          <w:rFonts w:asciiTheme="minorHAnsi" w:hAnsiTheme="minorHAnsi" w:cstheme="minorHAnsi"/>
        </w:rPr>
        <w:footnoteRef/>
      </w:r>
      <w:r w:rsidRPr="00B04460">
        <w:rPr>
          <w:rFonts w:asciiTheme="minorHAnsi" w:hAnsiTheme="minorHAnsi" w:cstheme="minorHAnsi"/>
        </w:rPr>
        <w:t xml:space="preserve"> University of Edinburgh, Strategy 2030, </w:t>
      </w:r>
      <w:hyperlink r:id="rId68" w:history="1">
        <w:r w:rsidRPr="00B04460">
          <w:rPr>
            <w:rStyle w:val="Hyperlink"/>
            <w:rFonts w:asciiTheme="minorHAnsi" w:hAnsiTheme="minorHAnsi" w:cstheme="minorHAnsi"/>
          </w:rPr>
          <w:t>https://www.ed.ac.uk/files/atoms/files/strategy-2030.pdf</w:t>
        </w:r>
      </w:hyperlink>
      <w:r w:rsidRPr="00B04460">
        <w:rPr>
          <w:rFonts w:asciiTheme="minorHAnsi" w:hAnsiTheme="minorHAnsi" w:cstheme="minorHAnsi"/>
        </w:rPr>
        <w:t xml:space="preserve">, </w:t>
      </w:r>
      <w:r w:rsidRPr="00B04460">
        <w:rPr>
          <w:rFonts w:asciiTheme="minorHAnsi" w:eastAsia="Calibri" w:hAnsiTheme="minorHAnsi" w:cstheme="minorHAnsi"/>
          <w:color w:val="000000" w:themeColor="text1"/>
        </w:rPr>
        <w:t>p. 6.</w:t>
      </w:r>
    </w:p>
  </w:footnote>
  <w:footnote w:id="227">
    <w:p w14:paraId="67147475" w14:textId="77777777" w:rsidR="00350080" w:rsidRPr="00B04460" w:rsidRDefault="00350080" w:rsidP="00B04460">
      <w:pPr>
        <w:pStyle w:val="FootnoteText"/>
        <w:rPr>
          <w:rFonts w:asciiTheme="minorHAnsi" w:hAnsiTheme="minorHAnsi" w:cstheme="minorHAnsi"/>
        </w:rPr>
      </w:pPr>
      <w:r w:rsidRPr="00B04460">
        <w:rPr>
          <w:rStyle w:val="FootnoteReference"/>
          <w:rFonts w:asciiTheme="minorHAnsi" w:hAnsiTheme="minorHAnsi" w:cstheme="minorHAnsi"/>
        </w:rPr>
        <w:footnoteRef/>
      </w:r>
      <w:r w:rsidRPr="00B04460">
        <w:rPr>
          <w:rFonts w:asciiTheme="minorHAnsi" w:hAnsiTheme="minorHAnsi" w:cstheme="minorHAnsi"/>
        </w:rPr>
        <w:t xml:space="preserve"> Omolabake Fakunle, Yifang Xu, Mariel Deluna, ‘Exploring the intersection of inclusion and internationalisation at the University of Edinburgh. Final Report: Scoping Study (2022)’, PTAS Project Report (2022), </w:t>
      </w:r>
      <w:hyperlink r:id="rId69" w:history="1">
        <w:r w:rsidRPr="00B04460">
          <w:rPr>
            <w:rStyle w:val="Hyperlink"/>
            <w:rFonts w:asciiTheme="minorHAnsi" w:hAnsiTheme="minorHAnsi" w:cstheme="minorHAnsi"/>
          </w:rPr>
          <w:t>https://institute-academic-development.ed.ac.uk/learning-teaching/funding/funding/previous-projects/year/march-2021/inclusiveness-in-internationalisation</w:t>
        </w:r>
      </w:hyperlink>
      <w:r w:rsidRPr="00B04460">
        <w:rPr>
          <w:rFonts w:asciiTheme="minorHAnsi" w:hAnsiTheme="minorHAnsi" w:cstheme="minorHAnsi"/>
        </w:rPr>
        <w:t xml:space="preserve">.  </w:t>
      </w:r>
    </w:p>
  </w:footnote>
  <w:footnote w:id="228">
    <w:p w14:paraId="42316580" w14:textId="4302229F" w:rsidR="00C6002D" w:rsidRPr="00B04460" w:rsidRDefault="00C6002D" w:rsidP="00B04460">
      <w:pPr>
        <w:pStyle w:val="FootnoteText"/>
        <w:rPr>
          <w:rFonts w:asciiTheme="minorHAnsi" w:hAnsiTheme="minorHAnsi" w:cstheme="minorHAnsi"/>
        </w:rPr>
      </w:pPr>
      <w:r w:rsidRPr="00B04460">
        <w:rPr>
          <w:rStyle w:val="FootnoteReference"/>
          <w:rFonts w:asciiTheme="minorHAnsi" w:hAnsiTheme="minorHAnsi" w:cstheme="minorHAnsi"/>
        </w:rPr>
        <w:footnoteRef/>
      </w:r>
      <w:r w:rsidRPr="00B04460">
        <w:rPr>
          <w:rFonts w:asciiTheme="minorHAnsi" w:hAnsiTheme="minorHAnsi" w:cstheme="minorHAnsi"/>
        </w:rPr>
        <w:t xml:space="preserve"> </w:t>
      </w:r>
      <w:r w:rsidR="00231746" w:rsidRPr="00B04460">
        <w:rPr>
          <w:rFonts w:asciiTheme="minorHAnsi" w:hAnsiTheme="minorHAnsi" w:cstheme="minorHAnsi"/>
        </w:rPr>
        <w:t>Omolabake Fakunle, Charlie Bevan, Sharon Boateng and Megan Douglas, ‘</w:t>
      </w:r>
      <w:r w:rsidR="00B05014" w:rsidRPr="00B04460">
        <w:rPr>
          <w:rFonts w:asciiTheme="minorHAnsi" w:hAnsiTheme="minorHAnsi" w:cstheme="minorHAnsi"/>
        </w:rPr>
        <w:t xml:space="preserve">Decolonising the Curriculum: A Conversation with Dr Omolabake Fakunle’, </w:t>
      </w:r>
      <w:r w:rsidR="00B05014" w:rsidRPr="00B04460">
        <w:rPr>
          <w:rFonts w:asciiTheme="minorHAnsi" w:hAnsiTheme="minorHAnsi" w:cstheme="minorHAnsi"/>
          <w:i/>
          <w:iCs/>
        </w:rPr>
        <w:t>Teaching Matters</w:t>
      </w:r>
      <w:r w:rsidR="00B05014" w:rsidRPr="00B04460">
        <w:rPr>
          <w:rFonts w:asciiTheme="minorHAnsi" w:hAnsiTheme="minorHAnsi" w:cstheme="minorHAnsi"/>
        </w:rPr>
        <w:t xml:space="preserve">, </w:t>
      </w:r>
      <w:r w:rsidR="00B318AF" w:rsidRPr="00B04460">
        <w:rPr>
          <w:rFonts w:asciiTheme="minorHAnsi" w:hAnsiTheme="minorHAnsi" w:cstheme="minorHAnsi"/>
        </w:rPr>
        <w:t>1 July 2024, https://blogs.ed.ac.uk/teaching-matters/decolonising-the-curriculum-a-conversation-with-dr-omolabake-fakunle/.</w:t>
      </w:r>
    </w:p>
  </w:footnote>
  <w:footnote w:id="229">
    <w:p w14:paraId="6DDF1A87" w14:textId="77777777" w:rsidR="00961D2B" w:rsidRPr="00B04460" w:rsidRDefault="00961D2B" w:rsidP="00B04460">
      <w:pPr>
        <w:spacing w:line="259" w:lineRule="auto"/>
        <w:jc w:val="both"/>
        <w:rPr>
          <w:rFonts w:cstheme="minorHAnsi"/>
          <w:sz w:val="20"/>
          <w:szCs w:val="20"/>
          <w:shd w:val="clear" w:color="auto" w:fill="FFFFFF"/>
        </w:rPr>
      </w:pPr>
      <w:r w:rsidRPr="00B04460">
        <w:rPr>
          <w:rStyle w:val="FootnoteReference"/>
          <w:rFonts w:cstheme="minorHAnsi"/>
          <w:sz w:val="20"/>
          <w:szCs w:val="20"/>
        </w:rPr>
        <w:footnoteRef/>
      </w:r>
      <w:r w:rsidRPr="00B04460">
        <w:rPr>
          <w:rFonts w:cstheme="minorHAnsi"/>
          <w:sz w:val="20"/>
          <w:szCs w:val="20"/>
        </w:rPr>
        <w:t xml:space="preserve"> Arshad, ‘Thematic Review’, p. 1</w:t>
      </w:r>
    </w:p>
  </w:footnote>
  <w:footnote w:id="230">
    <w:p w14:paraId="6D0B0879" w14:textId="77777777" w:rsidR="00FB1C1F" w:rsidRPr="00B04460" w:rsidRDefault="00FB1C1F" w:rsidP="00B04460">
      <w:pPr>
        <w:pStyle w:val="FootnoteText"/>
        <w:rPr>
          <w:rFonts w:asciiTheme="minorHAnsi" w:hAnsiTheme="minorHAnsi" w:cstheme="minorHAnsi"/>
        </w:rPr>
      </w:pPr>
      <w:r w:rsidRPr="00AE3304">
        <w:rPr>
          <w:rStyle w:val="FootnoteReference"/>
          <w:rFonts w:asciiTheme="minorHAnsi" w:hAnsiTheme="minorHAnsi" w:cstheme="minorHAnsi"/>
        </w:rPr>
        <w:footnoteRef/>
      </w:r>
      <w:r w:rsidRPr="00AE3304">
        <w:rPr>
          <w:rFonts w:asciiTheme="minorHAnsi" w:hAnsiTheme="minorHAnsi" w:cstheme="minorHAnsi"/>
        </w:rPr>
        <w:t xml:space="preserve"> Link to Appendix 9.</w:t>
      </w:r>
    </w:p>
  </w:footnote>
  <w:footnote w:id="231">
    <w:p w14:paraId="16585704" w14:textId="632FB87C" w:rsidR="00090A4F" w:rsidRPr="00B04460" w:rsidRDefault="00090A4F">
      <w:pPr>
        <w:pStyle w:val="FootnoteText"/>
        <w:rPr>
          <w:rFonts w:asciiTheme="minorHAnsi" w:hAnsiTheme="minorHAnsi" w:cstheme="minorHAnsi"/>
        </w:rPr>
      </w:pPr>
      <w:r w:rsidRPr="00B04460">
        <w:rPr>
          <w:rStyle w:val="FootnoteReference"/>
          <w:rFonts w:asciiTheme="minorHAnsi" w:hAnsiTheme="minorHAnsi" w:cstheme="minorHAnsi"/>
        </w:rPr>
        <w:footnoteRef/>
      </w:r>
      <w:r w:rsidRPr="00B04460">
        <w:rPr>
          <w:rFonts w:asciiTheme="minorHAnsi" w:hAnsiTheme="minorHAnsi" w:cstheme="minorHAnsi"/>
        </w:rPr>
        <w:t xml:space="preserve"> University of Edinburgh Corporate Services Group, ‘University Initiatives Portfolio Board’, </w:t>
      </w:r>
      <w:hyperlink r:id="rId70" w:history="1">
        <w:r w:rsidR="0025618D" w:rsidRPr="00B04460">
          <w:rPr>
            <w:rStyle w:val="Hyperlink"/>
            <w:rFonts w:asciiTheme="minorHAnsi" w:hAnsiTheme="minorHAnsi" w:cstheme="minorHAnsi"/>
          </w:rPr>
          <w:t>https://corporate-services.ed.ac.uk/our-departments/strategic-change-service/university-initiatives-portfolio-board</w:t>
        </w:r>
      </w:hyperlink>
      <w:r w:rsidR="0025618D" w:rsidRPr="00B04460">
        <w:rPr>
          <w:rFonts w:asciiTheme="minorHAnsi" w:hAnsiTheme="minorHAnsi" w:cstheme="minorHAnsi"/>
        </w:rPr>
        <w:t>.</w:t>
      </w:r>
    </w:p>
  </w:footnote>
  <w:footnote w:id="232">
    <w:p w14:paraId="750ABC64" w14:textId="01A2ADA6" w:rsidR="0047647F" w:rsidRPr="00B04460" w:rsidRDefault="0047647F">
      <w:pPr>
        <w:pStyle w:val="FootnoteText"/>
        <w:rPr>
          <w:rFonts w:asciiTheme="minorHAnsi" w:hAnsiTheme="minorHAnsi" w:cstheme="minorHAnsi"/>
        </w:rPr>
      </w:pPr>
      <w:r w:rsidRPr="00B04460">
        <w:rPr>
          <w:rStyle w:val="FootnoteReference"/>
          <w:rFonts w:asciiTheme="minorHAnsi" w:hAnsiTheme="minorHAnsi" w:cstheme="minorHAnsi"/>
        </w:rPr>
        <w:footnoteRef/>
      </w:r>
      <w:r w:rsidRPr="00B04460">
        <w:rPr>
          <w:rFonts w:asciiTheme="minorHAnsi" w:hAnsiTheme="minorHAnsi" w:cstheme="minorHAnsi"/>
        </w:rPr>
        <w:t xml:space="preserve"> </w:t>
      </w:r>
      <w:r w:rsidR="002E3CA3" w:rsidRPr="00B04460">
        <w:rPr>
          <w:rFonts w:asciiTheme="minorHAnsi" w:hAnsiTheme="minorHAnsi" w:cstheme="minorHAnsi"/>
        </w:rPr>
        <w:t xml:space="preserve">Edinburgh </w:t>
      </w:r>
      <w:r w:rsidR="000959C1" w:rsidRPr="00B04460">
        <w:rPr>
          <w:rFonts w:asciiTheme="minorHAnsi" w:hAnsiTheme="minorHAnsi" w:cstheme="minorHAnsi"/>
        </w:rPr>
        <w:t>Slavery</w:t>
      </w:r>
      <w:r w:rsidR="001A0EF9" w:rsidRPr="00B04460">
        <w:rPr>
          <w:rFonts w:asciiTheme="minorHAnsi" w:hAnsiTheme="minorHAnsi" w:cstheme="minorHAnsi"/>
        </w:rPr>
        <w:t xml:space="preserve"> and Colonialism Legacy Review</w:t>
      </w:r>
      <w:r w:rsidR="003E2E29" w:rsidRPr="00B04460">
        <w:rPr>
          <w:rFonts w:asciiTheme="minorHAnsi" w:hAnsiTheme="minorHAnsi" w:cstheme="minorHAnsi"/>
        </w:rPr>
        <w:t>, https://www.edinburgh.gov.uk/edinburghslaverycolonialism.</w:t>
      </w:r>
    </w:p>
  </w:footnote>
  <w:footnote w:id="233">
    <w:p w14:paraId="4A74BD04" w14:textId="77777777" w:rsidR="007E3F70" w:rsidRPr="00097BBC" w:rsidRDefault="007E3F70" w:rsidP="00097BBC">
      <w:pPr>
        <w:pStyle w:val="FootnoteText"/>
        <w:rPr>
          <w:rFonts w:asciiTheme="minorHAnsi" w:hAnsiTheme="minorHAnsi" w:cstheme="minorHAnsi"/>
        </w:rPr>
      </w:pPr>
      <w:r w:rsidRPr="00097BBC">
        <w:rPr>
          <w:rStyle w:val="FootnoteReference"/>
          <w:rFonts w:asciiTheme="minorHAnsi" w:hAnsiTheme="minorHAnsi" w:cstheme="minorHAnsi"/>
        </w:rPr>
        <w:footnoteRef/>
      </w:r>
      <w:r w:rsidRPr="00097BBC">
        <w:rPr>
          <w:rFonts w:asciiTheme="minorHAnsi" w:hAnsiTheme="minorHAnsi" w:cstheme="minorHAnsi"/>
        </w:rPr>
        <w:t xml:space="preserve"> This is particularly important for members of the REWG who no longer have contracts at the University but are already being invited to talk about their research and involvement in the Decolonised Transformations project.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FFA8E4C" w14:paraId="04208E9D" w14:textId="77777777" w:rsidTr="5FFA8E4C">
      <w:trPr>
        <w:trHeight w:val="300"/>
      </w:trPr>
      <w:tc>
        <w:tcPr>
          <w:tcW w:w="3005" w:type="dxa"/>
        </w:tcPr>
        <w:p w14:paraId="3E031B44" w14:textId="2040DC35" w:rsidR="5FFA8E4C" w:rsidRDefault="5FFA8E4C" w:rsidP="5FFA8E4C">
          <w:pPr>
            <w:pStyle w:val="Header"/>
            <w:ind w:left="-115"/>
          </w:pPr>
        </w:p>
      </w:tc>
      <w:tc>
        <w:tcPr>
          <w:tcW w:w="3005" w:type="dxa"/>
        </w:tcPr>
        <w:p w14:paraId="0972DCA5" w14:textId="71743706" w:rsidR="5FFA8E4C" w:rsidRDefault="5FFA8E4C" w:rsidP="5FFA8E4C">
          <w:pPr>
            <w:pStyle w:val="Header"/>
            <w:jc w:val="center"/>
          </w:pPr>
        </w:p>
      </w:tc>
      <w:tc>
        <w:tcPr>
          <w:tcW w:w="3005" w:type="dxa"/>
        </w:tcPr>
        <w:p w14:paraId="18DD0A9F" w14:textId="495074EE" w:rsidR="5FFA8E4C" w:rsidRDefault="5FFA8E4C" w:rsidP="5FFA8E4C">
          <w:pPr>
            <w:pStyle w:val="Header"/>
            <w:ind w:right="-115"/>
            <w:jc w:val="right"/>
          </w:pPr>
        </w:p>
      </w:tc>
    </w:tr>
  </w:tbl>
  <w:p w14:paraId="6FF003C9" w14:textId="1BEEB937" w:rsidR="5FFA8E4C" w:rsidRDefault="5FFA8E4C" w:rsidP="5FFA8E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94D85"/>
    <w:multiLevelType w:val="hybridMultilevel"/>
    <w:tmpl w:val="6C3A7BD8"/>
    <w:lvl w:ilvl="0" w:tplc="0809000F">
      <w:start w:val="1"/>
      <w:numFmt w:val="decimal"/>
      <w:lvlText w:val="%1."/>
      <w:lvlJc w:val="left"/>
      <w:pPr>
        <w:ind w:left="1080" w:hanging="360"/>
      </w:pPr>
      <w:rPr>
        <w:rFonts w:hint="default"/>
        <w:color w:val="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 w15:restartNumberingAfterBreak="0">
    <w:nsid w:val="084C6FC1"/>
    <w:multiLevelType w:val="hybridMultilevel"/>
    <w:tmpl w:val="98A694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E2A2FD"/>
    <w:multiLevelType w:val="hybridMultilevel"/>
    <w:tmpl w:val="C73E33B4"/>
    <w:lvl w:ilvl="0" w:tplc="D23CE99C">
      <w:start w:val="1"/>
      <w:numFmt w:val="bullet"/>
      <w:lvlText w:val=""/>
      <w:lvlJc w:val="left"/>
      <w:pPr>
        <w:ind w:left="720" w:hanging="360"/>
      </w:pPr>
      <w:rPr>
        <w:rFonts w:ascii="Symbol" w:hAnsi="Symbol" w:hint="default"/>
      </w:rPr>
    </w:lvl>
    <w:lvl w:ilvl="1" w:tplc="A9824DB4">
      <w:start w:val="1"/>
      <w:numFmt w:val="bullet"/>
      <w:lvlText w:val="o"/>
      <w:lvlJc w:val="left"/>
      <w:pPr>
        <w:ind w:left="1440" w:hanging="360"/>
      </w:pPr>
      <w:rPr>
        <w:rFonts w:ascii="Courier New" w:hAnsi="Courier New" w:hint="default"/>
      </w:rPr>
    </w:lvl>
    <w:lvl w:ilvl="2" w:tplc="780E57D2">
      <w:start w:val="1"/>
      <w:numFmt w:val="bullet"/>
      <w:lvlText w:val=""/>
      <w:lvlJc w:val="left"/>
      <w:pPr>
        <w:ind w:left="2160" w:hanging="360"/>
      </w:pPr>
      <w:rPr>
        <w:rFonts w:ascii="Wingdings" w:hAnsi="Wingdings" w:hint="default"/>
      </w:rPr>
    </w:lvl>
    <w:lvl w:ilvl="3" w:tplc="7C9E3EFA">
      <w:start w:val="1"/>
      <w:numFmt w:val="bullet"/>
      <w:lvlText w:val=""/>
      <w:lvlJc w:val="left"/>
      <w:pPr>
        <w:ind w:left="2880" w:hanging="360"/>
      </w:pPr>
      <w:rPr>
        <w:rFonts w:ascii="Symbol" w:hAnsi="Symbol" w:hint="default"/>
      </w:rPr>
    </w:lvl>
    <w:lvl w:ilvl="4" w:tplc="4DAC18EE">
      <w:start w:val="1"/>
      <w:numFmt w:val="bullet"/>
      <w:lvlText w:val="o"/>
      <w:lvlJc w:val="left"/>
      <w:pPr>
        <w:ind w:left="3600" w:hanging="360"/>
      </w:pPr>
      <w:rPr>
        <w:rFonts w:ascii="Courier New" w:hAnsi="Courier New" w:hint="default"/>
      </w:rPr>
    </w:lvl>
    <w:lvl w:ilvl="5" w:tplc="C9426166">
      <w:start w:val="1"/>
      <w:numFmt w:val="bullet"/>
      <w:lvlText w:val=""/>
      <w:lvlJc w:val="left"/>
      <w:pPr>
        <w:ind w:left="4320" w:hanging="360"/>
      </w:pPr>
      <w:rPr>
        <w:rFonts w:ascii="Wingdings" w:hAnsi="Wingdings" w:hint="default"/>
      </w:rPr>
    </w:lvl>
    <w:lvl w:ilvl="6" w:tplc="250815CC">
      <w:start w:val="1"/>
      <w:numFmt w:val="bullet"/>
      <w:lvlText w:val=""/>
      <w:lvlJc w:val="left"/>
      <w:pPr>
        <w:ind w:left="5040" w:hanging="360"/>
      </w:pPr>
      <w:rPr>
        <w:rFonts w:ascii="Symbol" w:hAnsi="Symbol" w:hint="default"/>
      </w:rPr>
    </w:lvl>
    <w:lvl w:ilvl="7" w:tplc="99ACC9A0">
      <w:start w:val="1"/>
      <w:numFmt w:val="bullet"/>
      <w:lvlText w:val="o"/>
      <w:lvlJc w:val="left"/>
      <w:pPr>
        <w:ind w:left="5760" w:hanging="360"/>
      </w:pPr>
      <w:rPr>
        <w:rFonts w:ascii="Courier New" w:hAnsi="Courier New" w:hint="default"/>
      </w:rPr>
    </w:lvl>
    <w:lvl w:ilvl="8" w:tplc="789A0AEC">
      <w:start w:val="1"/>
      <w:numFmt w:val="bullet"/>
      <w:lvlText w:val=""/>
      <w:lvlJc w:val="left"/>
      <w:pPr>
        <w:ind w:left="6480" w:hanging="360"/>
      </w:pPr>
      <w:rPr>
        <w:rFonts w:ascii="Wingdings" w:hAnsi="Wingdings" w:hint="default"/>
      </w:rPr>
    </w:lvl>
  </w:abstractNum>
  <w:abstractNum w:abstractNumId="3" w15:restartNumberingAfterBreak="0">
    <w:nsid w:val="0D4D0478"/>
    <w:multiLevelType w:val="hybridMultilevel"/>
    <w:tmpl w:val="46884956"/>
    <w:lvl w:ilvl="0" w:tplc="08090005">
      <w:start w:val="1"/>
      <w:numFmt w:val="bullet"/>
      <w:lvlText w:val=""/>
      <w:lvlJc w:val="left"/>
      <w:pPr>
        <w:ind w:left="360" w:hanging="360"/>
      </w:pPr>
      <w:rPr>
        <w:rFonts w:ascii="Wingdings" w:hAnsi="Wingdings"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1523C1D"/>
    <w:multiLevelType w:val="multilevel"/>
    <w:tmpl w:val="3A820808"/>
    <w:lvl w:ilvl="0">
      <w:start w:val="1"/>
      <w:numFmt w:val="decimal"/>
      <w:lvlText w:val="%1."/>
      <w:lvlJc w:val="left"/>
      <w:pPr>
        <w:ind w:left="720" w:hanging="360"/>
      </w:pPr>
      <w:rPr>
        <w:rFonts w:hint="default"/>
      </w:rPr>
    </w:lvl>
    <w:lvl w:ilvl="1">
      <w:start w:val="1"/>
      <w:numFmt w:val="decimal"/>
      <w:isLgl/>
      <w:lvlText w:val="%1.%2."/>
      <w:lvlJc w:val="left"/>
      <w:pPr>
        <w:ind w:left="2345"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DE6CBD"/>
    <w:multiLevelType w:val="hybridMultilevel"/>
    <w:tmpl w:val="7F88EB7E"/>
    <w:lvl w:ilvl="0" w:tplc="0F987A76">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2A208D"/>
    <w:multiLevelType w:val="hybridMultilevel"/>
    <w:tmpl w:val="1660A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F15C6"/>
    <w:multiLevelType w:val="hybridMultilevel"/>
    <w:tmpl w:val="FFD055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DB856B6"/>
    <w:multiLevelType w:val="hybridMultilevel"/>
    <w:tmpl w:val="80E8E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576A591"/>
    <w:multiLevelType w:val="hybridMultilevel"/>
    <w:tmpl w:val="F44A5A32"/>
    <w:lvl w:ilvl="0" w:tplc="A704E810">
      <w:start w:val="1"/>
      <w:numFmt w:val="decimal"/>
      <w:lvlText w:val="%1."/>
      <w:lvlJc w:val="left"/>
      <w:pPr>
        <w:ind w:left="720" w:hanging="360"/>
      </w:pPr>
    </w:lvl>
    <w:lvl w:ilvl="1" w:tplc="71DA1614">
      <w:start w:val="1"/>
      <w:numFmt w:val="lowerLetter"/>
      <w:lvlText w:val="%2."/>
      <w:lvlJc w:val="left"/>
      <w:pPr>
        <w:ind w:left="1440" w:hanging="360"/>
      </w:pPr>
    </w:lvl>
    <w:lvl w:ilvl="2" w:tplc="4D16DC38">
      <w:start w:val="1"/>
      <w:numFmt w:val="lowerRoman"/>
      <w:lvlText w:val="%3."/>
      <w:lvlJc w:val="right"/>
      <w:pPr>
        <w:ind w:left="2160" w:hanging="180"/>
      </w:pPr>
    </w:lvl>
    <w:lvl w:ilvl="3" w:tplc="D904EC04">
      <w:start w:val="1"/>
      <w:numFmt w:val="decimal"/>
      <w:lvlText w:val="%4."/>
      <w:lvlJc w:val="left"/>
      <w:pPr>
        <w:ind w:left="2880" w:hanging="360"/>
      </w:pPr>
    </w:lvl>
    <w:lvl w:ilvl="4" w:tplc="F2065CE2">
      <w:start w:val="1"/>
      <w:numFmt w:val="lowerLetter"/>
      <w:lvlText w:val="%5."/>
      <w:lvlJc w:val="left"/>
      <w:pPr>
        <w:ind w:left="3600" w:hanging="360"/>
      </w:pPr>
    </w:lvl>
    <w:lvl w:ilvl="5" w:tplc="A75AD692">
      <w:start w:val="1"/>
      <w:numFmt w:val="lowerRoman"/>
      <w:lvlText w:val="%6."/>
      <w:lvlJc w:val="right"/>
      <w:pPr>
        <w:ind w:left="4320" w:hanging="180"/>
      </w:pPr>
    </w:lvl>
    <w:lvl w:ilvl="6" w:tplc="1CC04B8C">
      <w:start w:val="1"/>
      <w:numFmt w:val="decimal"/>
      <w:lvlText w:val="%7."/>
      <w:lvlJc w:val="left"/>
      <w:pPr>
        <w:ind w:left="5040" w:hanging="360"/>
      </w:pPr>
    </w:lvl>
    <w:lvl w:ilvl="7" w:tplc="C35ACFEE">
      <w:start w:val="1"/>
      <w:numFmt w:val="lowerLetter"/>
      <w:lvlText w:val="%8."/>
      <w:lvlJc w:val="left"/>
      <w:pPr>
        <w:ind w:left="5760" w:hanging="360"/>
      </w:pPr>
    </w:lvl>
    <w:lvl w:ilvl="8" w:tplc="91120AFA">
      <w:start w:val="1"/>
      <w:numFmt w:val="lowerRoman"/>
      <w:lvlText w:val="%9."/>
      <w:lvlJc w:val="right"/>
      <w:pPr>
        <w:ind w:left="6480" w:hanging="180"/>
      </w:pPr>
    </w:lvl>
  </w:abstractNum>
  <w:abstractNum w:abstractNumId="10" w15:restartNumberingAfterBreak="0">
    <w:nsid w:val="2844782E"/>
    <w:multiLevelType w:val="hybridMultilevel"/>
    <w:tmpl w:val="BD96BA4E"/>
    <w:lvl w:ilvl="0" w:tplc="77AEF424">
      <w:numFmt w:val="bullet"/>
      <w:lvlText w:val="-"/>
      <w:lvlJc w:val="left"/>
      <w:pPr>
        <w:ind w:left="1440" w:hanging="360"/>
      </w:pPr>
      <w:rPr>
        <w:rFonts w:ascii="Calibri" w:eastAsia="Calibr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8D414D3"/>
    <w:multiLevelType w:val="hybridMultilevel"/>
    <w:tmpl w:val="1EA2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454D0"/>
    <w:multiLevelType w:val="hybridMultilevel"/>
    <w:tmpl w:val="DAA21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D465C9"/>
    <w:multiLevelType w:val="hybridMultilevel"/>
    <w:tmpl w:val="CA3E52B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FD07D12"/>
    <w:multiLevelType w:val="hybridMultilevel"/>
    <w:tmpl w:val="EC2AC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B26532"/>
    <w:multiLevelType w:val="hybridMultilevel"/>
    <w:tmpl w:val="A28450A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12E722F"/>
    <w:multiLevelType w:val="hybridMultilevel"/>
    <w:tmpl w:val="1CBA82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878255A"/>
    <w:multiLevelType w:val="hybridMultilevel"/>
    <w:tmpl w:val="DA08F350"/>
    <w:lvl w:ilvl="0" w:tplc="7414C0EC">
      <w:start w:val="3"/>
      <w:numFmt w:val="bullet"/>
      <w:lvlText w:val="-"/>
      <w:lvlJc w:val="left"/>
      <w:pPr>
        <w:ind w:left="1080" w:hanging="360"/>
      </w:pPr>
      <w:rPr>
        <w:rFonts w:ascii="Calibri" w:eastAsia="Calibri" w:hAnsi="Calibri" w:cs="Calibri"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E82079"/>
    <w:multiLevelType w:val="hybridMultilevel"/>
    <w:tmpl w:val="CA3E52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6719DF"/>
    <w:multiLevelType w:val="hybridMultilevel"/>
    <w:tmpl w:val="D7FC7DD0"/>
    <w:lvl w:ilvl="0" w:tplc="2160BF5E">
      <w:start w:val="1"/>
      <w:numFmt w:val="decimal"/>
      <w:lvlText w:val="%1."/>
      <w:lvlJc w:val="left"/>
      <w:pPr>
        <w:ind w:left="720" w:hanging="360"/>
      </w:pPr>
    </w:lvl>
    <w:lvl w:ilvl="1" w:tplc="F132AF0E">
      <w:start w:val="1"/>
      <w:numFmt w:val="lowerLetter"/>
      <w:lvlText w:val="%2."/>
      <w:lvlJc w:val="left"/>
      <w:pPr>
        <w:ind w:left="1440" w:hanging="360"/>
      </w:pPr>
    </w:lvl>
    <w:lvl w:ilvl="2" w:tplc="1D00D27A">
      <w:start w:val="1"/>
      <w:numFmt w:val="lowerRoman"/>
      <w:lvlText w:val="%3."/>
      <w:lvlJc w:val="right"/>
      <w:pPr>
        <w:ind w:left="2160" w:hanging="180"/>
      </w:pPr>
    </w:lvl>
    <w:lvl w:ilvl="3" w:tplc="329C0456">
      <w:start w:val="1"/>
      <w:numFmt w:val="decimal"/>
      <w:lvlText w:val="%4."/>
      <w:lvlJc w:val="left"/>
      <w:pPr>
        <w:ind w:left="2880" w:hanging="360"/>
      </w:pPr>
    </w:lvl>
    <w:lvl w:ilvl="4" w:tplc="BC7EB218">
      <w:start w:val="1"/>
      <w:numFmt w:val="lowerLetter"/>
      <w:lvlText w:val="%5."/>
      <w:lvlJc w:val="left"/>
      <w:pPr>
        <w:ind w:left="3600" w:hanging="360"/>
      </w:pPr>
    </w:lvl>
    <w:lvl w:ilvl="5" w:tplc="E9B42AA8">
      <w:start w:val="1"/>
      <w:numFmt w:val="lowerRoman"/>
      <w:lvlText w:val="%6."/>
      <w:lvlJc w:val="right"/>
      <w:pPr>
        <w:ind w:left="4320" w:hanging="180"/>
      </w:pPr>
    </w:lvl>
    <w:lvl w:ilvl="6" w:tplc="FCD4DE6A">
      <w:start w:val="1"/>
      <w:numFmt w:val="decimal"/>
      <w:lvlText w:val="%7."/>
      <w:lvlJc w:val="left"/>
      <w:pPr>
        <w:ind w:left="5040" w:hanging="360"/>
      </w:pPr>
    </w:lvl>
    <w:lvl w:ilvl="7" w:tplc="264C985E">
      <w:start w:val="1"/>
      <w:numFmt w:val="lowerLetter"/>
      <w:lvlText w:val="%8."/>
      <w:lvlJc w:val="left"/>
      <w:pPr>
        <w:ind w:left="5760" w:hanging="360"/>
      </w:pPr>
    </w:lvl>
    <w:lvl w:ilvl="8" w:tplc="B2F2759A">
      <w:start w:val="1"/>
      <w:numFmt w:val="lowerRoman"/>
      <w:lvlText w:val="%9."/>
      <w:lvlJc w:val="right"/>
      <w:pPr>
        <w:ind w:left="6480" w:hanging="180"/>
      </w:pPr>
    </w:lvl>
  </w:abstractNum>
  <w:abstractNum w:abstractNumId="20" w15:restartNumberingAfterBreak="0">
    <w:nsid w:val="3DCD32CA"/>
    <w:multiLevelType w:val="hybridMultilevel"/>
    <w:tmpl w:val="BF7EC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013B59"/>
    <w:multiLevelType w:val="hybridMultilevel"/>
    <w:tmpl w:val="1C0ECC6C"/>
    <w:lvl w:ilvl="0" w:tplc="8B3AC21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2D11063"/>
    <w:multiLevelType w:val="hybridMultilevel"/>
    <w:tmpl w:val="71AC4E0E"/>
    <w:lvl w:ilvl="0" w:tplc="0862E186">
      <w:start w:val="1"/>
      <w:numFmt w:val="decimal"/>
      <w:lvlText w:val="%1."/>
      <w:lvlJc w:val="left"/>
      <w:pPr>
        <w:ind w:left="720" w:hanging="360"/>
      </w:pPr>
    </w:lvl>
    <w:lvl w:ilvl="1" w:tplc="6DC4656C">
      <w:start w:val="1"/>
      <w:numFmt w:val="lowerLetter"/>
      <w:lvlText w:val="%2."/>
      <w:lvlJc w:val="left"/>
      <w:pPr>
        <w:ind w:left="1440" w:hanging="360"/>
      </w:pPr>
    </w:lvl>
    <w:lvl w:ilvl="2" w:tplc="6B1C8552">
      <w:start w:val="1"/>
      <w:numFmt w:val="lowerRoman"/>
      <w:lvlText w:val="%3."/>
      <w:lvlJc w:val="right"/>
      <w:pPr>
        <w:ind w:left="2160" w:hanging="180"/>
      </w:pPr>
    </w:lvl>
    <w:lvl w:ilvl="3" w:tplc="22BCEF8E">
      <w:start w:val="1"/>
      <w:numFmt w:val="decimal"/>
      <w:lvlText w:val="%4."/>
      <w:lvlJc w:val="left"/>
      <w:pPr>
        <w:ind w:left="2880" w:hanging="360"/>
      </w:pPr>
    </w:lvl>
    <w:lvl w:ilvl="4" w:tplc="B53077EA">
      <w:start w:val="1"/>
      <w:numFmt w:val="lowerLetter"/>
      <w:lvlText w:val="%5."/>
      <w:lvlJc w:val="left"/>
      <w:pPr>
        <w:ind w:left="3600" w:hanging="360"/>
      </w:pPr>
    </w:lvl>
    <w:lvl w:ilvl="5" w:tplc="BB9262CC">
      <w:start w:val="1"/>
      <w:numFmt w:val="lowerRoman"/>
      <w:lvlText w:val="%6."/>
      <w:lvlJc w:val="right"/>
      <w:pPr>
        <w:ind w:left="4320" w:hanging="180"/>
      </w:pPr>
    </w:lvl>
    <w:lvl w:ilvl="6" w:tplc="8556CBA0">
      <w:start w:val="1"/>
      <w:numFmt w:val="decimal"/>
      <w:lvlText w:val="%7."/>
      <w:lvlJc w:val="left"/>
      <w:pPr>
        <w:ind w:left="5040" w:hanging="360"/>
      </w:pPr>
    </w:lvl>
    <w:lvl w:ilvl="7" w:tplc="73841516">
      <w:start w:val="1"/>
      <w:numFmt w:val="lowerLetter"/>
      <w:lvlText w:val="%8."/>
      <w:lvlJc w:val="left"/>
      <w:pPr>
        <w:ind w:left="5760" w:hanging="360"/>
      </w:pPr>
    </w:lvl>
    <w:lvl w:ilvl="8" w:tplc="55A28E46">
      <w:start w:val="1"/>
      <w:numFmt w:val="lowerRoman"/>
      <w:lvlText w:val="%9."/>
      <w:lvlJc w:val="right"/>
      <w:pPr>
        <w:ind w:left="6480" w:hanging="180"/>
      </w:pPr>
    </w:lvl>
  </w:abstractNum>
  <w:abstractNum w:abstractNumId="23" w15:restartNumberingAfterBreak="0">
    <w:nsid w:val="47C64698"/>
    <w:multiLevelType w:val="hybridMultilevel"/>
    <w:tmpl w:val="EC7278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3B0F66"/>
    <w:multiLevelType w:val="hybridMultilevel"/>
    <w:tmpl w:val="78167964"/>
    <w:lvl w:ilvl="0" w:tplc="77AEF424">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A6D6C6E"/>
    <w:multiLevelType w:val="hybridMultilevel"/>
    <w:tmpl w:val="295AE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B4B3580"/>
    <w:multiLevelType w:val="hybridMultilevel"/>
    <w:tmpl w:val="3FA62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1D3BA6"/>
    <w:multiLevelType w:val="hybridMultilevel"/>
    <w:tmpl w:val="2A405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3CC1229"/>
    <w:multiLevelType w:val="hybridMultilevel"/>
    <w:tmpl w:val="A9F0EC76"/>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544E7B9B"/>
    <w:multiLevelType w:val="hybridMultilevel"/>
    <w:tmpl w:val="17C6683C"/>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A400404"/>
    <w:multiLevelType w:val="hybridMultilevel"/>
    <w:tmpl w:val="E8C0D110"/>
    <w:lvl w:ilvl="0" w:tplc="5E9603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817E7D"/>
    <w:multiLevelType w:val="hybridMultilevel"/>
    <w:tmpl w:val="2786B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095AF5"/>
    <w:multiLevelType w:val="hybridMultilevel"/>
    <w:tmpl w:val="7096B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8D4CF3"/>
    <w:multiLevelType w:val="multilevel"/>
    <w:tmpl w:val="8B98D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226324"/>
    <w:multiLevelType w:val="hybridMultilevel"/>
    <w:tmpl w:val="765E6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BBA7BCD"/>
    <w:multiLevelType w:val="hybridMultilevel"/>
    <w:tmpl w:val="701661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FC05A0B"/>
    <w:multiLevelType w:val="hybridMultilevel"/>
    <w:tmpl w:val="E760F6EA"/>
    <w:lvl w:ilvl="0" w:tplc="054C8F9A">
      <w:start w:val="1"/>
      <w:numFmt w:val="decimal"/>
      <w:lvlText w:val="%1."/>
      <w:lvlJc w:val="left"/>
      <w:pPr>
        <w:ind w:left="720" w:hanging="360"/>
      </w:pPr>
    </w:lvl>
    <w:lvl w:ilvl="1" w:tplc="A2FE53BE">
      <w:start w:val="1"/>
      <w:numFmt w:val="lowerLetter"/>
      <w:lvlText w:val="%2."/>
      <w:lvlJc w:val="left"/>
      <w:pPr>
        <w:ind w:left="1440" w:hanging="360"/>
      </w:pPr>
    </w:lvl>
    <w:lvl w:ilvl="2" w:tplc="2F0EB420">
      <w:start w:val="1"/>
      <w:numFmt w:val="lowerRoman"/>
      <w:lvlText w:val="%3."/>
      <w:lvlJc w:val="right"/>
      <w:pPr>
        <w:ind w:left="2160" w:hanging="180"/>
      </w:pPr>
    </w:lvl>
    <w:lvl w:ilvl="3" w:tplc="A0681FF8">
      <w:start w:val="1"/>
      <w:numFmt w:val="decimal"/>
      <w:lvlText w:val="%4."/>
      <w:lvlJc w:val="left"/>
      <w:pPr>
        <w:ind w:left="2880" w:hanging="360"/>
      </w:pPr>
    </w:lvl>
    <w:lvl w:ilvl="4" w:tplc="B5A059BE">
      <w:start w:val="1"/>
      <w:numFmt w:val="lowerLetter"/>
      <w:lvlText w:val="%5."/>
      <w:lvlJc w:val="left"/>
      <w:pPr>
        <w:ind w:left="3600" w:hanging="360"/>
      </w:pPr>
    </w:lvl>
    <w:lvl w:ilvl="5" w:tplc="5B7CF964">
      <w:start w:val="1"/>
      <w:numFmt w:val="lowerRoman"/>
      <w:lvlText w:val="%6."/>
      <w:lvlJc w:val="right"/>
      <w:pPr>
        <w:ind w:left="4320" w:hanging="180"/>
      </w:pPr>
    </w:lvl>
    <w:lvl w:ilvl="6" w:tplc="FA4E2166">
      <w:start w:val="1"/>
      <w:numFmt w:val="decimal"/>
      <w:lvlText w:val="%7."/>
      <w:lvlJc w:val="left"/>
      <w:pPr>
        <w:ind w:left="5040" w:hanging="360"/>
      </w:pPr>
    </w:lvl>
    <w:lvl w:ilvl="7" w:tplc="C0B67B6C">
      <w:start w:val="1"/>
      <w:numFmt w:val="lowerLetter"/>
      <w:lvlText w:val="%8."/>
      <w:lvlJc w:val="left"/>
      <w:pPr>
        <w:ind w:left="5760" w:hanging="360"/>
      </w:pPr>
    </w:lvl>
    <w:lvl w:ilvl="8" w:tplc="40FECDCE">
      <w:start w:val="1"/>
      <w:numFmt w:val="lowerRoman"/>
      <w:lvlText w:val="%9."/>
      <w:lvlJc w:val="right"/>
      <w:pPr>
        <w:ind w:left="6480" w:hanging="180"/>
      </w:pPr>
    </w:lvl>
  </w:abstractNum>
  <w:abstractNum w:abstractNumId="37" w15:restartNumberingAfterBreak="0">
    <w:nsid w:val="78116DF1"/>
    <w:multiLevelType w:val="hybridMultilevel"/>
    <w:tmpl w:val="F7DC4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B04C8A"/>
    <w:multiLevelType w:val="hybridMultilevel"/>
    <w:tmpl w:val="0AF234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F75129"/>
    <w:multiLevelType w:val="hybridMultilevel"/>
    <w:tmpl w:val="AEC89F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E13597C"/>
    <w:multiLevelType w:val="hybridMultilevel"/>
    <w:tmpl w:val="512C9676"/>
    <w:lvl w:ilvl="0" w:tplc="B00E9672">
      <w:start w:val="1"/>
      <w:numFmt w:val="bullet"/>
      <w:lvlText w:val=""/>
      <w:lvlJc w:val="left"/>
      <w:pPr>
        <w:ind w:left="720" w:hanging="360"/>
      </w:pPr>
      <w:rPr>
        <w:rFonts w:ascii="Symbol" w:hAnsi="Symbol" w:hint="default"/>
      </w:rPr>
    </w:lvl>
    <w:lvl w:ilvl="1" w:tplc="3350FAB0">
      <w:start w:val="1"/>
      <w:numFmt w:val="bullet"/>
      <w:lvlText w:val="o"/>
      <w:lvlJc w:val="left"/>
      <w:pPr>
        <w:ind w:left="1440" w:hanging="360"/>
      </w:pPr>
      <w:rPr>
        <w:rFonts w:ascii="Courier New" w:hAnsi="Courier New" w:hint="default"/>
      </w:rPr>
    </w:lvl>
    <w:lvl w:ilvl="2" w:tplc="E35E50A6">
      <w:start w:val="1"/>
      <w:numFmt w:val="bullet"/>
      <w:lvlText w:val=""/>
      <w:lvlJc w:val="left"/>
      <w:pPr>
        <w:ind w:left="2160" w:hanging="360"/>
      </w:pPr>
      <w:rPr>
        <w:rFonts w:ascii="Wingdings" w:hAnsi="Wingdings" w:hint="default"/>
      </w:rPr>
    </w:lvl>
    <w:lvl w:ilvl="3" w:tplc="4C606C30">
      <w:start w:val="1"/>
      <w:numFmt w:val="bullet"/>
      <w:lvlText w:val=""/>
      <w:lvlJc w:val="left"/>
      <w:pPr>
        <w:ind w:left="2880" w:hanging="360"/>
      </w:pPr>
      <w:rPr>
        <w:rFonts w:ascii="Symbol" w:hAnsi="Symbol" w:hint="default"/>
      </w:rPr>
    </w:lvl>
    <w:lvl w:ilvl="4" w:tplc="0602E3C0">
      <w:start w:val="1"/>
      <w:numFmt w:val="bullet"/>
      <w:lvlText w:val="o"/>
      <w:lvlJc w:val="left"/>
      <w:pPr>
        <w:ind w:left="3600" w:hanging="360"/>
      </w:pPr>
      <w:rPr>
        <w:rFonts w:ascii="Courier New" w:hAnsi="Courier New" w:hint="default"/>
      </w:rPr>
    </w:lvl>
    <w:lvl w:ilvl="5" w:tplc="C1463EB6">
      <w:start w:val="1"/>
      <w:numFmt w:val="bullet"/>
      <w:lvlText w:val=""/>
      <w:lvlJc w:val="left"/>
      <w:pPr>
        <w:ind w:left="4320" w:hanging="360"/>
      </w:pPr>
      <w:rPr>
        <w:rFonts w:ascii="Wingdings" w:hAnsi="Wingdings" w:hint="default"/>
      </w:rPr>
    </w:lvl>
    <w:lvl w:ilvl="6" w:tplc="23745B00">
      <w:start w:val="1"/>
      <w:numFmt w:val="bullet"/>
      <w:lvlText w:val=""/>
      <w:lvlJc w:val="left"/>
      <w:pPr>
        <w:ind w:left="5040" w:hanging="360"/>
      </w:pPr>
      <w:rPr>
        <w:rFonts w:ascii="Symbol" w:hAnsi="Symbol" w:hint="default"/>
      </w:rPr>
    </w:lvl>
    <w:lvl w:ilvl="7" w:tplc="724E87E6">
      <w:start w:val="1"/>
      <w:numFmt w:val="bullet"/>
      <w:lvlText w:val="o"/>
      <w:lvlJc w:val="left"/>
      <w:pPr>
        <w:ind w:left="5760" w:hanging="360"/>
      </w:pPr>
      <w:rPr>
        <w:rFonts w:ascii="Courier New" w:hAnsi="Courier New" w:hint="default"/>
      </w:rPr>
    </w:lvl>
    <w:lvl w:ilvl="8" w:tplc="0F72D70A">
      <w:start w:val="1"/>
      <w:numFmt w:val="bullet"/>
      <w:lvlText w:val=""/>
      <w:lvlJc w:val="left"/>
      <w:pPr>
        <w:ind w:left="6480" w:hanging="360"/>
      </w:pPr>
      <w:rPr>
        <w:rFonts w:ascii="Wingdings" w:hAnsi="Wingdings" w:hint="default"/>
      </w:rPr>
    </w:lvl>
  </w:abstractNum>
  <w:abstractNum w:abstractNumId="41" w15:restartNumberingAfterBreak="0">
    <w:nsid w:val="7FCF7FAC"/>
    <w:multiLevelType w:val="hybridMultilevel"/>
    <w:tmpl w:val="AC3AB1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0"/>
  </w:num>
  <w:num w:numId="3">
    <w:abstractNumId w:val="2"/>
  </w:num>
  <w:num w:numId="4">
    <w:abstractNumId w:val="36"/>
  </w:num>
  <w:num w:numId="5">
    <w:abstractNumId w:val="15"/>
  </w:num>
  <w:num w:numId="6">
    <w:abstractNumId w:val="28"/>
  </w:num>
  <w:num w:numId="7">
    <w:abstractNumId w:val="12"/>
  </w:num>
  <w:num w:numId="8">
    <w:abstractNumId w:val="32"/>
  </w:num>
  <w:num w:numId="9">
    <w:abstractNumId w:val="31"/>
  </w:num>
  <w:num w:numId="10">
    <w:abstractNumId w:val="21"/>
  </w:num>
  <w:num w:numId="11">
    <w:abstractNumId w:val="24"/>
  </w:num>
  <w:num w:numId="12">
    <w:abstractNumId w:val="11"/>
  </w:num>
  <w:num w:numId="13">
    <w:abstractNumId w:val="38"/>
  </w:num>
  <w:num w:numId="14">
    <w:abstractNumId w:val="22"/>
  </w:num>
  <w:num w:numId="15">
    <w:abstractNumId w:val="19"/>
  </w:num>
  <w:num w:numId="16">
    <w:abstractNumId w:val="26"/>
  </w:num>
  <w:num w:numId="17">
    <w:abstractNumId w:val="23"/>
  </w:num>
  <w:num w:numId="18">
    <w:abstractNumId w:val="30"/>
  </w:num>
  <w:num w:numId="19">
    <w:abstractNumId w:val="41"/>
  </w:num>
  <w:num w:numId="20">
    <w:abstractNumId w:val="5"/>
  </w:num>
  <w:num w:numId="21">
    <w:abstractNumId w:val="4"/>
  </w:num>
  <w:num w:numId="22">
    <w:abstractNumId w:val="3"/>
  </w:num>
  <w:num w:numId="23">
    <w:abstractNumId w:val="1"/>
  </w:num>
  <w:num w:numId="24">
    <w:abstractNumId w:val="6"/>
  </w:num>
  <w:num w:numId="25">
    <w:abstractNumId w:val="25"/>
  </w:num>
  <w:num w:numId="26">
    <w:abstractNumId w:val="18"/>
  </w:num>
  <w:num w:numId="27">
    <w:abstractNumId w:val="33"/>
  </w:num>
  <w:num w:numId="28">
    <w:abstractNumId w:val="16"/>
  </w:num>
  <w:num w:numId="29">
    <w:abstractNumId w:val="7"/>
  </w:num>
  <w:num w:numId="30">
    <w:abstractNumId w:val="8"/>
  </w:num>
  <w:num w:numId="31">
    <w:abstractNumId w:val="34"/>
  </w:num>
  <w:num w:numId="32">
    <w:abstractNumId w:val="39"/>
  </w:num>
  <w:num w:numId="33">
    <w:abstractNumId w:val="27"/>
  </w:num>
  <w:num w:numId="34">
    <w:abstractNumId w:val="35"/>
  </w:num>
  <w:num w:numId="35">
    <w:abstractNumId w:val="29"/>
  </w:num>
  <w:num w:numId="36">
    <w:abstractNumId w:val="13"/>
  </w:num>
  <w:num w:numId="37">
    <w:abstractNumId w:val="10"/>
  </w:num>
  <w:num w:numId="38">
    <w:abstractNumId w:val="14"/>
  </w:num>
  <w:num w:numId="39">
    <w:abstractNumId w:val="37"/>
  </w:num>
  <w:num w:numId="40">
    <w:abstractNumId w:val="20"/>
  </w:num>
  <w:num w:numId="41">
    <w:abstractNumId w:val="17"/>
  </w:num>
  <w:num w:numId="42">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hideSpellingErrors/>
  <w:hideGrammaticalErrors/>
  <w:proofState w:spelling="clean" w:grammar="clean"/>
  <w:doNotTrackMoves/>
  <w:doNotTrackFormatting/>
  <w:defaultTabStop w:val="720"/>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2NDMwMjA2Njc2sbBU0lEKTi0uzszPAykwrAUAXo3cXCwAAAA="/>
  </w:docVars>
  <w:rsids>
    <w:rsidRoot w:val="00F5392E"/>
    <w:rsid w:val="00000320"/>
    <w:rsid w:val="00000C1B"/>
    <w:rsid w:val="00000E71"/>
    <w:rsid w:val="0000100D"/>
    <w:rsid w:val="00001DE5"/>
    <w:rsid w:val="00002432"/>
    <w:rsid w:val="00002A8D"/>
    <w:rsid w:val="00002C8B"/>
    <w:rsid w:val="00003322"/>
    <w:rsid w:val="000033AB"/>
    <w:rsid w:val="000034B2"/>
    <w:rsid w:val="000034BF"/>
    <w:rsid w:val="0000371F"/>
    <w:rsid w:val="0000450E"/>
    <w:rsid w:val="00004571"/>
    <w:rsid w:val="00004713"/>
    <w:rsid w:val="00004D57"/>
    <w:rsid w:val="000051AA"/>
    <w:rsid w:val="000054D7"/>
    <w:rsid w:val="000056AE"/>
    <w:rsid w:val="00005EF1"/>
    <w:rsid w:val="00006EB7"/>
    <w:rsid w:val="00007B52"/>
    <w:rsid w:val="00007B67"/>
    <w:rsid w:val="00007B87"/>
    <w:rsid w:val="000103B5"/>
    <w:rsid w:val="00010B24"/>
    <w:rsid w:val="00010B97"/>
    <w:rsid w:val="00010C14"/>
    <w:rsid w:val="0001108B"/>
    <w:rsid w:val="000122C0"/>
    <w:rsid w:val="00012800"/>
    <w:rsid w:val="00012E5B"/>
    <w:rsid w:val="0001321D"/>
    <w:rsid w:val="00013818"/>
    <w:rsid w:val="000141D7"/>
    <w:rsid w:val="000143CE"/>
    <w:rsid w:val="00014F21"/>
    <w:rsid w:val="000151C3"/>
    <w:rsid w:val="00015889"/>
    <w:rsid w:val="0001642F"/>
    <w:rsid w:val="00016A95"/>
    <w:rsid w:val="00016E93"/>
    <w:rsid w:val="000175F1"/>
    <w:rsid w:val="000176B4"/>
    <w:rsid w:val="00017D70"/>
    <w:rsid w:val="000203D1"/>
    <w:rsid w:val="000203DB"/>
    <w:rsid w:val="000204DA"/>
    <w:rsid w:val="00020542"/>
    <w:rsid w:val="00020B72"/>
    <w:rsid w:val="0002155D"/>
    <w:rsid w:val="000215B1"/>
    <w:rsid w:val="00021864"/>
    <w:rsid w:val="00023660"/>
    <w:rsid w:val="0002396E"/>
    <w:rsid w:val="000243E7"/>
    <w:rsid w:val="000246AB"/>
    <w:rsid w:val="00025056"/>
    <w:rsid w:val="000256DF"/>
    <w:rsid w:val="00025B20"/>
    <w:rsid w:val="0002635D"/>
    <w:rsid w:val="00026499"/>
    <w:rsid w:val="00026DCA"/>
    <w:rsid w:val="000270EA"/>
    <w:rsid w:val="00027876"/>
    <w:rsid w:val="00030AC6"/>
    <w:rsid w:val="00030C40"/>
    <w:rsid w:val="00031016"/>
    <w:rsid w:val="00031278"/>
    <w:rsid w:val="000333F2"/>
    <w:rsid w:val="0003383E"/>
    <w:rsid w:val="000338B4"/>
    <w:rsid w:val="00033F02"/>
    <w:rsid w:val="00035CEC"/>
    <w:rsid w:val="00035FA4"/>
    <w:rsid w:val="000362B9"/>
    <w:rsid w:val="000362F9"/>
    <w:rsid w:val="000363EC"/>
    <w:rsid w:val="0003698A"/>
    <w:rsid w:val="00036BCA"/>
    <w:rsid w:val="00037429"/>
    <w:rsid w:val="0003758F"/>
    <w:rsid w:val="00037A64"/>
    <w:rsid w:val="00037CC4"/>
    <w:rsid w:val="00040121"/>
    <w:rsid w:val="000401AE"/>
    <w:rsid w:val="00040414"/>
    <w:rsid w:val="00040A5D"/>
    <w:rsid w:val="00040C09"/>
    <w:rsid w:val="000416BC"/>
    <w:rsid w:val="0004176A"/>
    <w:rsid w:val="0004239E"/>
    <w:rsid w:val="00042C58"/>
    <w:rsid w:val="00043548"/>
    <w:rsid w:val="0004406A"/>
    <w:rsid w:val="00044DE1"/>
    <w:rsid w:val="0004516E"/>
    <w:rsid w:val="00045346"/>
    <w:rsid w:val="00045CF3"/>
    <w:rsid w:val="00046589"/>
    <w:rsid w:val="000469D8"/>
    <w:rsid w:val="00047035"/>
    <w:rsid w:val="00047914"/>
    <w:rsid w:val="0004796E"/>
    <w:rsid w:val="00050019"/>
    <w:rsid w:val="000503F3"/>
    <w:rsid w:val="000517F2"/>
    <w:rsid w:val="00051FCE"/>
    <w:rsid w:val="000521BF"/>
    <w:rsid w:val="00052792"/>
    <w:rsid w:val="00052E93"/>
    <w:rsid w:val="000537E7"/>
    <w:rsid w:val="00053900"/>
    <w:rsid w:val="00053F79"/>
    <w:rsid w:val="00054A23"/>
    <w:rsid w:val="00054D97"/>
    <w:rsid w:val="0005520A"/>
    <w:rsid w:val="00055C79"/>
    <w:rsid w:val="00055E97"/>
    <w:rsid w:val="000562A1"/>
    <w:rsid w:val="000563EC"/>
    <w:rsid w:val="00056548"/>
    <w:rsid w:val="00056AA0"/>
    <w:rsid w:val="00056F13"/>
    <w:rsid w:val="00056FCA"/>
    <w:rsid w:val="000573A1"/>
    <w:rsid w:val="0005756D"/>
    <w:rsid w:val="00057638"/>
    <w:rsid w:val="000577E0"/>
    <w:rsid w:val="00057A0D"/>
    <w:rsid w:val="00057C25"/>
    <w:rsid w:val="0005DA1A"/>
    <w:rsid w:val="00060E36"/>
    <w:rsid w:val="00060EC1"/>
    <w:rsid w:val="00061047"/>
    <w:rsid w:val="00061896"/>
    <w:rsid w:val="00062A23"/>
    <w:rsid w:val="000636A1"/>
    <w:rsid w:val="000637E3"/>
    <w:rsid w:val="0006416C"/>
    <w:rsid w:val="00064984"/>
    <w:rsid w:val="00065435"/>
    <w:rsid w:val="000655C6"/>
    <w:rsid w:val="00065BCD"/>
    <w:rsid w:val="00065F2C"/>
    <w:rsid w:val="0006645D"/>
    <w:rsid w:val="000666D8"/>
    <w:rsid w:val="00066AD3"/>
    <w:rsid w:val="00066CA0"/>
    <w:rsid w:val="00066F28"/>
    <w:rsid w:val="00067133"/>
    <w:rsid w:val="000672A8"/>
    <w:rsid w:val="00067658"/>
    <w:rsid w:val="00067F4A"/>
    <w:rsid w:val="00070406"/>
    <w:rsid w:val="000705A1"/>
    <w:rsid w:val="000722C9"/>
    <w:rsid w:val="00072978"/>
    <w:rsid w:val="00072EC4"/>
    <w:rsid w:val="0007318B"/>
    <w:rsid w:val="00073226"/>
    <w:rsid w:val="000737ED"/>
    <w:rsid w:val="00073FD6"/>
    <w:rsid w:val="000743A9"/>
    <w:rsid w:val="00075048"/>
    <w:rsid w:val="000755C4"/>
    <w:rsid w:val="000757E0"/>
    <w:rsid w:val="00075C09"/>
    <w:rsid w:val="00075EFE"/>
    <w:rsid w:val="000763FB"/>
    <w:rsid w:val="00076DEB"/>
    <w:rsid w:val="00076FAA"/>
    <w:rsid w:val="000773C8"/>
    <w:rsid w:val="00077A61"/>
    <w:rsid w:val="000803B0"/>
    <w:rsid w:val="00080BCC"/>
    <w:rsid w:val="00080EA1"/>
    <w:rsid w:val="00081BC1"/>
    <w:rsid w:val="000829C7"/>
    <w:rsid w:val="0008402C"/>
    <w:rsid w:val="0008417B"/>
    <w:rsid w:val="00084BA0"/>
    <w:rsid w:val="000854E3"/>
    <w:rsid w:val="0008558B"/>
    <w:rsid w:val="00085C6E"/>
    <w:rsid w:val="000860BE"/>
    <w:rsid w:val="0008634C"/>
    <w:rsid w:val="00087163"/>
    <w:rsid w:val="000871A1"/>
    <w:rsid w:val="00090A05"/>
    <w:rsid w:val="00090A4F"/>
    <w:rsid w:val="00090D93"/>
    <w:rsid w:val="00091A87"/>
    <w:rsid w:val="00091C14"/>
    <w:rsid w:val="00091E48"/>
    <w:rsid w:val="000922C3"/>
    <w:rsid w:val="00093849"/>
    <w:rsid w:val="00093D66"/>
    <w:rsid w:val="000941AE"/>
    <w:rsid w:val="00094974"/>
    <w:rsid w:val="00094AE2"/>
    <w:rsid w:val="00095492"/>
    <w:rsid w:val="00095519"/>
    <w:rsid w:val="0009566E"/>
    <w:rsid w:val="000959C1"/>
    <w:rsid w:val="000968E6"/>
    <w:rsid w:val="00097034"/>
    <w:rsid w:val="00097A8C"/>
    <w:rsid w:val="00097BBC"/>
    <w:rsid w:val="000A0013"/>
    <w:rsid w:val="000A0468"/>
    <w:rsid w:val="000A0E65"/>
    <w:rsid w:val="000A1B5B"/>
    <w:rsid w:val="000A2299"/>
    <w:rsid w:val="000A2404"/>
    <w:rsid w:val="000A3FF8"/>
    <w:rsid w:val="000A4A19"/>
    <w:rsid w:val="000A4A28"/>
    <w:rsid w:val="000A4D8F"/>
    <w:rsid w:val="000A5730"/>
    <w:rsid w:val="000A57C9"/>
    <w:rsid w:val="000A5851"/>
    <w:rsid w:val="000A6139"/>
    <w:rsid w:val="000A69AF"/>
    <w:rsid w:val="000A6D2B"/>
    <w:rsid w:val="000A7470"/>
    <w:rsid w:val="000B091E"/>
    <w:rsid w:val="000B1063"/>
    <w:rsid w:val="000B11D8"/>
    <w:rsid w:val="000B2389"/>
    <w:rsid w:val="000B238E"/>
    <w:rsid w:val="000B2463"/>
    <w:rsid w:val="000B24F9"/>
    <w:rsid w:val="000B46B0"/>
    <w:rsid w:val="000B54C9"/>
    <w:rsid w:val="000B56BA"/>
    <w:rsid w:val="000B624B"/>
    <w:rsid w:val="000B69F1"/>
    <w:rsid w:val="000BDD1D"/>
    <w:rsid w:val="000C19AE"/>
    <w:rsid w:val="000C2A1F"/>
    <w:rsid w:val="000C2DE3"/>
    <w:rsid w:val="000C326B"/>
    <w:rsid w:val="000C3AC2"/>
    <w:rsid w:val="000C3D78"/>
    <w:rsid w:val="000C3D87"/>
    <w:rsid w:val="000C469F"/>
    <w:rsid w:val="000C46D5"/>
    <w:rsid w:val="000C5A8F"/>
    <w:rsid w:val="000C60AE"/>
    <w:rsid w:val="000C67F7"/>
    <w:rsid w:val="000C6B78"/>
    <w:rsid w:val="000C6C9E"/>
    <w:rsid w:val="000C6CE4"/>
    <w:rsid w:val="000C6EA2"/>
    <w:rsid w:val="000C76B9"/>
    <w:rsid w:val="000C799E"/>
    <w:rsid w:val="000C7EC3"/>
    <w:rsid w:val="000D0120"/>
    <w:rsid w:val="000D0386"/>
    <w:rsid w:val="000D0F5E"/>
    <w:rsid w:val="000D166F"/>
    <w:rsid w:val="000D205E"/>
    <w:rsid w:val="000D25BF"/>
    <w:rsid w:val="000D2FDD"/>
    <w:rsid w:val="000D3264"/>
    <w:rsid w:val="000D3908"/>
    <w:rsid w:val="000D3972"/>
    <w:rsid w:val="000D41D7"/>
    <w:rsid w:val="000D4375"/>
    <w:rsid w:val="000D46E7"/>
    <w:rsid w:val="000D64C7"/>
    <w:rsid w:val="000D71CF"/>
    <w:rsid w:val="000D798B"/>
    <w:rsid w:val="000D7ABF"/>
    <w:rsid w:val="000E0D5A"/>
    <w:rsid w:val="000E1345"/>
    <w:rsid w:val="000E14B9"/>
    <w:rsid w:val="000E2438"/>
    <w:rsid w:val="000E3FAC"/>
    <w:rsid w:val="000E4081"/>
    <w:rsid w:val="000E59E0"/>
    <w:rsid w:val="000E5A65"/>
    <w:rsid w:val="000E5DE4"/>
    <w:rsid w:val="000E5F25"/>
    <w:rsid w:val="000E7B7C"/>
    <w:rsid w:val="000E7FEC"/>
    <w:rsid w:val="000F03D8"/>
    <w:rsid w:val="000F07AA"/>
    <w:rsid w:val="000F12D2"/>
    <w:rsid w:val="000F1DD5"/>
    <w:rsid w:val="000F280A"/>
    <w:rsid w:val="000F287D"/>
    <w:rsid w:val="000F2B10"/>
    <w:rsid w:val="000F3574"/>
    <w:rsid w:val="000F367F"/>
    <w:rsid w:val="000F393F"/>
    <w:rsid w:val="000F3C46"/>
    <w:rsid w:val="000F3C80"/>
    <w:rsid w:val="000F404E"/>
    <w:rsid w:val="000F4674"/>
    <w:rsid w:val="000F479A"/>
    <w:rsid w:val="000F5529"/>
    <w:rsid w:val="000F5674"/>
    <w:rsid w:val="000F57A8"/>
    <w:rsid w:val="000F5ADF"/>
    <w:rsid w:val="000F5CEA"/>
    <w:rsid w:val="000F5F9A"/>
    <w:rsid w:val="000F64DD"/>
    <w:rsid w:val="000F6621"/>
    <w:rsid w:val="000F7492"/>
    <w:rsid w:val="000F74EE"/>
    <w:rsid w:val="000F7D35"/>
    <w:rsid w:val="001004B3"/>
    <w:rsid w:val="00100E68"/>
    <w:rsid w:val="00101387"/>
    <w:rsid w:val="001015D8"/>
    <w:rsid w:val="00101AE2"/>
    <w:rsid w:val="00101DF7"/>
    <w:rsid w:val="001021BE"/>
    <w:rsid w:val="001023D8"/>
    <w:rsid w:val="001024C0"/>
    <w:rsid w:val="00102D6A"/>
    <w:rsid w:val="0010321B"/>
    <w:rsid w:val="00103378"/>
    <w:rsid w:val="0010381B"/>
    <w:rsid w:val="00103A2F"/>
    <w:rsid w:val="00103D20"/>
    <w:rsid w:val="001049AD"/>
    <w:rsid w:val="00104FBF"/>
    <w:rsid w:val="001050D5"/>
    <w:rsid w:val="00105670"/>
    <w:rsid w:val="0010681C"/>
    <w:rsid w:val="00106E63"/>
    <w:rsid w:val="001106C6"/>
    <w:rsid w:val="00111179"/>
    <w:rsid w:val="00112FCA"/>
    <w:rsid w:val="00113087"/>
    <w:rsid w:val="00113B72"/>
    <w:rsid w:val="0011407E"/>
    <w:rsid w:val="001140FD"/>
    <w:rsid w:val="0011429C"/>
    <w:rsid w:val="00114490"/>
    <w:rsid w:val="001144D4"/>
    <w:rsid w:val="0011503B"/>
    <w:rsid w:val="0011512E"/>
    <w:rsid w:val="001156F9"/>
    <w:rsid w:val="00115CF9"/>
    <w:rsid w:val="00116A04"/>
    <w:rsid w:val="0011754D"/>
    <w:rsid w:val="001177F9"/>
    <w:rsid w:val="00117C9F"/>
    <w:rsid w:val="00117CBB"/>
    <w:rsid w:val="001201F6"/>
    <w:rsid w:val="00120FCD"/>
    <w:rsid w:val="00121F97"/>
    <w:rsid w:val="00122862"/>
    <w:rsid w:val="00123AD0"/>
    <w:rsid w:val="001240F4"/>
    <w:rsid w:val="00124689"/>
    <w:rsid w:val="00125303"/>
    <w:rsid w:val="00125FC1"/>
    <w:rsid w:val="0012604D"/>
    <w:rsid w:val="00126288"/>
    <w:rsid w:val="001270FD"/>
    <w:rsid w:val="001272DC"/>
    <w:rsid w:val="00127766"/>
    <w:rsid w:val="00127B20"/>
    <w:rsid w:val="00127D2F"/>
    <w:rsid w:val="0013009D"/>
    <w:rsid w:val="00130766"/>
    <w:rsid w:val="001311B3"/>
    <w:rsid w:val="00131521"/>
    <w:rsid w:val="0013160F"/>
    <w:rsid w:val="0013174F"/>
    <w:rsid w:val="001321DA"/>
    <w:rsid w:val="0013350E"/>
    <w:rsid w:val="001335BA"/>
    <w:rsid w:val="00133809"/>
    <w:rsid w:val="00133A30"/>
    <w:rsid w:val="00133C68"/>
    <w:rsid w:val="00133D79"/>
    <w:rsid w:val="001356B5"/>
    <w:rsid w:val="00135A9D"/>
    <w:rsid w:val="001367E5"/>
    <w:rsid w:val="00136C14"/>
    <w:rsid w:val="00136F5C"/>
    <w:rsid w:val="00136F8E"/>
    <w:rsid w:val="00137286"/>
    <w:rsid w:val="0013795F"/>
    <w:rsid w:val="0013799C"/>
    <w:rsid w:val="00137C07"/>
    <w:rsid w:val="001404D1"/>
    <w:rsid w:val="00140A14"/>
    <w:rsid w:val="00140A9D"/>
    <w:rsid w:val="00140CAB"/>
    <w:rsid w:val="00141698"/>
    <w:rsid w:val="001422EB"/>
    <w:rsid w:val="00142E9A"/>
    <w:rsid w:val="00143D26"/>
    <w:rsid w:val="00143DBB"/>
    <w:rsid w:val="00144653"/>
    <w:rsid w:val="001452D8"/>
    <w:rsid w:val="00145542"/>
    <w:rsid w:val="0014EDBE"/>
    <w:rsid w:val="0015035F"/>
    <w:rsid w:val="00150391"/>
    <w:rsid w:val="0015045B"/>
    <w:rsid w:val="001512B6"/>
    <w:rsid w:val="00151D3A"/>
    <w:rsid w:val="00153197"/>
    <w:rsid w:val="001531CC"/>
    <w:rsid w:val="00153D0F"/>
    <w:rsid w:val="0015403A"/>
    <w:rsid w:val="001544D3"/>
    <w:rsid w:val="001548BC"/>
    <w:rsid w:val="00155137"/>
    <w:rsid w:val="001553B3"/>
    <w:rsid w:val="00155E2A"/>
    <w:rsid w:val="00155F35"/>
    <w:rsid w:val="00156370"/>
    <w:rsid w:val="001567C7"/>
    <w:rsid w:val="00156D22"/>
    <w:rsid w:val="001571B5"/>
    <w:rsid w:val="00160638"/>
    <w:rsid w:val="00160F4F"/>
    <w:rsid w:val="00161903"/>
    <w:rsid w:val="00161ECA"/>
    <w:rsid w:val="00162161"/>
    <w:rsid w:val="00162473"/>
    <w:rsid w:val="001625D9"/>
    <w:rsid w:val="001633C3"/>
    <w:rsid w:val="00163BCB"/>
    <w:rsid w:val="00163BF2"/>
    <w:rsid w:val="00163CEC"/>
    <w:rsid w:val="001650CB"/>
    <w:rsid w:val="00165179"/>
    <w:rsid w:val="0016561C"/>
    <w:rsid w:val="001659A7"/>
    <w:rsid w:val="00165CD5"/>
    <w:rsid w:val="00165E21"/>
    <w:rsid w:val="00165E80"/>
    <w:rsid w:val="001666BA"/>
    <w:rsid w:val="00167131"/>
    <w:rsid w:val="00167785"/>
    <w:rsid w:val="001679D6"/>
    <w:rsid w:val="0017025F"/>
    <w:rsid w:val="00170351"/>
    <w:rsid w:val="0017076D"/>
    <w:rsid w:val="00170D49"/>
    <w:rsid w:val="00170E58"/>
    <w:rsid w:val="00171AFF"/>
    <w:rsid w:val="00172020"/>
    <w:rsid w:val="0017294A"/>
    <w:rsid w:val="00173054"/>
    <w:rsid w:val="00173348"/>
    <w:rsid w:val="0017357E"/>
    <w:rsid w:val="00174DFB"/>
    <w:rsid w:val="00174FC2"/>
    <w:rsid w:val="001757AC"/>
    <w:rsid w:val="001761F1"/>
    <w:rsid w:val="001762E8"/>
    <w:rsid w:val="00176898"/>
    <w:rsid w:val="00177C84"/>
    <w:rsid w:val="001818A7"/>
    <w:rsid w:val="00181B50"/>
    <w:rsid w:val="00182D91"/>
    <w:rsid w:val="00183CBD"/>
    <w:rsid w:val="001845A0"/>
    <w:rsid w:val="00184C02"/>
    <w:rsid w:val="00184E5F"/>
    <w:rsid w:val="00185699"/>
    <w:rsid w:val="00187712"/>
    <w:rsid w:val="00187819"/>
    <w:rsid w:val="00187E8C"/>
    <w:rsid w:val="00190505"/>
    <w:rsid w:val="00190FDC"/>
    <w:rsid w:val="0019106A"/>
    <w:rsid w:val="001914E0"/>
    <w:rsid w:val="0019151A"/>
    <w:rsid w:val="00191560"/>
    <w:rsid w:val="00191B91"/>
    <w:rsid w:val="00191F30"/>
    <w:rsid w:val="001930D3"/>
    <w:rsid w:val="001931EB"/>
    <w:rsid w:val="00193715"/>
    <w:rsid w:val="00193E9D"/>
    <w:rsid w:val="001949D1"/>
    <w:rsid w:val="00195473"/>
    <w:rsid w:val="00195BD4"/>
    <w:rsid w:val="00196316"/>
    <w:rsid w:val="00196559"/>
    <w:rsid w:val="0019665E"/>
    <w:rsid w:val="00196D92"/>
    <w:rsid w:val="00196F4E"/>
    <w:rsid w:val="001A0984"/>
    <w:rsid w:val="001A0B7C"/>
    <w:rsid w:val="001A0EF9"/>
    <w:rsid w:val="001A1D7D"/>
    <w:rsid w:val="001A20DB"/>
    <w:rsid w:val="001A30C8"/>
    <w:rsid w:val="001A325A"/>
    <w:rsid w:val="001A3538"/>
    <w:rsid w:val="001A3745"/>
    <w:rsid w:val="001A3D17"/>
    <w:rsid w:val="001A404E"/>
    <w:rsid w:val="001A54DE"/>
    <w:rsid w:val="001A58ED"/>
    <w:rsid w:val="001A5BF9"/>
    <w:rsid w:val="001A6BBF"/>
    <w:rsid w:val="001A7A52"/>
    <w:rsid w:val="001B0705"/>
    <w:rsid w:val="001B0759"/>
    <w:rsid w:val="001B18BC"/>
    <w:rsid w:val="001B196F"/>
    <w:rsid w:val="001B21D5"/>
    <w:rsid w:val="001B2404"/>
    <w:rsid w:val="001B2CBA"/>
    <w:rsid w:val="001B3E59"/>
    <w:rsid w:val="001B4561"/>
    <w:rsid w:val="001B4842"/>
    <w:rsid w:val="001B4F3C"/>
    <w:rsid w:val="001B5712"/>
    <w:rsid w:val="001B5955"/>
    <w:rsid w:val="001B6554"/>
    <w:rsid w:val="001B660F"/>
    <w:rsid w:val="001B6C0D"/>
    <w:rsid w:val="001B6E68"/>
    <w:rsid w:val="001C0912"/>
    <w:rsid w:val="001C1476"/>
    <w:rsid w:val="001C1489"/>
    <w:rsid w:val="001C161A"/>
    <w:rsid w:val="001C171F"/>
    <w:rsid w:val="001C2100"/>
    <w:rsid w:val="001C21B3"/>
    <w:rsid w:val="001C2BB4"/>
    <w:rsid w:val="001C2BD2"/>
    <w:rsid w:val="001C2D2D"/>
    <w:rsid w:val="001C2E35"/>
    <w:rsid w:val="001C3374"/>
    <w:rsid w:val="001C3843"/>
    <w:rsid w:val="001C3938"/>
    <w:rsid w:val="001C456C"/>
    <w:rsid w:val="001C4727"/>
    <w:rsid w:val="001C4759"/>
    <w:rsid w:val="001C47B2"/>
    <w:rsid w:val="001C486F"/>
    <w:rsid w:val="001C50BF"/>
    <w:rsid w:val="001C5A17"/>
    <w:rsid w:val="001C5DBD"/>
    <w:rsid w:val="001C5F26"/>
    <w:rsid w:val="001C68C8"/>
    <w:rsid w:val="001C6A9A"/>
    <w:rsid w:val="001C70FE"/>
    <w:rsid w:val="001D0251"/>
    <w:rsid w:val="001D04A9"/>
    <w:rsid w:val="001D0C70"/>
    <w:rsid w:val="001D11CB"/>
    <w:rsid w:val="001D1634"/>
    <w:rsid w:val="001D1779"/>
    <w:rsid w:val="001D1D49"/>
    <w:rsid w:val="001D2536"/>
    <w:rsid w:val="001D272A"/>
    <w:rsid w:val="001D2847"/>
    <w:rsid w:val="001D2A21"/>
    <w:rsid w:val="001D3AA7"/>
    <w:rsid w:val="001D3F9B"/>
    <w:rsid w:val="001D42E8"/>
    <w:rsid w:val="001D540B"/>
    <w:rsid w:val="001D59B1"/>
    <w:rsid w:val="001D63D7"/>
    <w:rsid w:val="001D7161"/>
    <w:rsid w:val="001D77A5"/>
    <w:rsid w:val="001D77B2"/>
    <w:rsid w:val="001D7D71"/>
    <w:rsid w:val="001DA92F"/>
    <w:rsid w:val="001E0117"/>
    <w:rsid w:val="001E01AF"/>
    <w:rsid w:val="001E0483"/>
    <w:rsid w:val="001E0CD0"/>
    <w:rsid w:val="001E0E5A"/>
    <w:rsid w:val="001E0F8B"/>
    <w:rsid w:val="001E1084"/>
    <w:rsid w:val="001E11B5"/>
    <w:rsid w:val="001E17F6"/>
    <w:rsid w:val="001E1C43"/>
    <w:rsid w:val="001E1D65"/>
    <w:rsid w:val="001E2A86"/>
    <w:rsid w:val="001E2C09"/>
    <w:rsid w:val="001E366D"/>
    <w:rsid w:val="001E3E52"/>
    <w:rsid w:val="001E4B4E"/>
    <w:rsid w:val="001E4DAC"/>
    <w:rsid w:val="001E55F0"/>
    <w:rsid w:val="001E5E24"/>
    <w:rsid w:val="001E656A"/>
    <w:rsid w:val="001E6F31"/>
    <w:rsid w:val="001E732F"/>
    <w:rsid w:val="001E7AAC"/>
    <w:rsid w:val="001F0C65"/>
    <w:rsid w:val="001F12EA"/>
    <w:rsid w:val="001F319C"/>
    <w:rsid w:val="001F3791"/>
    <w:rsid w:val="001F390F"/>
    <w:rsid w:val="001F3CCF"/>
    <w:rsid w:val="001F4136"/>
    <w:rsid w:val="001F4A85"/>
    <w:rsid w:val="001F60AD"/>
    <w:rsid w:val="001F61AD"/>
    <w:rsid w:val="001F6EC2"/>
    <w:rsid w:val="001F74BE"/>
    <w:rsid w:val="001F77A0"/>
    <w:rsid w:val="001F785E"/>
    <w:rsid w:val="001F792B"/>
    <w:rsid w:val="00200213"/>
    <w:rsid w:val="00200A5F"/>
    <w:rsid w:val="0020172D"/>
    <w:rsid w:val="00201A74"/>
    <w:rsid w:val="00201CB0"/>
    <w:rsid w:val="00201F0F"/>
    <w:rsid w:val="00203120"/>
    <w:rsid w:val="002032D4"/>
    <w:rsid w:val="00203CF0"/>
    <w:rsid w:val="00203D5E"/>
    <w:rsid w:val="00203D72"/>
    <w:rsid w:val="002052FE"/>
    <w:rsid w:val="00205454"/>
    <w:rsid w:val="002057CD"/>
    <w:rsid w:val="00205805"/>
    <w:rsid w:val="00205D0C"/>
    <w:rsid w:val="00206657"/>
    <w:rsid w:val="002067AB"/>
    <w:rsid w:val="00206FFF"/>
    <w:rsid w:val="002070AA"/>
    <w:rsid w:val="00210B53"/>
    <w:rsid w:val="00212738"/>
    <w:rsid w:val="002127E3"/>
    <w:rsid w:val="0021336B"/>
    <w:rsid w:val="00213497"/>
    <w:rsid w:val="002135D7"/>
    <w:rsid w:val="002137D3"/>
    <w:rsid w:val="00213A69"/>
    <w:rsid w:val="0021479C"/>
    <w:rsid w:val="00214BE1"/>
    <w:rsid w:val="00215277"/>
    <w:rsid w:val="00215785"/>
    <w:rsid w:val="00215C75"/>
    <w:rsid w:val="00215DBB"/>
    <w:rsid w:val="002168C7"/>
    <w:rsid w:val="002169FF"/>
    <w:rsid w:val="00217289"/>
    <w:rsid w:val="0021730E"/>
    <w:rsid w:val="00217328"/>
    <w:rsid w:val="0022070D"/>
    <w:rsid w:val="00220978"/>
    <w:rsid w:val="002217AD"/>
    <w:rsid w:val="00221F5E"/>
    <w:rsid w:val="002223F6"/>
    <w:rsid w:val="00222F95"/>
    <w:rsid w:val="00223485"/>
    <w:rsid w:val="002235EF"/>
    <w:rsid w:val="00224038"/>
    <w:rsid w:val="002240D8"/>
    <w:rsid w:val="00224326"/>
    <w:rsid w:val="002244D0"/>
    <w:rsid w:val="00224C6B"/>
    <w:rsid w:val="002255AA"/>
    <w:rsid w:val="00225D3D"/>
    <w:rsid w:val="00225D8E"/>
    <w:rsid w:val="00225DB5"/>
    <w:rsid w:val="002264ED"/>
    <w:rsid w:val="002266ED"/>
    <w:rsid w:val="00226D64"/>
    <w:rsid w:val="00227334"/>
    <w:rsid w:val="0022759C"/>
    <w:rsid w:val="002275B1"/>
    <w:rsid w:val="002275B9"/>
    <w:rsid w:val="002306EC"/>
    <w:rsid w:val="002307F6"/>
    <w:rsid w:val="00230D85"/>
    <w:rsid w:val="0023127B"/>
    <w:rsid w:val="0023166E"/>
    <w:rsid w:val="00231746"/>
    <w:rsid w:val="0023196E"/>
    <w:rsid w:val="00231D31"/>
    <w:rsid w:val="00231E97"/>
    <w:rsid w:val="00231EC8"/>
    <w:rsid w:val="0023221B"/>
    <w:rsid w:val="002326D5"/>
    <w:rsid w:val="0023293D"/>
    <w:rsid w:val="0023379E"/>
    <w:rsid w:val="0023398C"/>
    <w:rsid w:val="00233E3E"/>
    <w:rsid w:val="00234AF8"/>
    <w:rsid w:val="00234F49"/>
    <w:rsid w:val="00235992"/>
    <w:rsid w:val="002365A6"/>
    <w:rsid w:val="00236A47"/>
    <w:rsid w:val="002372D5"/>
    <w:rsid w:val="002401C1"/>
    <w:rsid w:val="00240C4C"/>
    <w:rsid w:val="002416E8"/>
    <w:rsid w:val="0024173A"/>
    <w:rsid w:val="002418C2"/>
    <w:rsid w:val="00241B5E"/>
    <w:rsid w:val="00241BA3"/>
    <w:rsid w:val="00241D68"/>
    <w:rsid w:val="00242A78"/>
    <w:rsid w:val="00242F28"/>
    <w:rsid w:val="00243705"/>
    <w:rsid w:val="002439E1"/>
    <w:rsid w:val="00243A91"/>
    <w:rsid w:val="0024417D"/>
    <w:rsid w:val="00244EB4"/>
    <w:rsid w:val="00244EC1"/>
    <w:rsid w:val="00244F58"/>
    <w:rsid w:val="00245579"/>
    <w:rsid w:val="00245712"/>
    <w:rsid w:val="00246352"/>
    <w:rsid w:val="00247960"/>
    <w:rsid w:val="00247F0A"/>
    <w:rsid w:val="00250A66"/>
    <w:rsid w:val="00250BCC"/>
    <w:rsid w:val="00251008"/>
    <w:rsid w:val="002510F3"/>
    <w:rsid w:val="0025123F"/>
    <w:rsid w:val="00251B2A"/>
    <w:rsid w:val="00251B98"/>
    <w:rsid w:val="00252B17"/>
    <w:rsid w:val="0025393A"/>
    <w:rsid w:val="0025396B"/>
    <w:rsid w:val="00253C26"/>
    <w:rsid w:val="0025466F"/>
    <w:rsid w:val="002549A7"/>
    <w:rsid w:val="00255978"/>
    <w:rsid w:val="0025618D"/>
    <w:rsid w:val="002579D3"/>
    <w:rsid w:val="002601F5"/>
    <w:rsid w:val="002603E1"/>
    <w:rsid w:val="00260651"/>
    <w:rsid w:val="00261B35"/>
    <w:rsid w:val="0026265B"/>
    <w:rsid w:val="002629FE"/>
    <w:rsid w:val="002632BC"/>
    <w:rsid w:val="00263B85"/>
    <w:rsid w:val="00263EAA"/>
    <w:rsid w:val="00263F36"/>
    <w:rsid w:val="00264A0C"/>
    <w:rsid w:val="00264AFB"/>
    <w:rsid w:val="00264B4F"/>
    <w:rsid w:val="00264E98"/>
    <w:rsid w:val="00264F50"/>
    <w:rsid w:val="00265548"/>
    <w:rsid w:val="00265CA5"/>
    <w:rsid w:val="0026658F"/>
    <w:rsid w:val="0026661B"/>
    <w:rsid w:val="00267C14"/>
    <w:rsid w:val="00270824"/>
    <w:rsid w:val="002709B7"/>
    <w:rsid w:val="002735A7"/>
    <w:rsid w:val="00273AAF"/>
    <w:rsid w:val="00273EC0"/>
    <w:rsid w:val="00274AA1"/>
    <w:rsid w:val="00274DE2"/>
    <w:rsid w:val="002753C0"/>
    <w:rsid w:val="00277433"/>
    <w:rsid w:val="00277A0A"/>
    <w:rsid w:val="00277B3F"/>
    <w:rsid w:val="002808F1"/>
    <w:rsid w:val="002812B9"/>
    <w:rsid w:val="00281792"/>
    <w:rsid w:val="0028314C"/>
    <w:rsid w:val="00283707"/>
    <w:rsid w:val="00283C0B"/>
    <w:rsid w:val="00285277"/>
    <w:rsid w:val="002852AA"/>
    <w:rsid w:val="00285CFA"/>
    <w:rsid w:val="00285D80"/>
    <w:rsid w:val="002868D4"/>
    <w:rsid w:val="00286B0F"/>
    <w:rsid w:val="00286BAF"/>
    <w:rsid w:val="0028704C"/>
    <w:rsid w:val="002904AE"/>
    <w:rsid w:val="00291FB8"/>
    <w:rsid w:val="00292206"/>
    <w:rsid w:val="00292EB4"/>
    <w:rsid w:val="00292FFA"/>
    <w:rsid w:val="00293AB4"/>
    <w:rsid w:val="00293F73"/>
    <w:rsid w:val="0029446C"/>
    <w:rsid w:val="00295B6D"/>
    <w:rsid w:val="00297B34"/>
    <w:rsid w:val="002A0B08"/>
    <w:rsid w:val="002A162C"/>
    <w:rsid w:val="002A1BCF"/>
    <w:rsid w:val="002A1D77"/>
    <w:rsid w:val="002A33CE"/>
    <w:rsid w:val="002A37F8"/>
    <w:rsid w:val="002A3882"/>
    <w:rsid w:val="002A53D6"/>
    <w:rsid w:val="002A559D"/>
    <w:rsid w:val="002A5660"/>
    <w:rsid w:val="002A5887"/>
    <w:rsid w:val="002A5D9A"/>
    <w:rsid w:val="002A625E"/>
    <w:rsid w:val="002A6882"/>
    <w:rsid w:val="002A68BA"/>
    <w:rsid w:val="002A69FE"/>
    <w:rsid w:val="002A6DB4"/>
    <w:rsid w:val="002A6EEA"/>
    <w:rsid w:val="002A7365"/>
    <w:rsid w:val="002AD890"/>
    <w:rsid w:val="002B0066"/>
    <w:rsid w:val="002B0D18"/>
    <w:rsid w:val="002B0EC2"/>
    <w:rsid w:val="002B1A90"/>
    <w:rsid w:val="002B1D45"/>
    <w:rsid w:val="002B21CF"/>
    <w:rsid w:val="002B321F"/>
    <w:rsid w:val="002B34F0"/>
    <w:rsid w:val="002B3B88"/>
    <w:rsid w:val="002B4CEE"/>
    <w:rsid w:val="002B4ED9"/>
    <w:rsid w:val="002B5240"/>
    <w:rsid w:val="002B6D16"/>
    <w:rsid w:val="002B7110"/>
    <w:rsid w:val="002B74F8"/>
    <w:rsid w:val="002B76E9"/>
    <w:rsid w:val="002B77E7"/>
    <w:rsid w:val="002B7A78"/>
    <w:rsid w:val="002B7C75"/>
    <w:rsid w:val="002C0641"/>
    <w:rsid w:val="002C0994"/>
    <w:rsid w:val="002C0D92"/>
    <w:rsid w:val="002C13F3"/>
    <w:rsid w:val="002C1422"/>
    <w:rsid w:val="002C1B4E"/>
    <w:rsid w:val="002C1D0D"/>
    <w:rsid w:val="002C1FA7"/>
    <w:rsid w:val="002C21AB"/>
    <w:rsid w:val="002C2591"/>
    <w:rsid w:val="002C2AC4"/>
    <w:rsid w:val="002C30BC"/>
    <w:rsid w:val="002C39BD"/>
    <w:rsid w:val="002C45A5"/>
    <w:rsid w:val="002C5233"/>
    <w:rsid w:val="002C52DC"/>
    <w:rsid w:val="002C58BF"/>
    <w:rsid w:val="002C5B24"/>
    <w:rsid w:val="002C6004"/>
    <w:rsid w:val="002C6201"/>
    <w:rsid w:val="002C77DA"/>
    <w:rsid w:val="002C79B7"/>
    <w:rsid w:val="002C7B4B"/>
    <w:rsid w:val="002C7CB6"/>
    <w:rsid w:val="002C7D20"/>
    <w:rsid w:val="002C7EAE"/>
    <w:rsid w:val="002D035F"/>
    <w:rsid w:val="002D0C6E"/>
    <w:rsid w:val="002D1274"/>
    <w:rsid w:val="002D333C"/>
    <w:rsid w:val="002D3614"/>
    <w:rsid w:val="002D47AB"/>
    <w:rsid w:val="002D515B"/>
    <w:rsid w:val="002D5F21"/>
    <w:rsid w:val="002D76F3"/>
    <w:rsid w:val="002E1DBB"/>
    <w:rsid w:val="002E30EE"/>
    <w:rsid w:val="002E3CA3"/>
    <w:rsid w:val="002E412A"/>
    <w:rsid w:val="002E49E4"/>
    <w:rsid w:val="002E4A5F"/>
    <w:rsid w:val="002E4D09"/>
    <w:rsid w:val="002E4DF0"/>
    <w:rsid w:val="002E5A9A"/>
    <w:rsid w:val="002E5CAE"/>
    <w:rsid w:val="002E7130"/>
    <w:rsid w:val="002E7C6B"/>
    <w:rsid w:val="002F0F39"/>
    <w:rsid w:val="002F11A7"/>
    <w:rsid w:val="002F1C02"/>
    <w:rsid w:val="002F260D"/>
    <w:rsid w:val="002F2FC4"/>
    <w:rsid w:val="002F30B3"/>
    <w:rsid w:val="002F3959"/>
    <w:rsid w:val="002F3B12"/>
    <w:rsid w:val="002F41B5"/>
    <w:rsid w:val="002F485F"/>
    <w:rsid w:val="002F49EA"/>
    <w:rsid w:val="002F4BCF"/>
    <w:rsid w:val="002F564E"/>
    <w:rsid w:val="002F5D72"/>
    <w:rsid w:val="002F5D92"/>
    <w:rsid w:val="002F629C"/>
    <w:rsid w:val="002F6928"/>
    <w:rsid w:val="002F749B"/>
    <w:rsid w:val="002F7E88"/>
    <w:rsid w:val="003006E6"/>
    <w:rsid w:val="00300C00"/>
    <w:rsid w:val="00301314"/>
    <w:rsid w:val="00301583"/>
    <w:rsid w:val="003015E2"/>
    <w:rsid w:val="00301966"/>
    <w:rsid w:val="00302615"/>
    <w:rsid w:val="00303112"/>
    <w:rsid w:val="00303774"/>
    <w:rsid w:val="003037B4"/>
    <w:rsid w:val="00303E4E"/>
    <w:rsid w:val="00303EF1"/>
    <w:rsid w:val="00303EF9"/>
    <w:rsid w:val="003040DA"/>
    <w:rsid w:val="00304135"/>
    <w:rsid w:val="0030497E"/>
    <w:rsid w:val="003053AF"/>
    <w:rsid w:val="00305442"/>
    <w:rsid w:val="00305815"/>
    <w:rsid w:val="00305A5D"/>
    <w:rsid w:val="00305DDA"/>
    <w:rsid w:val="00306565"/>
    <w:rsid w:val="00306653"/>
    <w:rsid w:val="00307969"/>
    <w:rsid w:val="00307AB0"/>
    <w:rsid w:val="0031051C"/>
    <w:rsid w:val="00311228"/>
    <w:rsid w:val="003113C0"/>
    <w:rsid w:val="00311B56"/>
    <w:rsid w:val="00312D19"/>
    <w:rsid w:val="00312F46"/>
    <w:rsid w:val="00313E38"/>
    <w:rsid w:val="00314317"/>
    <w:rsid w:val="00314A14"/>
    <w:rsid w:val="00314BF6"/>
    <w:rsid w:val="00315576"/>
    <w:rsid w:val="00315C72"/>
    <w:rsid w:val="00316512"/>
    <w:rsid w:val="00317117"/>
    <w:rsid w:val="00317274"/>
    <w:rsid w:val="00317DE6"/>
    <w:rsid w:val="003206C3"/>
    <w:rsid w:val="00321F58"/>
    <w:rsid w:val="0032214E"/>
    <w:rsid w:val="003226EF"/>
    <w:rsid w:val="0032287F"/>
    <w:rsid w:val="00322DD2"/>
    <w:rsid w:val="003233B6"/>
    <w:rsid w:val="003234A2"/>
    <w:rsid w:val="00323C4F"/>
    <w:rsid w:val="00325406"/>
    <w:rsid w:val="00325757"/>
    <w:rsid w:val="00325C44"/>
    <w:rsid w:val="0032608A"/>
    <w:rsid w:val="0032611D"/>
    <w:rsid w:val="003264DA"/>
    <w:rsid w:val="00326A85"/>
    <w:rsid w:val="00327004"/>
    <w:rsid w:val="0032764B"/>
    <w:rsid w:val="003277B8"/>
    <w:rsid w:val="003306CF"/>
    <w:rsid w:val="00330A84"/>
    <w:rsid w:val="00330B48"/>
    <w:rsid w:val="00331172"/>
    <w:rsid w:val="0033143E"/>
    <w:rsid w:val="0033240F"/>
    <w:rsid w:val="00333342"/>
    <w:rsid w:val="003334C4"/>
    <w:rsid w:val="00333826"/>
    <w:rsid w:val="003345F0"/>
    <w:rsid w:val="00334798"/>
    <w:rsid w:val="0033509A"/>
    <w:rsid w:val="003351A2"/>
    <w:rsid w:val="00335373"/>
    <w:rsid w:val="0033549F"/>
    <w:rsid w:val="003354D8"/>
    <w:rsid w:val="00335797"/>
    <w:rsid w:val="00335FD6"/>
    <w:rsid w:val="0033642D"/>
    <w:rsid w:val="00336EE5"/>
    <w:rsid w:val="00337876"/>
    <w:rsid w:val="00337C21"/>
    <w:rsid w:val="0034077B"/>
    <w:rsid w:val="00341057"/>
    <w:rsid w:val="00342850"/>
    <w:rsid w:val="003432B6"/>
    <w:rsid w:val="00343B3D"/>
    <w:rsid w:val="003450D2"/>
    <w:rsid w:val="003452FA"/>
    <w:rsid w:val="00346454"/>
    <w:rsid w:val="00346B2C"/>
    <w:rsid w:val="00346BB2"/>
    <w:rsid w:val="00346C32"/>
    <w:rsid w:val="00346D38"/>
    <w:rsid w:val="00346F1A"/>
    <w:rsid w:val="003475DB"/>
    <w:rsid w:val="003476C8"/>
    <w:rsid w:val="00347E19"/>
    <w:rsid w:val="00350080"/>
    <w:rsid w:val="00350233"/>
    <w:rsid w:val="00350985"/>
    <w:rsid w:val="00350A50"/>
    <w:rsid w:val="00351134"/>
    <w:rsid w:val="00351541"/>
    <w:rsid w:val="00351AD5"/>
    <w:rsid w:val="00352346"/>
    <w:rsid w:val="00352B67"/>
    <w:rsid w:val="0035342C"/>
    <w:rsid w:val="003539B7"/>
    <w:rsid w:val="00353A59"/>
    <w:rsid w:val="00355409"/>
    <w:rsid w:val="003560DD"/>
    <w:rsid w:val="003562A6"/>
    <w:rsid w:val="00356D24"/>
    <w:rsid w:val="003574D2"/>
    <w:rsid w:val="00357CA9"/>
    <w:rsid w:val="00359A1B"/>
    <w:rsid w:val="003606FB"/>
    <w:rsid w:val="00360AAB"/>
    <w:rsid w:val="00360C9C"/>
    <w:rsid w:val="00361F32"/>
    <w:rsid w:val="0036313E"/>
    <w:rsid w:val="00364218"/>
    <w:rsid w:val="003642BC"/>
    <w:rsid w:val="00364E6B"/>
    <w:rsid w:val="00364EB0"/>
    <w:rsid w:val="003655DB"/>
    <w:rsid w:val="003655E4"/>
    <w:rsid w:val="00366A48"/>
    <w:rsid w:val="00366D62"/>
    <w:rsid w:val="00367BC1"/>
    <w:rsid w:val="00367D2B"/>
    <w:rsid w:val="003705D2"/>
    <w:rsid w:val="00370CC1"/>
    <w:rsid w:val="00371109"/>
    <w:rsid w:val="00371811"/>
    <w:rsid w:val="00372FFE"/>
    <w:rsid w:val="00373200"/>
    <w:rsid w:val="003732BF"/>
    <w:rsid w:val="00373AD4"/>
    <w:rsid w:val="003742ED"/>
    <w:rsid w:val="003766F1"/>
    <w:rsid w:val="00376902"/>
    <w:rsid w:val="00377602"/>
    <w:rsid w:val="00377642"/>
    <w:rsid w:val="003778C9"/>
    <w:rsid w:val="00377A55"/>
    <w:rsid w:val="00380030"/>
    <w:rsid w:val="003809CF"/>
    <w:rsid w:val="00380F8A"/>
    <w:rsid w:val="003816CE"/>
    <w:rsid w:val="00381996"/>
    <w:rsid w:val="00381FF9"/>
    <w:rsid w:val="00382AE3"/>
    <w:rsid w:val="00382D51"/>
    <w:rsid w:val="00382FF0"/>
    <w:rsid w:val="0038318F"/>
    <w:rsid w:val="00383A67"/>
    <w:rsid w:val="00385C10"/>
    <w:rsid w:val="003860F0"/>
    <w:rsid w:val="00387B95"/>
    <w:rsid w:val="00387DED"/>
    <w:rsid w:val="00387F8F"/>
    <w:rsid w:val="0038E5C7"/>
    <w:rsid w:val="00390525"/>
    <w:rsid w:val="003908CD"/>
    <w:rsid w:val="00390FEE"/>
    <w:rsid w:val="003914D3"/>
    <w:rsid w:val="00391D76"/>
    <w:rsid w:val="003927AE"/>
    <w:rsid w:val="00392A0B"/>
    <w:rsid w:val="00392D30"/>
    <w:rsid w:val="00392F0E"/>
    <w:rsid w:val="0039375D"/>
    <w:rsid w:val="00393B78"/>
    <w:rsid w:val="00393CA3"/>
    <w:rsid w:val="00394F68"/>
    <w:rsid w:val="003952CF"/>
    <w:rsid w:val="003955AC"/>
    <w:rsid w:val="003959E1"/>
    <w:rsid w:val="00395CB2"/>
    <w:rsid w:val="003961F6"/>
    <w:rsid w:val="0039745F"/>
    <w:rsid w:val="00397557"/>
    <w:rsid w:val="003977DB"/>
    <w:rsid w:val="0039A695"/>
    <w:rsid w:val="003A019E"/>
    <w:rsid w:val="003A01EC"/>
    <w:rsid w:val="003A05B8"/>
    <w:rsid w:val="003A195A"/>
    <w:rsid w:val="003A206E"/>
    <w:rsid w:val="003A22DA"/>
    <w:rsid w:val="003A2E8E"/>
    <w:rsid w:val="003A3169"/>
    <w:rsid w:val="003A436E"/>
    <w:rsid w:val="003A454E"/>
    <w:rsid w:val="003A4756"/>
    <w:rsid w:val="003A4CE8"/>
    <w:rsid w:val="003A4E10"/>
    <w:rsid w:val="003A508F"/>
    <w:rsid w:val="003A5400"/>
    <w:rsid w:val="003A5D31"/>
    <w:rsid w:val="003A619C"/>
    <w:rsid w:val="003A6865"/>
    <w:rsid w:val="003A7869"/>
    <w:rsid w:val="003A7BE1"/>
    <w:rsid w:val="003A7F05"/>
    <w:rsid w:val="003B112E"/>
    <w:rsid w:val="003B182D"/>
    <w:rsid w:val="003B1B7D"/>
    <w:rsid w:val="003B23B2"/>
    <w:rsid w:val="003B27D4"/>
    <w:rsid w:val="003B2A2F"/>
    <w:rsid w:val="003B2F08"/>
    <w:rsid w:val="003B32E9"/>
    <w:rsid w:val="003B35DE"/>
    <w:rsid w:val="003B3BED"/>
    <w:rsid w:val="003B4015"/>
    <w:rsid w:val="003B4C2A"/>
    <w:rsid w:val="003B7696"/>
    <w:rsid w:val="003B7891"/>
    <w:rsid w:val="003B7CBF"/>
    <w:rsid w:val="003B7DA2"/>
    <w:rsid w:val="003C08E8"/>
    <w:rsid w:val="003C1399"/>
    <w:rsid w:val="003C1C24"/>
    <w:rsid w:val="003C2B05"/>
    <w:rsid w:val="003C2CF2"/>
    <w:rsid w:val="003C3042"/>
    <w:rsid w:val="003C3440"/>
    <w:rsid w:val="003C4E1F"/>
    <w:rsid w:val="003C50BA"/>
    <w:rsid w:val="003C54BD"/>
    <w:rsid w:val="003C5721"/>
    <w:rsid w:val="003C580E"/>
    <w:rsid w:val="003C6649"/>
    <w:rsid w:val="003C6897"/>
    <w:rsid w:val="003C6A31"/>
    <w:rsid w:val="003C6FDA"/>
    <w:rsid w:val="003C723D"/>
    <w:rsid w:val="003D0784"/>
    <w:rsid w:val="003D30B1"/>
    <w:rsid w:val="003D3B52"/>
    <w:rsid w:val="003D3B7C"/>
    <w:rsid w:val="003D3CBA"/>
    <w:rsid w:val="003D47D2"/>
    <w:rsid w:val="003D4C04"/>
    <w:rsid w:val="003D567F"/>
    <w:rsid w:val="003D6777"/>
    <w:rsid w:val="003D6D08"/>
    <w:rsid w:val="003D6D6C"/>
    <w:rsid w:val="003D710F"/>
    <w:rsid w:val="003D73FF"/>
    <w:rsid w:val="003E05A3"/>
    <w:rsid w:val="003E06B3"/>
    <w:rsid w:val="003E0B5F"/>
    <w:rsid w:val="003E0BB0"/>
    <w:rsid w:val="003E0D72"/>
    <w:rsid w:val="003E0E0B"/>
    <w:rsid w:val="003E1F2E"/>
    <w:rsid w:val="003E244F"/>
    <w:rsid w:val="003E2A00"/>
    <w:rsid w:val="003E2E29"/>
    <w:rsid w:val="003E4998"/>
    <w:rsid w:val="003E4D15"/>
    <w:rsid w:val="003E57F3"/>
    <w:rsid w:val="003E6047"/>
    <w:rsid w:val="003E6102"/>
    <w:rsid w:val="003E611A"/>
    <w:rsid w:val="003E6462"/>
    <w:rsid w:val="003E7F8A"/>
    <w:rsid w:val="003ECECC"/>
    <w:rsid w:val="003F0EF4"/>
    <w:rsid w:val="003F0F0B"/>
    <w:rsid w:val="003F1599"/>
    <w:rsid w:val="003F2238"/>
    <w:rsid w:val="003F24F3"/>
    <w:rsid w:val="003F2647"/>
    <w:rsid w:val="003F35B7"/>
    <w:rsid w:val="003F3669"/>
    <w:rsid w:val="003F433C"/>
    <w:rsid w:val="003F4449"/>
    <w:rsid w:val="003F4A73"/>
    <w:rsid w:val="003F5356"/>
    <w:rsid w:val="003F5B1D"/>
    <w:rsid w:val="003F5D48"/>
    <w:rsid w:val="003F6AEB"/>
    <w:rsid w:val="003F7027"/>
    <w:rsid w:val="003F7C7B"/>
    <w:rsid w:val="0040125A"/>
    <w:rsid w:val="004026A1"/>
    <w:rsid w:val="00403667"/>
    <w:rsid w:val="004039BD"/>
    <w:rsid w:val="00403CED"/>
    <w:rsid w:val="004058C8"/>
    <w:rsid w:val="004069E7"/>
    <w:rsid w:val="00406B18"/>
    <w:rsid w:val="0040768B"/>
    <w:rsid w:val="00407AF8"/>
    <w:rsid w:val="00408C39"/>
    <w:rsid w:val="00410186"/>
    <w:rsid w:val="004113F0"/>
    <w:rsid w:val="004114EB"/>
    <w:rsid w:val="00411986"/>
    <w:rsid w:val="00412155"/>
    <w:rsid w:val="004121DF"/>
    <w:rsid w:val="00412D8A"/>
    <w:rsid w:val="00413430"/>
    <w:rsid w:val="004134E0"/>
    <w:rsid w:val="00413A2D"/>
    <w:rsid w:val="0041452D"/>
    <w:rsid w:val="00414B9A"/>
    <w:rsid w:val="0041518D"/>
    <w:rsid w:val="004152EA"/>
    <w:rsid w:val="00415716"/>
    <w:rsid w:val="00415787"/>
    <w:rsid w:val="00415AA4"/>
    <w:rsid w:val="00415CF5"/>
    <w:rsid w:val="0041628B"/>
    <w:rsid w:val="004163F3"/>
    <w:rsid w:val="004168E9"/>
    <w:rsid w:val="00416C8D"/>
    <w:rsid w:val="0041704D"/>
    <w:rsid w:val="00417185"/>
    <w:rsid w:val="00417A52"/>
    <w:rsid w:val="00417B32"/>
    <w:rsid w:val="00417D7A"/>
    <w:rsid w:val="00417FF3"/>
    <w:rsid w:val="004200D6"/>
    <w:rsid w:val="00420164"/>
    <w:rsid w:val="004204AE"/>
    <w:rsid w:val="0042068F"/>
    <w:rsid w:val="00420E07"/>
    <w:rsid w:val="00420EE4"/>
    <w:rsid w:val="00420F91"/>
    <w:rsid w:val="00421E50"/>
    <w:rsid w:val="00422525"/>
    <w:rsid w:val="004227E3"/>
    <w:rsid w:val="004230CD"/>
    <w:rsid w:val="00423DFA"/>
    <w:rsid w:val="00424582"/>
    <w:rsid w:val="0042472F"/>
    <w:rsid w:val="00424B16"/>
    <w:rsid w:val="004251F4"/>
    <w:rsid w:val="0042560C"/>
    <w:rsid w:val="00426174"/>
    <w:rsid w:val="004268B5"/>
    <w:rsid w:val="0042720C"/>
    <w:rsid w:val="004272F7"/>
    <w:rsid w:val="004273CF"/>
    <w:rsid w:val="0042757A"/>
    <w:rsid w:val="00427F0F"/>
    <w:rsid w:val="0043033C"/>
    <w:rsid w:val="004308DC"/>
    <w:rsid w:val="00430F4E"/>
    <w:rsid w:val="0043137C"/>
    <w:rsid w:val="00432C3D"/>
    <w:rsid w:val="0043314B"/>
    <w:rsid w:val="0043322A"/>
    <w:rsid w:val="004333BC"/>
    <w:rsid w:val="004338A2"/>
    <w:rsid w:val="00433C2C"/>
    <w:rsid w:val="00433EE0"/>
    <w:rsid w:val="00433EE6"/>
    <w:rsid w:val="00435501"/>
    <w:rsid w:val="00435F6C"/>
    <w:rsid w:val="0043662C"/>
    <w:rsid w:val="0043717A"/>
    <w:rsid w:val="0043760A"/>
    <w:rsid w:val="00437D58"/>
    <w:rsid w:val="00437E02"/>
    <w:rsid w:val="0044053C"/>
    <w:rsid w:val="00440881"/>
    <w:rsid w:val="00440915"/>
    <w:rsid w:val="00441442"/>
    <w:rsid w:val="004415FF"/>
    <w:rsid w:val="00441808"/>
    <w:rsid w:val="00441E02"/>
    <w:rsid w:val="00441FE0"/>
    <w:rsid w:val="004420A6"/>
    <w:rsid w:val="004422AA"/>
    <w:rsid w:val="0044267F"/>
    <w:rsid w:val="004429AF"/>
    <w:rsid w:val="00442D6E"/>
    <w:rsid w:val="00443670"/>
    <w:rsid w:val="00443D78"/>
    <w:rsid w:val="00443EF6"/>
    <w:rsid w:val="004444D3"/>
    <w:rsid w:val="00444D68"/>
    <w:rsid w:val="00445CA8"/>
    <w:rsid w:val="00445FBC"/>
    <w:rsid w:val="00446BAF"/>
    <w:rsid w:val="00447958"/>
    <w:rsid w:val="004500C3"/>
    <w:rsid w:val="004503A3"/>
    <w:rsid w:val="00450A6B"/>
    <w:rsid w:val="00450ADB"/>
    <w:rsid w:val="004519A5"/>
    <w:rsid w:val="00451B35"/>
    <w:rsid w:val="00452C59"/>
    <w:rsid w:val="00453466"/>
    <w:rsid w:val="0045443D"/>
    <w:rsid w:val="00455B94"/>
    <w:rsid w:val="00455B9E"/>
    <w:rsid w:val="00455EB1"/>
    <w:rsid w:val="004562D1"/>
    <w:rsid w:val="00456AE8"/>
    <w:rsid w:val="00456D9F"/>
    <w:rsid w:val="00457AC8"/>
    <w:rsid w:val="0046107B"/>
    <w:rsid w:val="00461299"/>
    <w:rsid w:val="00461C50"/>
    <w:rsid w:val="004624F7"/>
    <w:rsid w:val="0046256A"/>
    <w:rsid w:val="00463091"/>
    <w:rsid w:val="00463322"/>
    <w:rsid w:val="004637F1"/>
    <w:rsid w:val="00463A32"/>
    <w:rsid w:val="004648CB"/>
    <w:rsid w:val="00465738"/>
    <w:rsid w:val="00465C7D"/>
    <w:rsid w:val="00465FE5"/>
    <w:rsid w:val="00466101"/>
    <w:rsid w:val="00466693"/>
    <w:rsid w:val="004670EA"/>
    <w:rsid w:val="004676F3"/>
    <w:rsid w:val="00467925"/>
    <w:rsid w:val="0046795A"/>
    <w:rsid w:val="004700BD"/>
    <w:rsid w:val="004706F6"/>
    <w:rsid w:val="00470C2C"/>
    <w:rsid w:val="00470EE9"/>
    <w:rsid w:val="004710AF"/>
    <w:rsid w:val="0047119D"/>
    <w:rsid w:val="00471335"/>
    <w:rsid w:val="00471901"/>
    <w:rsid w:val="00471A17"/>
    <w:rsid w:val="00471CE4"/>
    <w:rsid w:val="004727DB"/>
    <w:rsid w:val="00473858"/>
    <w:rsid w:val="00474AB2"/>
    <w:rsid w:val="004753D9"/>
    <w:rsid w:val="0047569E"/>
    <w:rsid w:val="00476292"/>
    <w:rsid w:val="0047647F"/>
    <w:rsid w:val="00476481"/>
    <w:rsid w:val="004774DD"/>
    <w:rsid w:val="004777D4"/>
    <w:rsid w:val="0047790D"/>
    <w:rsid w:val="00477D98"/>
    <w:rsid w:val="0048014B"/>
    <w:rsid w:val="00482534"/>
    <w:rsid w:val="00482B54"/>
    <w:rsid w:val="004831D8"/>
    <w:rsid w:val="00483314"/>
    <w:rsid w:val="00484187"/>
    <w:rsid w:val="0048523E"/>
    <w:rsid w:val="004852AD"/>
    <w:rsid w:val="00485375"/>
    <w:rsid w:val="0048541B"/>
    <w:rsid w:val="00485710"/>
    <w:rsid w:val="00485B80"/>
    <w:rsid w:val="004868A0"/>
    <w:rsid w:val="004868EC"/>
    <w:rsid w:val="00486A05"/>
    <w:rsid w:val="00487F56"/>
    <w:rsid w:val="004901B2"/>
    <w:rsid w:val="0049059B"/>
    <w:rsid w:val="0049129E"/>
    <w:rsid w:val="00492742"/>
    <w:rsid w:val="00492A47"/>
    <w:rsid w:val="00492D43"/>
    <w:rsid w:val="0049475F"/>
    <w:rsid w:val="00495C0D"/>
    <w:rsid w:val="0049671C"/>
    <w:rsid w:val="0049771A"/>
    <w:rsid w:val="00497861"/>
    <w:rsid w:val="00497CD3"/>
    <w:rsid w:val="004A0667"/>
    <w:rsid w:val="004A0B93"/>
    <w:rsid w:val="004A0C63"/>
    <w:rsid w:val="004A0EDC"/>
    <w:rsid w:val="004A11EA"/>
    <w:rsid w:val="004A28E9"/>
    <w:rsid w:val="004A32A2"/>
    <w:rsid w:val="004A4370"/>
    <w:rsid w:val="004A4948"/>
    <w:rsid w:val="004A5906"/>
    <w:rsid w:val="004A63CD"/>
    <w:rsid w:val="004A65E4"/>
    <w:rsid w:val="004A6DDE"/>
    <w:rsid w:val="004A725F"/>
    <w:rsid w:val="004A75AB"/>
    <w:rsid w:val="004AC042"/>
    <w:rsid w:val="004B00F4"/>
    <w:rsid w:val="004B173A"/>
    <w:rsid w:val="004B197B"/>
    <w:rsid w:val="004B2688"/>
    <w:rsid w:val="004B300D"/>
    <w:rsid w:val="004B322C"/>
    <w:rsid w:val="004B42AE"/>
    <w:rsid w:val="004B494E"/>
    <w:rsid w:val="004B4F9D"/>
    <w:rsid w:val="004B5259"/>
    <w:rsid w:val="004B535E"/>
    <w:rsid w:val="004B59A4"/>
    <w:rsid w:val="004B5EE6"/>
    <w:rsid w:val="004B733E"/>
    <w:rsid w:val="004B7997"/>
    <w:rsid w:val="004B7E7A"/>
    <w:rsid w:val="004C06F9"/>
    <w:rsid w:val="004C256F"/>
    <w:rsid w:val="004C2CCA"/>
    <w:rsid w:val="004C3221"/>
    <w:rsid w:val="004C3743"/>
    <w:rsid w:val="004C3898"/>
    <w:rsid w:val="004C3DE4"/>
    <w:rsid w:val="004C3F78"/>
    <w:rsid w:val="004C406B"/>
    <w:rsid w:val="004C42C8"/>
    <w:rsid w:val="004C50FC"/>
    <w:rsid w:val="004C572C"/>
    <w:rsid w:val="004C58EE"/>
    <w:rsid w:val="004C6213"/>
    <w:rsid w:val="004C778C"/>
    <w:rsid w:val="004C77D8"/>
    <w:rsid w:val="004C7932"/>
    <w:rsid w:val="004C7EBF"/>
    <w:rsid w:val="004D07E4"/>
    <w:rsid w:val="004D0DC5"/>
    <w:rsid w:val="004D1C8A"/>
    <w:rsid w:val="004D1CF3"/>
    <w:rsid w:val="004D234A"/>
    <w:rsid w:val="004D2C54"/>
    <w:rsid w:val="004D3F66"/>
    <w:rsid w:val="004D53F5"/>
    <w:rsid w:val="004D54C4"/>
    <w:rsid w:val="004D59E9"/>
    <w:rsid w:val="004D5AF6"/>
    <w:rsid w:val="004D5C7F"/>
    <w:rsid w:val="004D66E5"/>
    <w:rsid w:val="004D6724"/>
    <w:rsid w:val="004D6897"/>
    <w:rsid w:val="004D6969"/>
    <w:rsid w:val="004D6B50"/>
    <w:rsid w:val="004D731D"/>
    <w:rsid w:val="004D735F"/>
    <w:rsid w:val="004D74FC"/>
    <w:rsid w:val="004D7C18"/>
    <w:rsid w:val="004D7F52"/>
    <w:rsid w:val="004E006C"/>
    <w:rsid w:val="004E1510"/>
    <w:rsid w:val="004E1F9E"/>
    <w:rsid w:val="004E2CA0"/>
    <w:rsid w:val="004E30AE"/>
    <w:rsid w:val="004E35E7"/>
    <w:rsid w:val="004E3B6B"/>
    <w:rsid w:val="004E3BD0"/>
    <w:rsid w:val="004E3D1D"/>
    <w:rsid w:val="004E3D23"/>
    <w:rsid w:val="004E3D26"/>
    <w:rsid w:val="004E473A"/>
    <w:rsid w:val="004E4823"/>
    <w:rsid w:val="004E488F"/>
    <w:rsid w:val="004E49C4"/>
    <w:rsid w:val="004E49EF"/>
    <w:rsid w:val="004E4B43"/>
    <w:rsid w:val="004E5684"/>
    <w:rsid w:val="004E57B4"/>
    <w:rsid w:val="004E5AF3"/>
    <w:rsid w:val="004E5C9D"/>
    <w:rsid w:val="004E6ABC"/>
    <w:rsid w:val="004F09AA"/>
    <w:rsid w:val="004F0E7D"/>
    <w:rsid w:val="004F1EAC"/>
    <w:rsid w:val="004F1F0A"/>
    <w:rsid w:val="004F1F9A"/>
    <w:rsid w:val="004F3A72"/>
    <w:rsid w:val="004F3FC6"/>
    <w:rsid w:val="004F40EC"/>
    <w:rsid w:val="004F4DE3"/>
    <w:rsid w:val="004F5C5C"/>
    <w:rsid w:val="004F5E3A"/>
    <w:rsid w:val="004F6403"/>
    <w:rsid w:val="004F6732"/>
    <w:rsid w:val="004F6DEF"/>
    <w:rsid w:val="004F7EEB"/>
    <w:rsid w:val="0050008E"/>
    <w:rsid w:val="00500228"/>
    <w:rsid w:val="0050042A"/>
    <w:rsid w:val="00500CC7"/>
    <w:rsid w:val="00502EE6"/>
    <w:rsid w:val="0050374A"/>
    <w:rsid w:val="00504911"/>
    <w:rsid w:val="00505B44"/>
    <w:rsid w:val="00506164"/>
    <w:rsid w:val="0050618F"/>
    <w:rsid w:val="005067DE"/>
    <w:rsid w:val="00507097"/>
    <w:rsid w:val="00507DF6"/>
    <w:rsid w:val="00510078"/>
    <w:rsid w:val="00510204"/>
    <w:rsid w:val="00510379"/>
    <w:rsid w:val="00510E6B"/>
    <w:rsid w:val="005111D4"/>
    <w:rsid w:val="0051131A"/>
    <w:rsid w:val="0051155F"/>
    <w:rsid w:val="00511928"/>
    <w:rsid w:val="00511E65"/>
    <w:rsid w:val="005127F3"/>
    <w:rsid w:val="0051291C"/>
    <w:rsid w:val="005133F3"/>
    <w:rsid w:val="0051379D"/>
    <w:rsid w:val="00513C45"/>
    <w:rsid w:val="005142A0"/>
    <w:rsid w:val="005147DF"/>
    <w:rsid w:val="00514E63"/>
    <w:rsid w:val="00514ECD"/>
    <w:rsid w:val="0051512B"/>
    <w:rsid w:val="00515569"/>
    <w:rsid w:val="005163ED"/>
    <w:rsid w:val="00516508"/>
    <w:rsid w:val="00516B8D"/>
    <w:rsid w:val="00516C41"/>
    <w:rsid w:val="00517AC0"/>
    <w:rsid w:val="00517CC1"/>
    <w:rsid w:val="00517FDC"/>
    <w:rsid w:val="00520052"/>
    <w:rsid w:val="005206E2"/>
    <w:rsid w:val="00520DE1"/>
    <w:rsid w:val="0052272F"/>
    <w:rsid w:val="00523B16"/>
    <w:rsid w:val="005243C2"/>
    <w:rsid w:val="00524775"/>
    <w:rsid w:val="00524FAB"/>
    <w:rsid w:val="00525558"/>
    <w:rsid w:val="0052569F"/>
    <w:rsid w:val="005257C3"/>
    <w:rsid w:val="00525A94"/>
    <w:rsid w:val="00525E0E"/>
    <w:rsid w:val="005267F9"/>
    <w:rsid w:val="005271B8"/>
    <w:rsid w:val="005278C2"/>
    <w:rsid w:val="00530839"/>
    <w:rsid w:val="0053130C"/>
    <w:rsid w:val="0053241A"/>
    <w:rsid w:val="00532D37"/>
    <w:rsid w:val="005356FB"/>
    <w:rsid w:val="00535B79"/>
    <w:rsid w:val="00535B9A"/>
    <w:rsid w:val="005368FA"/>
    <w:rsid w:val="00536A46"/>
    <w:rsid w:val="00537EAA"/>
    <w:rsid w:val="005403BB"/>
    <w:rsid w:val="0054056F"/>
    <w:rsid w:val="005410FC"/>
    <w:rsid w:val="005412DC"/>
    <w:rsid w:val="00541663"/>
    <w:rsid w:val="00541AE0"/>
    <w:rsid w:val="00542294"/>
    <w:rsid w:val="005426D8"/>
    <w:rsid w:val="00542743"/>
    <w:rsid w:val="00542CFB"/>
    <w:rsid w:val="0054305C"/>
    <w:rsid w:val="005434A2"/>
    <w:rsid w:val="00544CCF"/>
    <w:rsid w:val="00544DE4"/>
    <w:rsid w:val="0054502C"/>
    <w:rsid w:val="0054517E"/>
    <w:rsid w:val="00545254"/>
    <w:rsid w:val="005455FE"/>
    <w:rsid w:val="005465C1"/>
    <w:rsid w:val="00546764"/>
    <w:rsid w:val="00546A08"/>
    <w:rsid w:val="00546F87"/>
    <w:rsid w:val="0055023A"/>
    <w:rsid w:val="0055053A"/>
    <w:rsid w:val="00550543"/>
    <w:rsid w:val="00550ABD"/>
    <w:rsid w:val="005514B7"/>
    <w:rsid w:val="005516AE"/>
    <w:rsid w:val="0055179F"/>
    <w:rsid w:val="00551AAA"/>
    <w:rsid w:val="005520E7"/>
    <w:rsid w:val="0055273A"/>
    <w:rsid w:val="00552C72"/>
    <w:rsid w:val="00552CE2"/>
    <w:rsid w:val="005530EE"/>
    <w:rsid w:val="00553500"/>
    <w:rsid w:val="0055378E"/>
    <w:rsid w:val="00553B6B"/>
    <w:rsid w:val="005543E4"/>
    <w:rsid w:val="00555B0D"/>
    <w:rsid w:val="00555CE1"/>
    <w:rsid w:val="0055773C"/>
    <w:rsid w:val="00557A19"/>
    <w:rsid w:val="005604B0"/>
    <w:rsid w:val="005608EC"/>
    <w:rsid w:val="00560965"/>
    <w:rsid w:val="00560A68"/>
    <w:rsid w:val="00560C2E"/>
    <w:rsid w:val="00561001"/>
    <w:rsid w:val="005614B6"/>
    <w:rsid w:val="00561C7D"/>
    <w:rsid w:val="00561DC4"/>
    <w:rsid w:val="005639D3"/>
    <w:rsid w:val="005642AD"/>
    <w:rsid w:val="005643BB"/>
    <w:rsid w:val="00564C4F"/>
    <w:rsid w:val="00564F02"/>
    <w:rsid w:val="005652B8"/>
    <w:rsid w:val="00565CDC"/>
    <w:rsid w:val="00566919"/>
    <w:rsid w:val="005673A8"/>
    <w:rsid w:val="0057063C"/>
    <w:rsid w:val="005708A8"/>
    <w:rsid w:val="0057270F"/>
    <w:rsid w:val="005727C3"/>
    <w:rsid w:val="005729C0"/>
    <w:rsid w:val="00572D82"/>
    <w:rsid w:val="005736CB"/>
    <w:rsid w:val="0057410E"/>
    <w:rsid w:val="0057466D"/>
    <w:rsid w:val="00574D7F"/>
    <w:rsid w:val="00575D4B"/>
    <w:rsid w:val="00576440"/>
    <w:rsid w:val="0057644F"/>
    <w:rsid w:val="00576741"/>
    <w:rsid w:val="00576A80"/>
    <w:rsid w:val="005770CB"/>
    <w:rsid w:val="00580279"/>
    <w:rsid w:val="00581B6A"/>
    <w:rsid w:val="0058200F"/>
    <w:rsid w:val="005820FB"/>
    <w:rsid w:val="005822BD"/>
    <w:rsid w:val="005833DE"/>
    <w:rsid w:val="00583FCC"/>
    <w:rsid w:val="00584315"/>
    <w:rsid w:val="00584AB3"/>
    <w:rsid w:val="00585787"/>
    <w:rsid w:val="00585CD2"/>
    <w:rsid w:val="005866A0"/>
    <w:rsid w:val="00587771"/>
    <w:rsid w:val="00587961"/>
    <w:rsid w:val="00587B66"/>
    <w:rsid w:val="00587B6D"/>
    <w:rsid w:val="00587F46"/>
    <w:rsid w:val="005901D8"/>
    <w:rsid w:val="0059046D"/>
    <w:rsid w:val="00590999"/>
    <w:rsid w:val="00590B1E"/>
    <w:rsid w:val="00590D86"/>
    <w:rsid w:val="00590DAD"/>
    <w:rsid w:val="00591C1D"/>
    <w:rsid w:val="00592027"/>
    <w:rsid w:val="005922E9"/>
    <w:rsid w:val="00593EF9"/>
    <w:rsid w:val="00594520"/>
    <w:rsid w:val="0059461C"/>
    <w:rsid w:val="00595B92"/>
    <w:rsid w:val="005967A2"/>
    <w:rsid w:val="00596D42"/>
    <w:rsid w:val="00597A57"/>
    <w:rsid w:val="00597FA9"/>
    <w:rsid w:val="005A1F12"/>
    <w:rsid w:val="005A23D6"/>
    <w:rsid w:val="005A254C"/>
    <w:rsid w:val="005A362A"/>
    <w:rsid w:val="005A3962"/>
    <w:rsid w:val="005A3D16"/>
    <w:rsid w:val="005A3DDB"/>
    <w:rsid w:val="005A49D4"/>
    <w:rsid w:val="005A560F"/>
    <w:rsid w:val="005A5EBF"/>
    <w:rsid w:val="005A5F06"/>
    <w:rsid w:val="005A63A8"/>
    <w:rsid w:val="005A6F93"/>
    <w:rsid w:val="005A7367"/>
    <w:rsid w:val="005A7BFB"/>
    <w:rsid w:val="005A7F72"/>
    <w:rsid w:val="005B0862"/>
    <w:rsid w:val="005B08A3"/>
    <w:rsid w:val="005B0F56"/>
    <w:rsid w:val="005B1D41"/>
    <w:rsid w:val="005B2249"/>
    <w:rsid w:val="005B224D"/>
    <w:rsid w:val="005B22D6"/>
    <w:rsid w:val="005B2F18"/>
    <w:rsid w:val="005B326B"/>
    <w:rsid w:val="005B3B69"/>
    <w:rsid w:val="005B4246"/>
    <w:rsid w:val="005B4270"/>
    <w:rsid w:val="005B4508"/>
    <w:rsid w:val="005B4A13"/>
    <w:rsid w:val="005B57EA"/>
    <w:rsid w:val="005B60EE"/>
    <w:rsid w:val="005B6916"/>
    <w:rsid w:val="005B6FFF"/>
    <w:rsid w:val="005B7002"/>
    <w:rsid w:val="005B7E6E"/>
    <w:rsid w:val="005C1127"/>
    <w:rsid w:val="005C21B3"/>
    <w:rsid w:val="005C23BB"/>
    <w:rsid w:val="005C245A"/>
    <w:rsid w:val="005C248B"/>
    <w:rsid w:val="005C27A3"/>
    <w:rsid w:val="005C4071"/>
    <w:rsid w:val="005C6DFA"/>
    <w:rsid w:val="005C7286"/>
    <w:rsid w:val="005C75B3"/>
    <w:rsid w:val="005C7EC6"/>
    <w:rsid w:val="005C7F12"/>
    <w:rsid w:val="005D01F3"/>
    <w:rsid w:val="005D07D1"/>
    <w:rsid w:val="005D0DF3"/>
    <w:rsid w:val="005D12A6"/>
    <w:rsid w:val="005D14B0"/>
    <w:rsid w:val="005D1D1B"/>
    <w:rsid w:val="005D2146"/>
    <w:rsid w:val="005D27D7"/>
    <w:rsid w:val="005D3144"/>
    <w:rsid w:val="005D34D1"/>
    <w:rsid w:val="005D3BF2"/>
    <w:rsid w:val="005D3D8F"/>
    <w:rsid w:val="005D435C"/>
    <w:rsid w:val="005D488F"/>
    <w:rsid w:val="005D4890"/>
    <w:rsid w:val="005D5176"/>
    <w:rsid w:val="005D5643"/>
    <w:rsid w:val="005D6BDC"/>
    <w:rsid w:val="005D6E16"/>
    <w:rsid w:val="005D709D"/>
    <w:rsid w:val="005D72D8"/>
    <w:rsid w:val="005D795B"/>
    <w:rsid w:val="005D7CB4"/>
    <w:rsid w:val="005E0CF4"/>
    <w:rsid w:val="005E1DE4"/>
    <w:rsid w:val="005E1EFB"/>
    <w:rsid w:val="005E3F8B"/>
    <w:rsid w:val="005E4C0E"/>
    <w:rsid w:val="005E4EF0"/>
    <w:rsid w:val="005E4F7C"/>
    <w:rsid w:val="005E5155"/>
    <w:rsid w:val="005E5E5E"/>
    <w:rsid w:val="005E6ED7"/>
    <w:rsid w:val="005F0E57"/>
    <w:rsid w:val="005F14CF"/>
    <w:rsid w:val="005F15ED"/>
    <w:rsid w:val="005F1A1E"/>
    <w:rsid w:val="005F20D6"/>
    <w:rsid w:val="005F2166"/>
    <w:rsid w:val="005F2D9C"/>
    <w:rsid w:val="005F33C9"/>
    <w:rsid w:val="005F340A"/>
    <w:rsid w:val="005F34A7"/>
    <w:rsid w:val="005F34EF"/>
    <w:rsid w:val="005F3DCE"/>
    <w:rsid w:val="005F445F"/>
    <w:rsid w:val="005F4B21"/>
    <w:rsid w:val="005F4BDE"/>
    <w:rsid w:val="005F4D15"/>
    <w:rsid w:val="005F4D9B"/>
    <w:rsid w:val="005F5397"/>
    <w:rsid w:val="005F5566"/>
    <w:rsid w:val="005F597E"/>
    <w:rsid w:val="005F5C1E"/>
    <w:rsid w:val="005F7C22"/>
    <w:rsid w:val="00600270"/>
    <w:rsid w:val="00600478"/>
    <w:rsid w:val="0060055A"/>
    <w:rsid w:val="00600DBB"/>
    <w:rsid w:val="00601BD5"/>
    <w:rsid w:val="00601F06"/>
    <w:rsid w:val="00602272"/>
    <w:rsid w:val="00602C0B"/>
    <w:rsid w:val="00604500"/>
    <w:rsid w:val="0060497A"/>
    <w:rsid w:val="00604E7C"/>
    <w:rsid w:val="00604ED7"/>
    <w:rsid w:val="00605017"/>
    <w:rsid w:val="00605799"/>
    <w:rsid w:val="00606009"/>
    <w:rsid w:val="00610759"/>
    <w:rsid w:val="00610916"/>
    <w:rsid w:val="00611D3B"/>
    <w:rsid w:val="00611E44"/>
    <w:rsid w:val="006120B7"/>
    <w:rsid w:val="0061262C"/>
    <w:rsid w:val="00612A51"/>
    <w:rsid w:val="00612D49"/>
    <w:rsid w:val="00614F5E"/>
    <w:rsid w:val="006150CA"/>
    <w:rsid w:val="00615AC5"/>
    <w:rsid w:val="00615EC3"/>
    <w:rsid w:val="006164EE"/>
    <w:rsid w:val="006169F0"/>
    <w:rsid w:val="0061707F"/>
    <w:rsid w:val="0061733C"/>
    <w:rsid w:val="006176AF"/>
    <w:rsid w:val="00617A0A"/>
    <w:rsid w:val="00620329"/>
    <w:rsid w:val="00620D2C"/>
    <w:rsid w:val="0062170E"/>
    <w:rsid w:val="00622183"/>
    <w:rsid w:val="006226A3"/>
    <w:rsid w:val="00622B76"/>
    <w:rsid w:val="00622C7D"/>
    <w:rsid w:val="006238E4"/>
    <w:rsid w:val="006242D2"/>
    <w:rsid w:val="006249BB"/>
    <w:rsid w:val="00624CD6"/>
    <w:rsid w:val="00624F48"/>
    <w:rsid w:val="00625717"/>
    <w:rsid w:val="006261ED"/>
    <w:rsid w:val="00626573"/>
    <w:rsid w:val="006268EF"/>
    <w:rsid w:val="0062736A"/>
    <w:rsid w:val="006305DB"/>
    <w:rsid w:val="00630C4C"/>
    <w:rsid w:val="00631331"/>
    <w:rsid w:val="00632921"/>
    <w:rsid w:val="00632C94"/>
    <w:rsid w:val="00632EA0"/>
    <w:rsid w:val="0063358A"/>
    <w:rsid w:val="006336C3"/>
    <w:rsid w:val="0063388A"/>
    <w:rsid w:val="00633AEF"/>
    <w:rsid w:val="00633DCE"/>
    <w:rsid w:val="006341D6"/>
    <w:rsid w:val="00634856"/>
    <w:rsid w:val="00634B64"/>
    <w:rsid w:val="00634FD3"/>
    <w:rsid w:val="00635459"/>
    <w:rsid w:val="00635CC6"/>
    <w:rsid w:val="00636858"/>
    <w:rsid w:val="006368AA"/>
    <w:rsid w:val="006368E6"/>
    <w:rsid w:val="00640994"/>
    <w:rsid w:val="00641140"/>
    <w:rsid w:val="00641816"/>
    <w:rsid w:val="006419A3"/>
    <w:rsid w:val="00642C04"/>
    <w:rsid w:val="006430A6"/>
    <w:rsid w:val="0064377F"/>
    <w:rsid w:val="00643BA0"/>
    <w:rsid w:val="00643C11"/>
    <w:rsid w:val="00645D0F"/>
    <w:rsid w:val="006460D5"/>
    <w:rsid w:val="00646318"/>
    <w:rsid w:val="006468FD"/>
    <w:rsid w:val="00646E5D"/>
    <w:rsid w:val="00647DC9"/>
    <w:rsid w:val="006511FF"/>
    <w:rsid w:val="006517DA"/>
    <w:rsid w:val="0065217A"/>
    <w:rsid w:val="006521A6"/>
    <w:rsid w:val="0065250C"/>
    <w:rsid w:val="00653412"/>
    <w:rsid w:val="00653596"/>
    <w:rsid w:val="006537AB"/>
    <w:rsid w:val="00653E35"/>
    <w:rsid w:val="00654ACA"/>
    <w:rsid w:val="006550E1"/>
    <w:rsid w:val="0065530F"/>
    <w:rsid w:val="0065588B"/>
    <w:rsid w:val="00655AAD"/>
    <w:rsid w:val="00655D91"/>
    <w:rsid w:val="006576B5"/>
    <w:rsid w:val="00657DCD"/>
    <w:rsid w:val="006614C3"/>
    <w:rsid w:val="00661AE8"/>
    <w:rsid w:val="0066266E"/>
    <w:rsid w:val="00663013"/>
    <w:rsid w:val="0066376F"/>
    <w:rsid w:val="00663CEE"/>
    <w:rsid w:val="006645D8"/>
    <w:rsid w:val="00665163"/>
    <w:rsid w:val="006653F2"/>
    <w:rsid w:val="00665A54"/>
    <w:rsid w:val="00666B94"/>
    <w:rsid w:val="00670591"/>
    <w:rsid w:val="006711E1"/>
    <w:rsid w:val="006722AA"/>
    <w:rsid w:val="0067336A"/>
    <w:rsid w:val="00674E37"/>
    <w:rsid w:val="00674F13"/>
    <w:rsid w:val="00675525"/>
    <w:rsid w:val="0067568E"/>
    <w:rsid w:val="00676213"/>
    <w:rsid w:val="00676AFE"/>
    <w:rsid w:val="00676BE2"/>
    <w:rsid w:val="006800DC"/>
    <w:rsid w:val="006802F3"/>
    <w:rsid w:val="00680670"/>
    <w:rsid w:val="00680C3D"/>
    <w:rsid w:val="00680CF7"/>
    <w:rsid w:val="0068150B"/>
    <w:rsid w:val="006819E5"/>
    <w:rsid w:val="00681D37"/>
    <w:rsid w:val="00681EF2"/>
    <w:rsid w:val="00682A64"/>
    <w:rsid w:val="00682E58"/>
    <w:rsid w:val="0068303D"/>
    <w:rsid w:val="00683293"/>
    <w:rsid w:val="0068349A"/>
    <w:rsid w:val="006841CA"/>
    <w:rsid w:val="00684469"/>
    <w:rsid w:val="00684C09"/>
    <w:rsid w:val="00684FC5"/>
    <w:rsid w:val="00685516"/>
    <w:rsid w:val="0068554A"/>
    <w:rsid w:val="00685670"/>
    <w:rsid w:val="00685E66"/>
    <w:rsid w:val="00686ACA"/>
    <w:rsid w:val="00686BAA"/>
    <w:rsid w:val="00686D12"/>
    <w:rsid w:val="00687E3C"/>
    <w:rsid w:val="00690051"/>
    <w:rsid w:val="00690772"/>
    <w:rsid w:val="00690790"/>
    <w:rsid w:val="00690C8B"/>
    <w:rsid w:val="00690D43"/>
    <w:rsid w:val="0069112C"/>
    <w:rsid w:val="00691812"/>
    <w:rsid w:val="0069195D"/>
    <w:rsid w:val="0069437B"/>
    <w:rsid w:val="00694541"/>
    <w:rsid w:val="00694C57"/>
    <w:rsid w:val="00694E06"/>
    <w:rsid w:val="00694EA2"/>
    <w:rsid w:val="00695155"/>
    <w:rsid w:val="006954B3"/>
    <w:rsid w:val="006956D0"/>
    <w:rsid w:val="0069662F"/>
    <w:rsid w:val="0069679D"/>
    <w:rsid w:val="00697100"/>
    <w:rsid w:val="00697A6F"/>
    <w:rsid w:val="00697CDD"/>
    <w:rsid w:val="00697E97"/>
    <w:rsid w:val="006A067A"/>
    <w:rsid w:val="006A0945"/>
    <w:rsid w:val="006A0CA2"/>
    <w:rsid w:val="006A130C"/>
    <w:rsid w:val="006A263C"/>
    <w:rsid w:val="006A2B83"/>
    <w:rsid w:val="006A3B76"/>
    <w:rsid w:val="006A3CE1"/>
    <w:rsid w:val="006A42A2"/>
    <w:rsid w:val="006A44BA"/>
    <w:rsid w:val="006A4826"/>
    <w:rsid w:val="006A4B07"/>
    <w:rsid w:val="006A5424"/>
    <w:rsid w:val="006A5641"/>
    <w:rsid w:val="006A5D54"/>
    <w:rsid w:val="006A699C"/>
    <w:rsid w:val="006A6ECA"/>
    <w:rsid w:val="006A6ED8"/>
    <w:rsid w:val="006A6FFA"/>
    <w:rsid w:val="006A797E"/>
    <w:rsid w:val="006ADFF9"/>
    <w:rsid w:val="006B016F"/>
    <w:rsid w:val="006B1381"/>
    <w:rsid w:val="006B1647"/>
    <w:rsid w:val="006B18D1"/>
    <w:rsid w:val="006B347D"/>
    <w:rsid w:val="006B3485"/>
    <w:rsid w:val="006B3E6F"/>
    <w:rsid w:val="006B4144"/>
    <w:rsid w:val="006B48F2"/>
    <w:rsid w:val="006B4E1A"/>
    <w:rsid w:val="006B5022"/>
    <w:rsid w:val="006B554D"/>
    <w:rsid w:val="006B5BC5"/>
    <w:rsid w:val="006B5C05"/>
    <w:rsid w:val="006B6CE2"/>
    <w:rsid w:val="006B6D63"/>
    <w:rsid w:val="006B6F1A"/>
    <w:rsid w:val="006B7596"/>
    <w:rsid w:val="006B7DE8"/>
    <w:rsid w:val="006C0FFC"/>
    <w:rsid w:val="006C119D"/>
    <w:rsid w:val="006C11BD"/>
    <w:rsid w:val="006C1423"/>
    <w:rsid w:val="006C1512"/>
    <w:rsid w:val="006C16EC"/>
    <w:rsid w:val="006C1719"/>
    <w:rsid w:val="006C1D61"/>
    <w:rsid w:val="006C26B2"/>
    <w:rsid w:val="006C296A"/>
    <w:rsid w:val="006C2EE7"/>
    <w:rsid w:val="006C3203"/>
    <w:rsid w:val="006C372F"/>
    <w:rsid w:val="006C3C8B"/>
    <w:rsid w:val="006C539C"/>
    <w:rsid w:val="006C53C8"/>
    <w:rsid w:val="006C5624"/>
    <w:rsid w:val="006C5874"/>
    <w:rsid w:val="006C5E37"/>
    <w:rsid w:val="006C603D"/>
    <w:rsid w:val="006C6077"/>
    <w:rsid w:val="006C60F3"/>
    <w:rsid w:val="006C615A"/>
    <w:rsid w:val="006C6788"/>
    <w:rsid w:val="006C6AAC"/>
    <w:rsid w:val="006C7338"/>
    <w:rsid w:val="006C78AA"/>
    <w:rsid w:val="006D0BD1"/>
    <w:rsid w:val="006D12D7"/>
    <w:rsid w:val="006D1C88"/>
    <w:rsid w:val="006D27B7"/>
    <w:rsid w:val="006D27D9"/>
    <w:rsid w:val="006D312F"/>
    <w:rsid w:val="006D3EEC"/>
    <w:rsid w:val="006D442D"/>
    <w:rsid w:val="006D4513"/>
    <w:rsid w:val="006D5978"/>
    <w:rsid w:val="006D5994"/>
    <w:rsid w:val="006D5FB0"/>
    <w:rsid w:val="006D656D"/>
    <w:rsid w:val="006D6F1E"/>
    <w:rsid w:val="006D788F"/>
    <w:rsid w:val="006D7C68"/>
    <w:rsid w:val="006E0CDC"/>
    <w:rsid w:val="006E1113"/>
    <w:rsid w:val="006E14B1"/>
    <w:rsid w:val="006E1862"/>
    <w:rsid w:val="006E2293"/>
    <w:rsid w:val="006E284F"/>
    <w:rsid w:val="006E2872"/>
    <w:rsid w:val="006E2DA4"/>
    <w:rsid w:val="006E3609"/>
    <w:rsid w:val="006E3867"/>
    <w:rsid w:val="006E3B47"/>
    <w:rsid w:val="006E417D"/>
    <w:rsid w:val="006E4F79"/>
    <w:rsid w:val="006E4FB1"/>
    <w:rsid w:val="006E5391"/>
    <w:rsid w:val="006E6405"/>
    <w:rsid w:val="006E64F1"/>
    <w:rsid w:val="006E6C57"/>
    <w:rsid w:val="006E7071"/>
    <w:rsid w:val="006F0A7D"/>
    <w:rsid w:val="006F1A9C"/>
    <w:rsid w:val="006F1C5D"/>
    <w:rsid w:val="006F1DB6"/>
    <w:rsid w:val="006F1DE4"/>
    <w:rsid w:val="006F2464"/>
    <w:rsid w:val="006F3714"/>
    <w:rsid w:val="006F5823"/>
    <w:rsid w:val="006F591B"/>
    <w:rsid w:val="006F6E07"/>
    <w:rsid w:val="006F6E8E"/>
    <w:rsid w:val="006F76E6"/>
    <w:rsid w:val="006F796B"/>
    <w:rsid w:val="0070066A"/>
    <w:rsid w:val="00700F99"/>
    <w:rsid w:val="007012A8"/>
    <w:rsid w:val="0070168A"/>
    <w:rsid w:val="007018E2"/>
    <w:rsid w:val="00702087"/>
    <w:rsid w:val="00702A6C"/>
    <w:rsid w:val="00702AFC"/>
    <w:rsid w:val="00703A05"/>
    <w:rsid w:val="007042CE"/>
    <w:rsid w:val="00704BED"/>
    <w:rsid w:val="00704CCD"/>
    <w:rsid w:val="007055E3"/>
    <w:rsid w:val="00706292"/>
    <w:rsid w:val="00706568"/>
    <w:rsid w:val="00706A82"/>
    <w:rsid w:val="00706D7B"/>
    <w:rsid w:val="007075EC"/>
    <w:rsid w:val="0071096B"/>
    <w:rsid w:val="00710D0C"/>
    <w:rsid w:val="007111BC"/>
    <w:rsid w:val="0071132A"/>
    <w:rsid w:val="0071173F"/>
    <w:rsid w:val="00711B38"/>
    <w:rsid w:val="0071304F"/>
    <w:rsid w:val="0071319F"/>
    <w:rsid w:val="007137CA"/>
    <w:rsid w:val="00714A1A"/>
    <w:rsid w:val="0071549E"/>
    <w:rsid w:val="00715723"/>
    <w:rsid w:val="007160FD"/>
    <w:rsid w:val="007170CE"/>
    <w:rsid w:val="007201D4"/>
    <w:rsid w:val="007208E8"/>
    <w:rsid w:val="00720948"/>
    <w:rsid w:val="00720ECC"/>
    <w:rsid w:val="00721453"/>
    <w:rsid w:val="00721733"/>
    <w:rsid w:val="007218BD"/>
    <w:rsid w:val="00721A8A"/>
    <w:rsid w:val="007226E7"/>
    <w:rsid w:val="00722A8A"/>
    <w:rsid w:val="00722EE4"/>
    <w:rsid w:val="0072321F"/>
    <w:rsid w:val="0072403A"/>
    <w:rsid w:val="0072494D"/>
    <w:rsid w:val="00724BFD"/>
    <w:rsid w:val="00724E0F"/>
    <w:rsid w:val="00725885"/>
    <w:rsid w:val="00725A6F"/>
    <w:rsid w:val="00726F19"/>
    <w:rsid w:val="00727396"/>
    <w:rsid w:val="0072C2DD"/>
    <w:rsid w:val="007300DE"/>
    <w:rsid w:val="00730161"/>
    <w:rsid w:val="007303A5"/>
    <w:rsid w:val="007309A5"/>
    <w:rsid w:val="007309B7"/>
    <w:rsid w:val="0073134C"/>
    <w:rsid w:val="00731509"/>
    <w:rsid w:val="00731B64"/>
    <w:rsid w:val="00731D17"/>
    <w:rsid w:val="007327CB"/>
    <w:rsid w:val="00732956"/>
    <w:rsid w:val="00732B47"/>
    <w:rsid w:val="00733D37"/>
    <w:rsid w:val="0073412C"/>
    <w:rsid w:val="007347C3"/>
    <w:rsid w:val="007348C3"/>
    <w:rsid w:val="00734BDA"/>
    <w:rsid w:val="0073501D"/>
    <w:rsid w:val="007361C6"/>
    <w:rsid w:val="0073624F"/>
    <w:rsid w:val="00736855"/>
    <w:rsid w:val="00736B91"/>
    <w:rsid w:val="00737B00"/>
    <w:rsid w:val="00737CF3"/>
    <w:rsid w:val="0073CBF0"/>
    <w:rsid w:val="0074031C"/>
    <w:rsid w:val="007408FD"/>
    <w:rsid w:val="00740B50"/>
    <w:rsid w:val="00740E50"/>
    <w:rsid w:val="0074145B"/>
    <w:rsid w:val="007418FE"/>
    <w:rsid w:val="00741A88"/>
    <w:rsid w:val="00742306"/>
    <w:rsid w:val="007424CD"/>
    <w:rsid w:val="0074302A"/>
    <w:rsid w:val="0074414B"/>
    <w:rsid w:val="00744248"/>
    <w:rsid w:val="0074440B"/>
    <w:rsid w:val="00744434"/>
    <w:rsid w:val="00744C92"/>
    <w:rsid w:val="0074540F"/>
    <w:rsid w:val="00746917"/>
    <w:rsid w:val="00746933"/>
    <w:rsid w:val="00746BE6"/>
    <w:rsid w:val="007505D7"/>
    <w:rsid w:val="007515EE"/>
    <w:rsid w:val="00751809"/>
    <w:rsid w:val="0075208A"/>
    <w:rsid w:val="007525CA"/>
    <w:rsid w:val="00752755"/>
    <w:rsid w:val="00752EBF"/>
    <w:rsid w:val="00753B1F"/>
    <w:rsid w:val="00753CDE"/>
    <w:rsid w:val="00753F8B"/>
    <w:rsid w:val="00754C6F"/>
    <w:rsid w:val="00755040"/>
    <w:rsid w:val="0075664A"/>
    <w:rsid w:val="00756671"/>
    <w:rsid w:val="0075672A"/>
    <w:rsid w:val="007568F9"/>
    <w:rsid w:val="00756A6E"/>
    <w:rsid w:val="00757B27"/>
    <w:rsid w:val="0076019C"/>
    <w:rsid w:val="0076045C"/>
    <w:rsid w:val="0076059D"/>
    <w:rsid w:val="00760DB4"/>
    <w:rsid w:val="00761671"/>
    <w:rsid w:val="00762496"/>
    <w:rsid w:val="007629B7"/>
    <w:rsid w:val="00763120"/>
    <w:rsid w:val="00763421"/>
    <w:rsid w:val="007635BC"/>
    <w:rsid w:val="0076501D"/>
    <w:rsid w:val="007650F1"/>
    <w:rsid w:val="0076588B"/>
    <w:rsid w:val="00766746"/>
    <w:rsid w:val="007667AD"/>
    <w:rsid w:val="00766BF4"/>
    <w:rsid w:val="00766F65"/>
    <w:rsid w:val="00767024"/>
    <w:rsid w:val="007670D6"/>
    <w:rsid w:val="007671D6"/>
    <w:rsid w:val="007674A0"/>
    <w:rsid w:val="00767B71"/>
    <w:rsid w:val="00767C34"/>
    <w:rsid w:val="007692DA"/>
    <w:rsid w:val="007708A8"/>
    <w:rsid w:val="00770920"/>
    <w:rsid w:val="007712BA"/>
    <w:rsid w:val="00771306"/>
    <w:rsid w:val="00771512"/>
    <w:rsid w:val="00772857"/>
    <w:rsid w:val="00773F7C"/>
    <w:rsid w:val="007742D9"/>
    <w:rsid w:val="007743AC"/>
    <w:rsid w:val="00774978"/>
    <w:rsid w:val="00774CE1"/>
    <w:rsid w:val="00775880"/>
    <w:rsid w:val="00775FCB"/>
    <w:rsid w:val="00776DB6"/>
    <w:rsid w:val="007772DB"/>
    <w:rsid w:val="00777379"/>
    <w:rsid w:val="00777C2C"/>
    <w:rsid w:val="00780EFD"/>
    <w:rsid w:val="00780F88"/>
    <w:rsid w:val="0078157A"/>
    <w:rsid w:val="007817D3"/>
    <w:rsid w:val="00781ED3"/>
    <w:rsid w:val="00782AE7"/>
    <w:rsid w:val="0078309E"/>
    <w:rsid w:val="00783168"/>
    <w:rsid w:val="007840C3"/>
    <w:rsid w:val="0078478A"/>
    <w:rsid w:val="00784A83"/>
    <w:rsid w:val="00784E5D"/>
    <w:rsid w:val="00784EF8"/>
    <w:rsid w:val="00785185"/>
    <w:rsid w:val="00785BC7"/>
    <w:rsid w:val="0078615E"/>
    <w:rsid w:val="00786784"/>
    <w:rsid w:val="007869C1"/>
    <w:rsid w:val="00786FF4"/>
    <w:rsid w:val="007870DB"/>
    <w:rsid w:val="00790043"/>
    <w:rsid w:val="0079074E"/>
    <w:rsid w:val="00790B9D"/>
    <w:rsid w:val="00790F6B"/>
    <w:rsid w:val="007914B0"/>
    <w:rsid w:val="0079239B"/>
    <w:rsid w:val="00793484"/>
    <w:rsid w:val="00793859"/>
    <w:rsid w:val="00793EF9"/>
    <w:rsid w:val="00794232"/>
    <w:rsid w:val="00794C10"/>
    <w:rsid w:val="00795037"/>
    <w:rsid w:val="00795195"/>
    <w:rsid w:val="007951B0"/>
    <w:rsid w:val="007952C5"/>
    <w:rsid w:val="00795B74"/>
    <w:rsid w:val="00795F3B"/>
    <w:rsid w:val="007960D9"/>
    <w:rsid w:val="007969C6"/>
    <w:rsid w:val="00796CE8"/>
    <w:rsid w:val="00797F75"/>
    <w:rsid w:val="007A09D4"/>
    <w:rsid w:val="007A09F7"/>
    <w:rsid w:val="007A16EC"/>
    <w:rsid w:val="007A1B05"/>
    <w:rsid w:val="007A1D63"/>
    <w:rsid w:val="007A276F"/>
    <w:rsid w:val="007A2886"/>
    <w:rsid w:val="007A295F"/>
    <w:rsid w:val="007A2C14"/>
    <w:rsid w:val="007A30CA"/>
    <w:rsid w:val="007A31A5"/>
    <w:rsid w:val="007A40FF"/>
    <w:rsid w:val="007A5064"/>
    <w:rsid w:val="007A5167"/>
    <w:rsid w:val="007A60B4"/>
    <w:rsid w:val="007A62A4"/>
    <w:rsid w:val="007A675F"/>
    <w:rsid w:val="007A6E02"/>
    <w:rsid w:val="007A70B1"/>
    <w:rsid w:val="007A735C"/>
    <w:rsid w:val="007B0F86"/>
    <w:rsid w:val="007B113E"/>
    <w:rsid w:val="007B1DCB"/>
    <w:rsid w:val="007B2036"/>
    <w:rsid w:val="007B24DF"/>
    <w:rsid w:val="007B2EEF"/>
    <w:rsid w:val="007B3014"/>
    <w:rsid w:val="007B5270"/>
    <w:rsid w:val="007B57C7"/>
    <w:rsid w:val="007B583A"/>
    <w:rsid w:val="007B70A5"/>
    <w:rsid w:val="007B7349"/>
    <w:rsid w:val="007B7FF5"/>
    <w:rsid w:val="007C086F"/>
    <w:rsid w:val="007C0C75"/>
    <w:rsid w:val="007C1437"/>
    <w:rsid w:val="007C1647"/>
    <w:rsid w:val="007C24D2"/>
    <w:rsid w:val="007C27E9"/>
    <w:rsid w:val="007C28B7"/>
    <w:rsid w:val="007C2C95"/>
    <w:rsid w:val="007C2E27"/>
    <w:rsid w:val="007C3F8F"/>
    <w:rsid w:val="007C456B"/>
    <w:rsid w:val="007C575F"/>
    <w:rsid w:val="007C5BBE"/>
    <w:rsid w:val="007C5BD8"/>
    <w:rsid w:val="007C67B4"/>
    <w:rsid w:val="007D0226"/>
    <w:rsid w:val="007D089E"/>
    <w:rsid w:val="007D164E"/>
    <w:rsid w:val="007D3862"/>
    <w:rsid w:val="007D3AF7"/>
    <w:rsid w:val="007D3BF1"/>
    <w:rsid w:val="007D3D85"/>
    <w:rsid w:val="007D4AC9"/>
    <w:rsid w:val="007D5682"/>
    <w:rsid w:val="007D59D8"/>
    <w:rsid w:val="007D5A20"/>
    <w:rsid w:val="007D5C5D"/>
    <w:rsid w:val="007D5D97"/>
    <w:rsid w:val="007D5E2C"/>
    <w:rsid w:val="007D601A"/>
    <w:rsid w:val="007D631D"/>
    <w:rsid w:val="007D6568"/>
    <w:rsid w:val="007D6A80"/>
    <w:rsid w:val="007D6E0D"/>
    <w:rsid w:val="007D7892"/>
    <w:rsid w:val="007D7B2D"/>
    <w:rsid w:val="007E0380"/>
    <w:rsid w:val="007E043F"/>
    <w:rsid w:val="007E0791"/>
    <w:rsid w:val="007E0C74"/>
    <w:rsid w:val="007E0C82"/>
    <w:rsid w:val="007E1542"/>
    <w:rsid w:val="007E18E4"/>
    <w:rsid w:val="007E1919"/>
    <w:rsid w:val="007E20D7"/>
    <w:rsid w:val="007E3759"/>
    <w:rsid w:val="007E3C4E"/>
    <w:rsid w:val="007E3F70"/>
    <w:rsid w:val="007E41A0"/>
    <w:rsid w:val="007E5092"/>
    <w:rsid w:val="007E5120"/>
    <w:rsid w:val="007E580D"/>
    <w:rsid w:val="007E5D1E"/>
    <w:rsid w:val="007E5FFB"/>
    <w:rsid w:val="007E6414"/>
    <w:rsid w:val="007E6881"/>
    <w:rsid w:val="007E797B"/>
    <w:rsid w:val="007F00AD"/>
    <w:rsid w:val="007F03F0"/>
    <w:rsid w:val="007F0CFF"/>
    <w:rsid w:val="007F0FA4"/>
    <w:rsid w:val="007F1296"/>
    <w:rsid w:val="007F1758"/>
    <w:rsid w:val="007F1898"/>
    <w:rsid w:val="007F1954"/>
    <w:rsid w:val="007F1FE8"/>
    <w:rsid w:val="007F2886"/>
    <w:rsid w:val="007F2C18"/>
    <w:rsid w:val="007F31AD"/>
    <w:rsid w:val="007F3A5B"/>
    <w:rsid w:val="007F3B48"/>
    <w:rsid w:val="007F41E4"/>
    <w:rsid w:val="007F54B6"/>
    <w:rsid w:val="007F551C"/>
    <w:rsid w:val="007F5521"/>
    <w:rsid w:val="007F5D08"/>
    <w:rsid w:val="007F61C9"/>
    <w:rsid w:val="007F6DC2"/>
    <w:rsid w:val="007F77E7"/>
    <w:rsid w:val="007F7FBF"/>
    <w:rsid w:val="00800177"/>
    <w:rsid w:val="00800962"/>
    <w:rsid w:val="00800F03"/>
    <w:rsid w:val="008013D4"/>
    <w:rsid w:val="00801FD3"/>
    <w:rsid w:val="0080233F"/>
    <w:rsid w:val="00802D32"/>
    <w:rsid w:val="00803425"/>
    <w:rsid w:val="008034AF"/>
    <w:rsid w:val="00803F53"/>
    <w:rsid w:val="008040F9"/>
    <w:rsid w:val="008046FA"/>
    <w:rsid w:val="00805EAF"/>
    <w:rsid w:val="00805F3F"/>
    <w:rsid w:val="008061C8"/>
    <w:rsid w:val="0080622B"/>
    <w:rsid w:val="00806527"/>
    <w:rsid w:val="0080706A"/>
    <w:rsid w:val="00810E05"/>
    <w:rsid w:val="00810F93"/>
    <w:rsid w:val="00811B1F"/>
    <w:rsid w:val="00811DD0"/>
    <w:rsid w:val="00812A4D"/>
    <w:rsid w:val="00813DA7"/>
    <w:rsid w:val="008142DD"/>
    <w:rsid w:val="00814DAD"/>
    <w:rsid w:val="00815740"/>
    <w:rsid w:val="00815EBB"/>
    <w:rsid w:val="00816627"/>
    <w:rsid w:val="008170FD"/>
    <w:rsid w:val="00817166"/>
    <w:rsid w:val="00817707"/>
    <w:rsid w:val="00817BF6"/>
    <w:rsid w:val="008203CB"/>
    <w:rsid w:val="0082055A"/>
    <w:rsid w:val="00820D65"/>
    <w:rsid w:val="00821326"/>
    <w:rsid w:val="008213FD"/>
    <w:rsid w:val="0082149E"/>
    <w:rsid w:val="00821580"/>
    <w:rsid w:val="00822088"/>
    <w:rsid w:val="0082387D"/>
    <w:rsid w:val="00823F2D"/>
    <w:rsid w:val="008242A9"/>
    <w:rsid w:val="00824C11"/>
    <w:rsid w:val="00825025"/>
    <w:rsid w:val="008250C5"/>
    <w:rsid w:val="008258C1"/>
    <w:rsid w:val="00830E49"/>
    <w:rsid w:val="00831741"/>
    <w:rsid w:val="008318D3"/>
    <w:rsid w:val="00832252"/>
    <w:rsid w:val="0083279B"/>
    <w:rsid w:val="00832CAF"/>
    <w:rsid w:val="00832DF8"/>
    <w:rsid w:val="00833CBF"/>
    <w:rsid w:val="00834742"/>
    <w:rsid w:val="00834B6D"/>
    <w:rsid w:val="00835258"/>
    <w:rsid w:val="00835452"/>
    <w:rsid w:val="008362DE"/>
    <w:rsid w:val="008363AD"/>
    <w:rsid w:val="00836F6C"/>
    <w:rsid w:val="00837847"/>
    <w:rsid w:val="008379F8"/>
    <w:rsid w:val="00837A3F"/>
    <w:rsid w:val="008402C9"/>
    <w:rsid w:val="0084082D"/>
    <w:rsid w:val="008408A9"/>
    <w:rsid w:val="00840987"/>
    <w:rsid w:val="00841808"/>
    <w:rsid w:val="00842BBB"/>
    <w:rsid w:val="008461D5"/>
    <w:rsid w:val="008462AA"/>
    <w:rsid w:val="008468B7"/>
    <w:rsid w:val="00846F72"/>
    <w:rsid w:val="008475EC"/>
    <w:rsid w:val="00847C60"/>
    <w:rsid w:val="0085095F"/>
    <w:rsid w:val="00850B00"/>
    <w:rsid w:val="00850D07"/>
    <w:rsid w:val="00852ACA"/>
    <w:rsid w:val="00852C6A"/>
    <w:rsid w:val="00852EAA"/>
    <w:rsid w:val="008531ED"/>
    <w:rsid w:val="008538FB"/>
    <w:rsid w:val="008539C3"/>
    <w:rsid w:val="00853AFE"/>
    <w:rsid w:val="00854229"/>
    <w:rsid w:val="0085425F"/>
    <w:rsid w:val="008542D6"/>
    <w:rsid w:val="00854503"/>
    <w:rsid w:val="00854E5E"/>
    <w:rsid w:val="008561A0"/>
    <w:rsid w:val="0085786F"/>
    <w:rsid w:val="008578FB"/>
    <w:rsid w:val="00857A4B"/>
    <w:rsid w:val="00857B2F"/>
    <w:rsid w:val="0085C2B6"/>
    <w:rsid w:val="00860223"/>
    <w:rsid w:val="008605D1"/>
    <w:rsid w:val="00860EEF"/>
    <w:rsid w:val="0086141C"/>
    <w:rsid w:val="0086178C"/>
    <w:rsid w:val="0086182F"/>
    <w:rsid w:val="00862255"/>
    <w:rsid w:val="008622AF"/>
    <w:rsid w:val="00862CC1"/>
    <w:rsid w:val="0086333A"/>
    <w:rsid w:val="0086340B"/>
    <w:rsid w:val="00864AC2"/>
    <w:rsid w:val="0086511D"/>
    <w:rsid w:val="00865598"/>
    <w:rsid w:val="00865709"/>
    <w:rsid w:val="00865A61"/>
    <w:rsid w:val="00865B05"/>
    <w:rsid w:val="008662FA"/>
    <w:rsid w:val="008667C6"/>
    <w:rsid w:val="00866B55"/>
    <w:rsid w:val="0086700F"/>
    <w:rsid w:val="008675F0"/>
    <w:rsid w:val="00867668"/>
    <w:rsid w:val="00870F2F"/>
    <w:rsid w:val="008713C3"/>
    <w:rsid w:val="0087166A"/>
    <w:rsid w:val="00871B04"/>
    <w:rsid w:val="0087214B"/>
    <w:rsid w:val="00872CAF"/>
    <w:rsid w:val="00872EF4"/>
    <w:rsid w:val="00873250"/>
    <w:rsid w:val="0087336A"/>
    <w:rsid w:val="00873895"/>
    <w:rsid w:val="00873E14"/>
    <w:rsid w:val="008744D7"/>
    <w:rsid w:val="008746EC"/>
    <w:rsid w:val="00874D3B"/>
    <w:rsid w:val="00875709"/>
    <w:rsid w:val="00875A0B"/>
    <w:rsid w:val="0087600D"/>
    <w:rsid w:val="0087633C"/>
    <w:rsid w:val="008766F7"/>
    <w:rsid w:val="00876B0A"/>
    <w:rsid w:val="00876C14"/>
    <w:rsid w:val="008773CF"/>
    <w:rsid w:val="00877FA0"/>
    <w:rsid w:val="008804F2"/>
    <w:rsid w:val="00883086"/>
    <w:rsid w:val="00883323"/>
    <w:rsid w:val="0088392A"/>
    <w:rsid w:val="00883975"/>
    <w:rsid w:val="00884131"/>
    <w:rsid w:val="008851E0"/>
    <w:rsid w:val="00885AD0"/>
    <w:rsid w:val="008868F0"/>
    <w:rsid w:val="00887D81"/>
    <w:rsid w:val="00890419"/>
    <w:rsid w:val="008904BE"/>
    <w:rsid w:val="00890BA1"/>
    <w:rsid w:val="00891254"/>
    <w:rsid w:val="0089163E"/>
    <w:rsid w:val="00891EB4"/>
    <w:rsid w:val="008922B9"/>
    <w:rsid w:val="00892315"/>
    <w:rsid w:val="0089233D"/>
    <w:rsid w:val="00893527"/>
    <w:rsid w:val="008954A9"/>
    <w:rsid w:val="008967FA"/>
    <w:rsid w:val="0089684C"/>
    <w:rsid w:val="008A02B6"/>
    <w:rsid w:val="008A03DF"/>
    <w:rsid w:val="008A075E"/>
    <w:rsid w:val="008A0BEE"/>
    <w:rsid w:val="008A0CA3"/>
    <w:rsid w:val="008A14C3"/>
    <w:rsid w:val="008A169C"/>
    <w:rsid w:val="008A1C39"/>
    <w:rsid w:val="008A1E17"/>
    <w:rsid w:val="008A1ED3"/>
    <w:rsid w:val="008A376C"/>
    <w:rsid w:val="008A3879"/>
    <w:rsid w:val="008A4F6E"/>
    <w:rsid w:val="008A57CD"/>
    <w:rsid w:val="008A5F10"/>
    <w:rsid w:val="008A670D"/>
    <w:rsid w:val="008A67E7"/>
    <w:rsid w:val="008A6CCF"/>
    <w:rsid w:val="008A7A48"/>
    <w:rsid w:val="008A7B30"/>
    <w:rsid w:val="008B022F"/>
    <w:rsid w:val="008B05A7"/>
    <w:rsid w:val="008B0C76"/>
    <w:rsid w:val="008B114F"/>
    <w:rsid w:val="008B159A"/>
    <w:rsid w:val="008B209C"/>
    <w:rsid w:val="008B2DC0"/>
    <w:rsid w:val="008B424E"/>
    <w:rsid w:val="008B4271"/>
    <w:rsid w:val="008B4446"/>
    <w:rsid w:val="008B4972"/>
    <w:rsid w:val="008B4C44"/>
    <w:rsid w:val="008B4CDE"/>
    <w:rsid w:val="008B4D80"/>
    <w:rsid w:val="008B51AA"/>
    <w:rsid w:val="008B591E"/>
    <w:rsid w:val="008B5B5B"/>
    <w:rsid w:val="008B615B"/>
    <w:rsid w:val="008B6236"/>
    <w:rsid w:val="008B7170"/>
    <w:rsid w:val="008C195B"/>
    <w:rsid w:val="008C1FE2"/>
    <w:rsid w:val="008C2695"/>
    <w:rsid w:val="008C2B19"/>
    <w:rsid w:val="008C2DB9"/>
    <w:rsid w:val="008C382F"/>
    <w:rsid w:val="008C3A0D"/>
    <w:rsid w:val="008C3BBB"/>
    <w:rsid w:val="008C3C48"/>
    <w:rsid w:val="008C3FDB"/>
    <w:rsid w:val="008C457F"/>
    <w:rsid w:val="008C46A2"/>
    <w:rsid w:val="008C5301"/>
    <w:rsid w:val="008C584A"/>
    <w:rsid w:val="008C5B0B"/>
    <w:rsid w:val="008C6D15"/>
    <w:rsid w:val="008C75BA"/>
    <w:rsid w:val="008D00E4"/>
    <w:rsid w:val="008D1299"/>
    <w:rsid w:val="008D2269"/>
    <w:rsid w:val="008D286E"/>
    <w:rsid w:val="008D2E20"/>
    <w:rsid w:val="008D3041"/>
    <w:rsid w:val="008D3180"/>
    <w:rsid w:val="008D3186"/>
    <w:rsid w:val="008D328F"/>
    <w:rsid w:val="008D3349"/>
    <w:rsid w:val="008D390E"/>
    <w:rsid w:val="008D3B7F"/>
    <w:rsid w:val="008D488A"/>
    <w:rsid w:val="008D5B01"/>
    <w:rsid w:val="008D614D"/>
    <w:rsid w:val="008D6ADA"/>
    <w:rsid w:val="008D6F11"/>
    <w:rsid w:val="008D70E7"/>
    <w:rsid w:val="008D7330"/>
    <w:rsid w:val="008D7387"/>
    <w:rsid w:val="008D7A01"/>
    <w:rsid w:val="008D7C9E"/>
    <w:rsid w:val="008E03CE"/>
    <w:rsid w:val="008E057D"/>
    <w:rsid w:val="008E07CA"/>
    <w:rsid w:val="008E1D89"/>
    <w:rsid w:val="008E1F28"/>
    <w:rsid w:val="008E221C"/>
    <w:rsid w:val="008E22C5"/>
    <w:rsid w:val="008E25E3"/>
    <w:rsid w:val="008E288D"/>
    <w:rsid w:val="008E3AD7"/>
    <w:rsid w:val="008E3B01"/>
    <w:rsid w:val="008E3E13"/>
    <w:rsid w:val="008E48D5"/>
    <w:rsid w:val="008E4928"/>
    <w:rsid w:val="008E5F6E"/>
    <w:rsid w:val="008E63C4"/>
    <w:rsid w:val="008E6822"/>
    <w:rsid w:val="008E6DA7"/>
    <w:rsid w:val="008F0102"/>
    <w:rsid w:val="008F06CA"/>
    <w:rsid w:val="008F06E2"/>
    <w:rsid w:val="008F0C9C"/>
    <w:rsid w:val="008F0E1C"/>
    <w:rsid w:val="008F109F"/>
    <w:rsid w:val="008F13D6"/>
    <w:rsid w:val="008F1A87"/>
    <w:rsid w:val="008F225B"/>
    <w:rsid w:val="008F2A87"/>
    <w:rsid w:val="008F3003"/>
    <w:rsid w:val="008F3B5E"/>
    <w:rsid w:val="008F43BF"/>
    <w:rsid w:val="008F459C"/>
    <w:rsid w:val="008F4ACF"/>
    <w:rsid w:val="008F4C17"/>
    <w:rsid w:val="008F5163"/>
    <w:rsid w:val="008F59F6"/>
    <w:rsid w:val="008F6D9B"/>
    <w:rsid w:val="008F7F9F"/>
    <w:rsid w:val="009006D3"/>
    <w:rsid w:val="00900A3D"/>
    <w:rsid w:val="009021F1"/>
    <w:rsid w:val="00902810"/>
    <w:rsid w:val="009033A7"/>
    <w:rsid w:val="00903E2C"/>
    <w:rsid w:val="00903E5F"/>
    <w:rsid w:val="00903F83"/>
    <w:rsid w:val="00904DB6"/>
    <w:rsid w:val="0090548C"/>
    <w:rsid w:val="009059F3"/>
    <w:rsid w:val="00905FB7"/>
    <w:rsid w:val="00906264"/>
    <w:rsid w:val="0090673E"/>
    <w:rsid w:val="0090683E"/>
    <w:rsid w:val="00906A56"/>
    <w:rsid w:val="00907592"/>
    <w:rsid w:val="00907675"/>
    <w:rsid w:val="00907C89"/>
    <w:rsid w:val="00907FA6"/>
    <w:rsid w:val="0091011A"/>
    <w:rsid w:val="00911953"/>
    <w:rsid w:val="00911C41"/>
    <w:rsid w:val="00911D94"/>
    <w:rsid w:val="00911E5A"/>
    <w:rsid w:val="00911E87"/>
    <w:rsid w:val="00912F0A"/>
    <w:rsid w:val="00913597"/>
    <w:rsid w:val="0091381A"/>
    <w:rsid w:val="0091617B"/>
    <w:rsid w:val="00916808"/>
    <w:rsid w:val="00916E16"/>
    <w:rsid w:val="00916EFA"/>
    <w:rsid w:val="009171D8"/>
    <w:rsid w:val="009174BB"/>
    <w:rsid w:val="00917FB2"/>
    <w:rsid w:val="009200E6"/>
    <w:rsid w:val="0092030C"/>
    <w:rsid w:val="0092197F"/>
    <w:rsid w:val="00921E4E"/>
    <w:rsid w:val="0092212A"/>
    <w:rsid w:val="009239B1"/>
    <w:rsid w:val="0092436D"/>
    <w:rsid w:val="0092450E"/>
    <w:rsid w:val="0092501C"/>
    <w:rsid w:val="009251DB"/>
    <w:rsid w:val="0092547A"/>
    <w:rsid w:val="00926136"/>
    <w:rsid w:val="00926C0E"/>
    <w:rsid w:val="00926E80"/>
    <w:rsid w:val="00926F01"/>
    <w:rsid w:val="00927820"/>
    <w:rsid w:val="0093066A"/>
    <w:rsid w:val="00932A19"/>
    <w:rsid w:val="00933099"/>
    <w:rsid w:val="009331B8"/>
    <w:rsid w:val="00933739"/>
    <w:rsid w:val="00933C7D"/>
    <w:rsid w:val="00933E6E"/>
    <w:rsid w:val="00934788"/>
    <w:rsid w:val="009347FE"/>
    <w:rsid w:val="00934A7C"/>
    <w:rsid w:val="00935977"/>
    <w:rsid w:val="009359F1"/>
    <w:rsid w:val="00935E58"/>
    <w:rsid w:val="0093781A"/>
    <w:rsid w:val="009378D4"/>
    <w:rsid w:val="00937DB5"/>
    <w:rsid w:val="00937F74"/>
    <w:rsid w:val="0093B8E7"/>
    <w:rsid w:val="0094022B"/>
    <w:rsid w:val="00940CFE"/>
    <w:rsid w:val="00940F91"/>
    <w:rsid w:val="00940FDC"/>
    <w:rsid w:val="00941284"/>
    <w:rsid w:val="009416A1"/>
    <w:rsid w:val="009416DB"/>
    <w:rsid w:val="00941F0E"/>
    <w:rsid w:val="009422E6"/>
    <w:rsid w:val="0094245A"/>
    <w:rsid w:val="00943689"/>
    <w:rsid w:val="009443AD"/>
    <w:rsid w:val="0094453D"/>
    <w:rsid w:val="00944BFE"/>
    <w:rsid w:val="0094500C"/>
    <w:rsid w:val="00945EA2"/>
    <w:rsid w:val="009464FB"/>
    <w:rsid w:val="009477E2"/>
    <w:rsid w:val="009503EF"/>
    <w:rsid w:val="009505A4"/>
    <w:rsid w:val="0095107E"/>
    <w:rsid w:val="009510B0"/>
    <w:rsid w:val="00951123"/>
    <w:rsid w:val="00951351"/>
    <w:rsid w:val="009516BC"/>
    <w:rsid w:val="00951A76"/>
    <w:rsid w:val="00951B30"/>
    <w:rsid w:val="00952FA7"/>
    <w:rsid w:val="009532C1"/>
    <w:rsid w:val="009546D8"/>
    <w:rsid w:val="00954E59"/>
    <w:rsid w:val="0095509D"/>
    <w:rsid w:val="009551A2"/>
    <w:rsid w:val="00955D3B"/>
    <w:rsid w:val="00955F94"/>
    <w:rsid w:val="009565C2"/>
    <w:rsid w:val="009569E1"/>
    <w:rsid w:val="00956DFE"/>
    <w:rsid w:val="0095701F"/>
    <w:rsid w:val="0096031B"/>
    <w:rsid w:val="00960775"/>
    <w:rsid w:val="00960BAA"/>
    <w:rsid w:val="00960BD1"/>
    <w:rsid w:val="00960C7B"/>
    <w:rsid w:val="00960D93"/>
    <w:rsid w:val="00961D2B"/>
    <w:rsid w:val="00961EAA"/>
    <w:rsid w:val="00962214"/>
    <w:rsid w:val="00962314"/>
    <w:rsid w:val="009633B6"/>
    <w:rsid w:val="0096489E"/>
    <w:rsid w:val="00964A68"/>
    <w:rsid w:val="00964F15"/>
    <w:rsid w:val="00965276"/>
    <w:rsid w:val="0096539B"/>
    <w:rsid w:val="0096584B"/>
    <w:rsid w:val="0096670C"/>
    <w:rsid w:val="009667A6"/>
    <w:rsid w:val="00966C6F"/>
    <w:rsid w:val="00966FD8"/>
    <w:rsid w:val="00967124"/>
    <w:rsid w:val="00967269"/>
    <w:rsid w:val="0096784F"/>
    <w:rsid w:val="00967BDC"/>
    <w:rsid w:val="00972435"/>
    <w:rsid w:val="00972519"/>
    <w:rsid w:val="009727FE"/>
    <w:rsid w:val="009728EF"/>
    <w:rsid w:val="00973DB4"/>
    <w:rsid w:val="00974323"/>
    <w:rsid w:val="00974506"/>
    <w:rsid w:val="00974742"/>
    <w:rsid w:val="00975CF0"/>
    <w:rsid w:val="0097625D"/>
    <w:rsid w:val="009769E8"/>
    <w:rsid w:val="00976BA0"/>
    <w:rsid w:val="00976EA5"/>
    <w:rsid w:val="00977377"/>
    <w:rsid w:val="00977BDB"/>
    <w:rsid w:val="00977F53"/>
    <w:rsid w:val="009802A9"/>
    <w:rsid w:val="00980352"/>
    <w:rsid w:val="0098039B"/>
    <w:rsid w:val="009807DC"/>
    <w:rsid w:val="00980B1B"/>
    <w:rsid w:val="009815C1"/>
    <w:rsid w:val="00981893"/>
    <w:rsid w:val="00982773"/>
    <w:rsid w:val="00982A55"/>
    <w:rsid w:val="0098395D"/>
    <w:rsid w:val="00984086"/>
    <w:rsid w:val="009846CC"/>
    <w:rsid w:val="00984B84"/>
    <w:rsid w:val="009858EF"/>
    <w:rsid w:val="0098637A"/>
    <w:rsid w:val="00986436"/>
    <w:rsid w:val="009866F0"/>
    <w:rsid w:val="009867B6"/>
    <w:rsid w:val="00986A00"/>
    <w:rsid w:val="00987427"/>
    <w:rsid w:val="009908E7"/>
    <w:rsid w:val="0099171E"/>
    <w:rsid w:val="00991C62"/>
    <w:rsid w:val="00992AD8"/>
    <w:rsid w:val="00992F2A"/>
    <w:rsid w:val="00993A0E"/>
    <w:rsid w:val="00993CD0"/>
    <w:rsid w:val="00994F8B"/>
    <w:rsid w:val="00996B59"/>
    <w:rsid w:val="00997596"/>
    <w:rsid w:val="00997725"/>
    <w:rsid w:val="00997B6B"/>
    <w:rsid w:val="00997CEA"/>
    <w:rsid w:val="009A00C2"/>
    <w:rsid w:val="009A0525"/>
    <w:rsid w:val="009A07D8"/>
    <w:rsid w:val="009A0DAB"/>
    <w:rsid w:val="009A13E3"/>
    <w:rsid w:val="009A1451"/>
    <w:rsid w:val="009A1586"/>
    <w:rsid w:val="009A20CB"/>
    <w:rsid w:val="009A24A4"/>
    <w:rsid w:val="009A2AE2"/>
    <w:rsid w:val="009A2CA2"/>
    <w:rsid w:val="009A309D"/>
    <w:rsid w:val="009A32C9"/>
    <w:rsid w:val="009A3F32"/>
    <w:rsid w:val="009A4777"/>
    <w:rsid w:val="009A496A"/>
    <w:rsid w:val="009A4B5B"/>
    <w:rsid w:val="009A4F36"/>
    <w:rsid w:val="009A56DE"/>
    <w:rsid w:val="009A5F34"/>
    <w:rsid w:val="009A6C62"/>
    <w:rsid w:val="009A741C"/>
    <w:rsid w:val="009A755C"/>
    <w:rsid w:val="009A75CB"/>
    <w:rsid w:val="009A7CF1"/>
    <w:rsid w:val="009A7F62"/>
    <w:rsid w:val="009B0138"/>
    <w:rsid w:val="009B12D6"/>
    <w:rsid w:val="009B2868"/>
    <w:rsid w:val="009B3A30"/>
    <w:rsid w:val="009B43D9"/>
    <w:rsid w:val="009B46AA"/>
    <w:rsid w:val="009B5000"/>
    <w:rsid w:val="009B5757"/>
    <w:rsid w:val="009B5B5A"/>
    <w:rsid w:val="009B65EA"/>
    <w:rsid w:val="009B67C9"/>
    <w:rsid w:val="009B6D68"/>
    <w:rsid w:val="009B7204"/>
    <w:rsid w:val="009B7BF4"/>
    <w:rsid w:val="009C0A74"/>
    <w:rsid w:val="009C22D2"/>
    <w:rsid w:val="009C2AAD"/>
    <w:rsid w:val="009C3823"/>
    <w:rsid w:val="009C3C7D"/>
    <w:rsid w:val="009C4B6B"/>
    <w:rsid w:val="009C4DA9"/>
    <w:rsid w:val="009C54BD"/>
    <w:rsid w:val="009C598E"/>
    <w:rsid w:val="009C6C2A"/>
    <w:rsid w:val="009C7049"/>
    <w:rsid w:val="009C729D"/>
    <w:rsid w:val="009D0037"/>
    <w:rsid w:val="009D091A"/>
    <w:rsid w:val="009D0DDB"/>
    <w:rsid w:val="009D16B7"/>
    <w:rsid w:val="009D1848"/>
    <w:rsid w:val="009D1B3E"/>
    <w:rsid w:val="009D1CF9"/>
    <w:rsid w:val="009D1D94"/>
    <w:rsid w:val="009D2090"/>
    <w:rsid w:val="009D29D2"/>
    <w:rsid w:val="009D3181"/>
    <w:rsid w:val="009D3676"/>
    <w:rsid w:val="009D38E0"/>
    <w:rsid w:val="009D4491"/>
    <w:rsid w:val="009D47F1"/>
    <w:rsid w:val="009D4A1B"/>
    <w:rsid w:val="009D4D3A"/>
    <w:rsid w:val="009D5432"/>
    <w:rsid w:val="009D5BC3"/>
    <w:rsid w:val="009D6866"/>
    <w:rsid w:val="009D6E66"/>
    <w:rsid w:val="009D7BA3"/>
    <w:rsid w:val="009E05B7"/>
    <w:rsid w:val="009E144E"/>
    <w:rsid w:val="009E1ADF"/>
    <w:rsid w:val="009E1AFF"/>
    <w:rsid w:val="009E2A3B"/>
    <w:rsid w:val="009E2B53"/>
    <w:rsid w:val="009E2C5D"/>
    <w:rsid w:val="009E36DA"/>
    <w:rsid w:val="009E43CF"/>
    <w:rsid w:val="009E48EE"/>
    <w:rsid w:val="009E5197"/>
    <w:rsid w:val="009E56E3"/>
    <w:rsid w:val="009E7003"/>
    <w:rsid w:val="009E73B5"/>
    <w:rsid w:val="009E7801"/>
    <w:rsid w:val="009E7E55"/>
    <w:rsid w:val="009F028B"/>
    <w:rsid w:val="009F169B"/>
    <w:rsid w:val="009F3894"/>
    <w:rsid w:val="009F3C01"/>
    <w:rsid w:val="009F4700"/>
    <w:rsid w:val="009F4994"/>
    <w:rsid w:val="009F4BB7"/>
    <w:rsid w:val="009F51B2"/>
    <w:rsid w:val="009F5F71"/>
    <w:rsid w:val="009F6299"/>
    <w:rsid w:val="009F6514"/>
    <w:rsid w:val="009F66E4"/>
    <w:rsid w:val="009F70B2"/>
    <w:rsid w:val="009F77CD"/>
    <w:rsid w:val="009F7BAC"/>
    <w:rsid w:val="00A00A56"/>
    <w:rsid w:val="00A00DF7"/>
    <w:rsid w:val="00A01596"/>
    <w:rsid w:val="00A0254E"/>
    <w:rsid w:val="00A02E25"/>
    <w:rsid w:val="00A0373D"/>
    <w:rsid w:val="00A03FE0"/>
    <w:rsid w:val="00A04251"/>
    <w:rsid w:val="00A04327"/>
    <w:rsid w:val="00A04849"/>
    <w:rsid w:val="00A04EA6"/>
    <w:rsid w:val="00A05655"/>
    <w:rsid w:val="00A0668C"/>
    <w:rsid w:val="00A068BD"/>
    <w:rsid w:val="00A06C4B"/>
    <w:rsid w:val="00A072F9"/>
    <w:rsid w:val="00A0792C"/>
    <w:rsid w:val="00A07CBE"/>
    <w:rsid w:val="00A07D12"/>
    <w:rsid w:val="00A07D4B"/>
    <w:rsid w:val="00A07E86"/>
    <w:rsid w:val="00A08F44"/>
    <w:rsid w:val="00A10C8F"/>
    <w:rsid w:val="00A10EB9"/>
    <w:rsid w:val="00A11087"/>
    <w:rsid w:val="00A111C5"/>
    <w:rsid w:val="00A112FE"/>
    <w:rsid w:val="00A1281F"/>
    <w:rsid w:val="00A12A32"/>
    <w:rsid w:val="00A13267"/>
    <w:rsid w:val="00A13589"/>
    <w:rsid w:val="00A13664"/>
    <w:rsid w:val="00A13904"/>
    <w:rsid w:val="00A14123"/>
    <w:rsid w:val="00A14397"/>
    <w:rsid w:val="00A1483C"/>
    <w:rsid w:val="00A14952"/>
    <w:rsid w:val="00A14A46"/>
    <w:rsid w:val="00A153A0"/>
    <w:rsid w:val="00A15CDE"/>
    <w:rsid w:val="00A16154"/>
    <w:rsid w:val="00A1675B"/>
    <w:rsid w:val="00A16882"/>
    <w:rsid w:val="00A16DD9"/>
    <w:rsid w:val="00A17265"/>
    <w:rsid w:val="00A173F7"/>
    <w:rsid w:val="00A1749F"/>
    <w:rsid w:val="00A17931"/>
    <w:rsid w:val="00A17B07"/>
    <w:rsid w:val="00A17E54"/>
    <w:rsid w:val="00A205C0"/>
    <w:rsid w:val="00A205C8"/>
    <w:rsid w:val="00A2132A"/>
    <w:rsid w:val="00A21CB2"/>
    <w:rsid w:val="00A22735"/>
    <w:rsid w:val="00A241BD"/>
    <w:rsid w:val="00A242A3"/>
    <w:rsid w:val="00A25199"/>
    <w:rsid w:val="00A25A1F"/>
    <w:rsid w:val="00A26641"/>
    <w:rsid w:val="00A27530"/>
    <w:rsid w:val="00A27596"/>
    <w:rsid w:val="00A27903"/>
    <w:rsid w:val="00A27DC6"/>
    <w:rsid w:val="00A30F9C"/>
    <w:rsid w:val="00A31C58"/>
    <w:rsid w:val="00A31E40"/>
    <w:rsid w:val="00A3286A"/>
    <w:rsid w:val="00A32EC6"/>
    <w:rsid w:val="00A335C3"/>
    <w:rsid w:val="00A33FF3"/>
    <w:rsid w:val="00A34AFF"/>
    <w:rsid w:val="00A35817"/>
    <w:rsid w:val="00A35FBC"/>
    <w:rsid w:val="00A36142"/>
    <w:rsid w:val="00A3631C"/>
    <w:rsid w:val="00A3673E"/>
    <w:rsid w:val="00A3703D"/>
    <w:rsid w:val="00A37B40"/>
    <w:rsid w:val="00A40223"/>
    <w:rsid w:val="00A4043E"/>
    <w:rsid w:val="00A40591"/>
    <w:rsid w:val="00A418E0"/>
    <w:rsid w:val="00A42953"/>
    <w:rsid w:val="00A43FB0"/>
    <w:rsid w:val="00A44065"/>
    <w:rsid w:val="00A4442E"/>
    <w:rsid w:val="00A44F34"/>
    <w:rsid w:val="00A45F5C"/>
    <w:rsid w:val="00A4673B"/>
    <w:rsid w:val="00A46AA8"/>
    <w:rsid w:val="00A46F11"/>
    <w:rsid w:val="00A47251"/>
    <w:rsid w:val="00A47C83"/>
    <w:rsid w:val="00A47C89"/>
    <w:rsid w:val="00A4F727"/>
    <w:rsid w:val="00A506F2"/>
    <w:rsid w:val="00A50830"/>
    <w:rsid w:val="00A50CA3"/>
    <w:rsid w:val="00A50E8E"/>
    <w:rsid w:val="00A510E3"/>
    <w:rsid w:val="00A51366"/>
    <w:rsid w:val="00A52584"/>
    <w:rsid w:val="00A53394"/>
    <w:rsid w:val="00A53767"/>
    <w:rsid w:val="00A53ABE"/>
    <w:rsid w:val="00A542A3"/>
    <w:rsid w:val="00A54FB3"/>
    <w:rsid w:val="00A5573F"/>
    <w:rsid w:val="00A56306"/>
    <w:rsid w:val="00A56670"/>
    <w:rsid w:val="00A571E2"/>
    <w:rsid w:val="00A57DD3"/>
    <w:rsid w:val="00A6022F"/>
    <w:rsid w:val="00A60AA7"/>
    <w:rsid w:val="00A6128F"/>
    <w:rsid w:val="00A63001"/>
    <w:rsid w:val="00A6317C"/>
    <w:rsid w:val="00A6354C"/>
    <w:rsid w:val="00A63C54"/>
    <w:rsid w:val="00A642B5"/>
    <w:rsid w:val="00A64441"/>
    <w:rsid w:val="00A64980"/>
    <w:rsid w:val="00A64985"/>
    <w:rsid w:val="00A64E67"/>
    <w:rsid w:val="00A65053"/>
    <w:rsid w:val="00A65A5A"/>
    <w:rsid w:val="00A65C53"/>
    <w:rsid w:val="00A65CE2"/>
    <w:rsid w:val="00A65FC7"/>
    <w:rsid w:val="00A6676D"/>
    <w:rsid w:val="00A70BC5"/>
    <w:rsid w:val="00A70BF3"/>
    <w:rsid w:val="00A70CEA"/>
    <w:rsid w:val="00A71A27"/>
    <w:rsid w:val="00A71AE6"/>
    <w:rsid w:val="00A71B23"/>
    <w:rsid w:val="00A71E9A"/>
    <w:rsid w:val="00A721AB"/>
    <w:rsid w:val="00A72D05"/>
    <w:rsid w:val="00A736E1"/>
    <w:rsid w:val="00A738AB"/>
    <w:rsid w:val="00A73908"/>
    <w:rsid w:val="00A73D75"/>
    <w:rsid w:val="00A7403D"/>
    <w:rsid w:val="00A74460"/>
    <w:rsid w:val="00A750BC"/>
    <w:rsid w:val="00A7515B"/>
    <w:rsid w:val="00A7594F"/>
    <w:rsid w:val="00A75980"/>
    <w:rsid w:val="00A75F51"/>
    <w:rsid w:val="00A76FBA"/>
    <w:rsid w:val="00A775A6"/>
    <w:rsid w:val="00A82E47"/>
    <w:rsid w:val="00A83983"/>
    <w:rsid w:val="00A841ED"/>
    <w:rsid w:val="00A8488A"/>
    <w:rsid w:val="00A8580B"/>
    <w:rsid w:val="00A858B7"/>
    <w:rsid w:val="00A85A42"/>
    <w:rsid w:val="00A860C7"/>
    <w:rsid w:val="00A8718B"/>
    <w:rsid w:val="00A87F0F"/>
    <w:rsid w:val="00A900EC"/>
    <w:rsid w:val="00A90880"/>
    <w:rsid w:val="00A90D63"/>
    <w:rsid w:val="00A92169"/>
    <w:rsid w:val="00A92422"/>
    <w:rsid w:val="00A92876"/>
    <w:rsid w:val="00A92A73"/>
    <w:rsid w:val="00A92A78"/>
    <w:rsid w:val="00A92D9D"/>
    <w:rsid w:val="00A936C2"/>
    <w:rsid w:val="00A93F63"/>
    <w:rsid w:val="00A95300"/>
    <w:rsid w:val="00A959D6"/>
    <w:rsid w:val="00A9646C"/>
    <w:rsid w:val="00A9654F"/>
    <w:rsid w:val="00A96B9E"/>
    <w:rsid w:val="00A975F3"/>
    <w:rsid w:val="00AA14B1"/>
    <w:rsid w:val="00AA1CBF"/>
    <w:rsid w:val="00AA3393"/>
    <w:rsid w:val="00AA34D3"/>
    <w:rsid w:val="00AA394E"/>
    <w:rsid w:val="00AA3F8D"/>
    <w:rsid w:val="00AA45F0"/>
    <w:rsid w:val="00AA4930"/>
    <w:rsid w:val="00AA4D62"/>
    <w:rsid w:val="00AA4F08"/>
    <w:rsid w:val="00AA55A9"/>
    <w:rsid w:val="00AA5AD4"/>
    <w:rsid w:val="00AA6053"/>
    <w:rsid w:val="00AA7511"/>
    <w:rsid w:val="00AA7811"/>
    <w:rsid w:val="00AA7B27"/>
    <w:rsid w:val="00AA7FF2"/>
    <w:rsid w:val="00AB0677"/>
    <w:rsid w:val="00AB110F"/>
    <w:rsid w:val="00AB1931"/>
    <w:rsid w:val="00AB2962"/>
    <w:rsid w:val="00AB2EFB"/>
    <w:rsid w:val="00AB4022"/>
    <w:rsid w:val="00AB52BC"/>
    <w:rsid w:val="00AB53AD"/>
    <w:rsid w:val="00AB5F3F"/>
    <w:rsid w:val="00AB6433"/>
    <w:rsid w:val="00AB6514"/>
    <w:rsid w:val="00AB6D36"/>
    <w:rsid w:val="00AB6E5E"/>
    <w:rsid w:val="00AB7741"/>
    <w:rsid w:val="00AB7BB9"/>
    <w:rsid w:val="00AC0ACA"/>
    <w:rsid w:val="00AC0D99"/>
    <w:rsid w:val="00AC1C26"/>
    <w:rsid w:val="00AC2190"/>
    <w:rsid w:val="00AC29B6"/>
    <w:rsid w:val="00AC2F32"/>
    <w:rsid w:val="00AC3017"/>
    <w:rsid w:val="00AC30C1"/>
    <w:rsid w:val="00AC327B"/>
    <w:rsid w:val="00AC3617"/>
    <w:rsid w:val="00AC416E"/>
    <w:rsid w:val="00AC4293"/>
    <w:rsid w:val="00AC46B8"/>
    <w:rsid w:val="00AC47D5"/>
    <w:rsid w:val="00AC4E79"/>
    <w:rsid w:val="00AC53FA"/>
    <w:rsid w:val="00AC556C"/>
    <w:rsid w:val="00AC6254"/>
    <w:rsid w:val="00AC7228"/>
    <w:rsid w:val="00AC786B"/>
    <w:rsid w:val="00AC7A35"/>
    <w:rsid w:val="00AC7F52"/>
    <w:rsid w:val="00AD0B16"/>
    <w:rsid w:val="00AD0B27"/>
    <w:rsid w:val="00AD0E99"/>
    <w:rsid w:val="00AD2598"/>
    <w:rsid w:val="00AD27A7"/>
    <w:rsid w:val="00AD297A"/>
    <w:rsid w:val="00AD3A18"/>
    <w:rsid w:val="00AD3CD2"/>
    <w:rsid w:val="00AD3DB7"/>
    <w:rsid w:val="00AD4597"/>
    <w:rsid w:val="00AD49F4"/>
    <w:rsid w:val="00AD4B4D"/>
    <w:rsid w:val="00AD52C0"/>
    <w:rsid w:val="00AD56D3"/>
    <w:rsid w:val="00AD5DA1"/>
    <w:rsid w:val="00AD5E59"/>
    <w:rsid w:val="00AE0417"/>
    <w:rsid w:val="00AE0502"/>
    <w:rsid w:val="00AE084C"/>
    <w:rsid w:val="00AE1FF7"/>
    <w:rsid w:val="00AE22EC"/>
    <w:rsid w:val="00AE24F4"/>
    <w:rsid w:val="00AE2501"/>
    <w:rsid w:val="00AE2ACD"/>
    <w:rsid w:val="00AE2AFA"/>
    <w:rsid w:val="00AE32FE"/>
    <w:rsid w:val="00AE3304"/>
    <w:rsid w:val="00AE3997"/>
    <w:rsid w:val="00AE41B6"/>
    <w:rsid w:val="00AE4250"/>
    <w:rsid w:val="00AE4422"/>
    <w:rsid w:val="00AE4562"/>
    <w:rsid w:val="00AE4A07"/>
    <w:rsid w:val="00AE4AD4"/>
    <w:rsid w:val="00AE6452"/>
    <w:rsid w:val="00AE6594"/>
    <w:rsid w:val="00AE687C"/>
    <w:rsid w:val="00AE718D"/>
    <w:rsid w:val="00AE7383"/>
    <w:rsid w:val="00AE743D"/>
    <w:rsid w:val="00AE7766"/>
    <w:rsid w:val="00AF0A62"/>
    <w:rsid w:val="00AF0EDD"/>
    <w:rsid w:val="00AF1D70"/>
    <w:rsid w:val="00AF2B6E"/>
    <w:rsid w:val="00AF3137"/>
    <w:rsid w:val="00AF3159"/>
    <w:rsid w:val="00AF3187"/>
    <w:rsid w:val="00AF3AC0"/>
    <w:rsid w:val="00AF4E5A"/>
    <w:rsid w:val="00AF5BCB"/>
    <w:rsid w:val="00AF5D1A"/>
    <w:rsid w:val="00AF5FBB"/>
    <w:rsid w:val="00AF60E6"/>
    <w:rsid w:val="00B002EB"/>
    <w:rsid w:val="00B00EF0"/>
    <w:rsid w:val="00B01FBC"/>
    <w:rsid w:val="00B03B8C"/>
    <w:rsid w:val="00B03DCB"/>
    <w:rsid w:val="00B04460"/>
    <w:rsid w:val="00B05014"/>
    <w:rsid w:val="00B050BA"/>
    <w:rsid w:val="00B05461"/>
    <w:rsid w:val="00B055BD"/>
    <w:rsid w:val="00B05852"/>
    <w:rsid w:val="00B06ED3"/>
    <w:rsid w:val="00B07482"/>
    <w:rsid w:val="00B07B67"/>
    <w:rsid w:val="00B102F1"/>
    <w:rsid w:val="00B10706"/>
    <w:rsid w:val="00B11F2F"/>
    <w:rsid w:val="00B126A7"/>
    <w:rsid w:val="00B12731"/>
    <w:rsid w:val="00B1312D"/>
    <w:rsid w:val="00B1397C"/>
    <w:rsid w:val="00B139DF"/>
    <w:rsid w:val="00B14403"/>
    <w:rsid w:val="00B160C9"/>
    <w:rsid w:val="00B162B9"/>
    <w:rsid w:val="00B1641A"/>
    <w:rsid w:val="00B16C48"/>
    <w:rsid w:val="00B17730"/>
    <w:rsid w:val="00B21115"/>
    <w:rsid w:val="00B2118F"/>
    <w:rsid w:val="00B2191B"/>
    <w:rsid w:val="00B21E54"/>
    <w:rsid w:val="00B221DA"/>
    <w:rsid w:val="00B2306F"/>
    <w:rsid w:val="00B2330D"/>
    <w:rsid w:val="00B2430D"/>
    <w:rsid w:val="00B24A07"/>
    <w:rsid w:val="00B24F5C"/>
    <w:rsid w:val="00B265BE"/>
    <w:rsid w:val="00B2777C"/>
    <w:rsid w:val="00B30BEC"/>
    <w:rsid w:val="00B30E0F"/>
    <w:rsid w:val="00B314AB"/>
    <w:rsid w:val="00B318AF"/>
    <w:rsid w:val="00B31DD1"/>
    <w:rsid w:val="00B3253E"/>
    <w:rsid w:val="00B32C63"/>
    <w:rsid w:val="00B33302"/>
    <w:rsid w:val="00B343F3"/>
    <w:rsid w:val="00B34C66"/>
    <w:rsid w:val="00B34D66"/>
    <w:rsid w:val="00B35253"/>
    <w:rsid w:val="00B35729"/>
    <w:rsid w:val="00B36550"/>
    <w:rsid w:val="00B36837"/>
    <w:rsid w:val="00B37D84"/>
    <w:rsid w:val="00B4014B"/>
    <w:rsid w:val="00B40522"/>
    <w:rsid w:val="00B408F2"/>
    <w:rsid w:val="00B40E84"/>
    <w:rsid w:val="00B41292"/>
    <w:rsid w:val="00B4185B"/>
    <w:rsid w:val="00B41919"/>
    <w:rsid w:val="00B41928"/>
    <w:rsid w:val="00B42150"/>
    <w:rsid w:val="00B42448"/>
    <w:rsid w:val="00B42B3A"/>
    <w:rsid w:val="00B42F89"/>
    <w:rsid w:val="00B453F2"/>
    <w:rsid w:val="00B4542F"/>
    <w:rsid w:val="00B45599"/>
    <w:rsid w:val="00B4582D"/>
    <w:rsid w:val="00B46089"/>
    <w:rsid w:val="00B46442"/>
    <w:rsid w:val="00B46724"/>
    <w:rsid w:val="00B46BA9"/>
    <w:rsid w:val="00B47586"/>
    <w:rsid w:val="00B51950"/>
    <w:rsid w:val="00B52BC9"/>
    <w:rsid w:val="00B530D5"/>
    <w:rsid w:val="00B533CB"/>
    <w:rsid w:val="00B533F2"/>
    <w:rsid w:val="00B53423"/>
    <w:rsid w:val="00B53B43"/>
    <w:rsid w:val="00B54166"/>
    <w:rsid w:val="00B543B1"/>
    <w:rsid w:val="00B54A3B"/>
    <w:rsid w:val="00B54DBE"/>
    <w:rsid w:val="00B55754"/>
    <w:rsid w:val="00B5642A"/>
    <w:rsid w:val="00B576F3"/>
    <w:rsid w:val="00B57A4D"/>
    <w:rsid w:val="00B606FD"/>
    <w:rsid w:val="00B60A0E"/>
    <w:rsid w:val="00B61032"/>
    <w:rsid w:val="00B62C85"/>
    <w:rsid w:val="00B639B2"/>
    <w:rsid w:val="00B639E1"/>
    <w:rsid w:val="00B63BC1"/>
    <w:rsid w:val="00B63D8A"/>
    <w:rsid w:val="00B64233"/>
    <w:rsid w:val="00B644E8"/>
    <w:rsid w:val="00B645A4"/>
    <w:rsid w:val="00B6494C"/>
    <w:rsid w:val="00B649AB"/>
    <w:rsid w:val="00B649B9"/>
    <w:rsid w:val="00B6517A"/>
    <w:rsid w:val="00B66DBE"/>
    <w:rsid w:val="00B66E5B"/>
    <w:rsid w:val="00B67739"/>
    <w:rsid w:val="00B67927"/>
    <w:rsid w:val="00B680E0"/>
    <w:rsid w:val="00B70447"/>
    <w:rsid w:val="00B7083B"/>
    <w:rsid w:val="00B7087A"/>
    <w:rsid w:val="00B70DE1"/>
    <w:rsid w:val="00B710B6"/>
    <w:rsid w:val="00B7374B"/>
    <w:rsid w:val="00B738EE"/>
    <w:rsid w:val="00B73F88"/>
    <w:rsid w:val="00B74971"/>
    <w:rsid w:val="00B74AB9"/>
    <w:rsid w:val="00B7573B"/>
    <w:rsid w:val="00B75B7B"/>
    <w:rsid w:val="00B75CE3"/>
    <w:rsid w:val="00B7693F"/>
    <w:rsid w:val="00B76A65"/>
    <w:rsid w:val="00B76E72"/>
    <w:rsid w:val="00B77A4C"/>
    <w:rsid w:val="00B809E4"/>
    <w:rsid w:val="00B8115B"/>
    <w:rsid w:val="00B81181"/>
    <w:rsid w:val="00B8212E"/>
    <w:rsid w:val="00B824E0"/>
    <w:rsid w:val="00B82614"/>
    <w:rsid w:val="00B82A49"/>
    <w:rsid w:val="00B82DEB"/>
    <w:rsid w:val="00B83CA0"/>
    <w:rsid w:val="00B840E0"/>
    <w:rsid w:val="00B8491A"/>
    <w:rsid w:val="00B84AE2"/>
    <w:rsid w:val="00B8563C"/>
    <w:rsid w:val="00B857C1"/>
    <w:rsid w:val="00B85973"/>
    <w:rsid w:val="00B870F0"/>
    <w:rsid w:val="00B872B6"/>
    <w:rsid w:val="00B87CAC"/>
    <w:rsid w:val="00B87EEC"/>
    <w:rsid w:val="00B90031"/>
    <w:rsid w:val="00B9023C"/>
    <w:rsid w:val="00B9062E"/>
    <w:rsid w:val="00B90903"/>
    <w:rsid w:val="00B911A2"/>
    <w:rsid w:val="00B9146E"/>
    <w:rsid w:val="00B91C3B"/>
    <w:rsid w:val="00B92241"/>
    <w:rsid w:val="00B92760"/>
    <w:rsid w:val="00B92832"/>
    <w:rsid w:val="00B93A76"/>
    <w:rsid w:val="00B9450A"/>
    <w:rsid w:val="00B94DA5"/>
    <w:rsid w:val="00B958A5"/>
    <w:rsid w:val="00B95F12"/>
    <w:rsid w:val="00B96528"/>
    <w:rsid w:val="00B9669A"/>
    <w:rsid w:val="00B9737C"/>
    <w:rsid w:val="00B973B7"/>
    <w:rsid w:val="00B97B97"/>
    <w:rsid w:val="00BA0049"/>
    <w:rsid w:val="00BA07C2"/>
    <w:rsid w:val="00BA080A"/>
    <w:rsid w:val="00BA203A"/>
    <w:rsid w:val="00BA24B1"/>
    <w:rsid w:val="00BA3060"/>
    <w:rsid w:val="00BA3C7A"/>
    <w:rsid w:val="00BA421A"/>
    <w:rsid w:val="00BA45A7"/>
    <w:rsid w:val="00BA5358"/>
    <w:rsid w:val="00BA57B3"/>
    <w:rsid w:val="00BA5C09"/>
    <w:rsid w:val="00BA5C4A"/>
    <w:rsid w:val="00BA61C9"/>
    <w:rsid w:val="00BA6491"/>
    <w:rsid w:val="00BA66F8"/>
    <w:rsid w:val="00BA740F"/>
    <w:rsid w:val="00BA7481"/>
    <w:rsid w:val="00BA7951"/>
    <w:rsid w:val="00BA7C25"/>
    <w:rsid w:val="00BB013F"/>
    <w:rsid w:val="00BB0590"/>
    <w:rsid w:val="00BB0B84"/>
    <w:rsid w:val="00BB1D51"/>
    <w:rsid w:val="00BB328D"/>
    <w:rsid w:val="00BB3338"/>
    <w:rsid w:val="00BB33EC"/>
    <w:rsid w:val="00BB33F3"/>
    <w:rsid w:val="00BB368B"/>
    <w:rsid w:val="00BB368E"/>
    <w:rsid w:val="00BB3B65"/>
    <w:rsid w:val="00BB3C1B"/>
    <w:rsid w:val="00BB3F5B"/>
    <w:rsid w:val="00BB447B"/>
    <w:rsid w:val="00BB4771"/>
    <w:rsid w:val="00BB509B"/>
    <w:rsid w:val="00BB5275"/>
    <w:rsid w:val="00BB5DD7"/>
    <w:rsid w:val="00BB64C0"/>
    <w:rsid w:val="00BB6C0F"/>
    <w:rsid w:val="00BB6F03"/>
    <w:rsid w:val="00BB77D8"/>
    <w:rsid w:val="00BC0625"/>
    <w:rsid w:val="00BC10EA"/>
    <w:rsid w:val="00BC19F6"/>
    <w:rsid w:val="00BC1A41"/>
    <w:rsid w:val="00BC1BF4"/>
    <w:rsid w:val="00BC2B1B"/>
    <w:rsid w:val="00BC31AF"/>
    <w:rsid w:val="00BC3C1A"/>
    <w:rsid w:val="00BC4314"/>
    <w:rsid w:val="00BC4BF7"/>
    <w:rsid w:val="00BC4C97"/>
    <w:rsid w:val="00BC4F41"/>
    <w:rsid w:val="00BC505D"/>
    <w:rsid w:val="00BC53D5"/>
    <w:rsid w:val="00BC5589"/>
    <w:rsid w:val="00BC5F02"/>
    <w:rsid w:val="00BC6383"/>
    <w:rsid w:val="00BC651C"/>
    <w:rsid w:val="00BC67E6"/>
    <w:rsid w:val="00BC6BBB"/>
    <w:rsid w:val="00BC722F"/>
    <w:rsid w:val="00BD0276"/>
    <w:rsid w:val="00BD0A14"/>
    <w:rsid w:val="00BD0F2E"/>
    <w:rsid w:val="00BD1524"/>
    <w:rsid w:val="00BD17E8"/>
    <w:rsid w:val="00BD1CDF"/>
    <w:rsid w:val="00BD2425"/>
    <w:rsid w:val="00BD27B7"/>
    <w:rsid w:val="00BD354E"/>
    <w:rsid w:val="00BD3BF0"/>
    <w:rsid w:val="00BD3C2F"/>
    <w:rsid w:val="00BD4257"/>
    <w:rsid w:val="00BD46E5"/>
    <w:rsid w:val="00BD4E23"/>
    <w:rsid w:val="00BD58EA"/>
    <w:rsid w:val="00BD5AE0"/>
    <w:rsid w:val="00BD60AA"/>
    <w:rsid w:val="00BD677C"/>
    <w:rsid w:val="00BD6C5E"/>
    <w:rsid w:val="00BD76F1"/>
    <w:rsid w:val="00BD7B13"/>
    <w:rsid w:val="00BE0247"/>
    <w:rsid w:val="00BE0A19"/>
    <w:rsid w:val="00BE0BA5"/>
    <w:rsid w:val="00BE0E7D"/>
    <w:rsid w:val="00BE2713"/>
    <w:rsid w:val="00BE3E90"/>
    <w:rsid w:val="00BE49E4"/>
    <w:rsid w:val="00BE5CFB"/>
    <w:rsid w:val="00BE6026"/>
    <w:rsid w:val="00BE68C5"/>
    <w:rsid w:val="00BE6B5E"/>
    <w:rsid w:val="00BE739C"/>
    <w:rsid w:val="00BE74F9"/>
    <w:rsid w:val="00BF0303"/>
    <w:rsid w:val="00BF0316"/>
    <w:rsid w:val="00BF03E8"/>
    <w:rsid w:val="00BF061A"/>
    <w:rsid w:val="00BF09BE"/>
    <w:rsid w:val="00BF3760"/>
    <w:rsid w:val="00BF446B"/>
    <w:rsid w:val="00BF48ED"/>
    <w:rsid w:val="00BF4CA5"/>
    <w:rsid w:val="00BF4DFA"/>
    <w:rsid w:val="00BF6068"/>
    <w:rsid w:val="00BF631F"/>
    <w:rsid w:val="00BF655D"/>
    <w:rsid w:val="00BF68D3"/>
    <w:rsid w:val="00BF6989"/>
    <w:rsid w:val="00BF6E52"/>
    <w:rsid w:val="00BF6E75"/>
    <w:rsid w:val="00C0071F"/>
    <w:rsid w:val="00C011E5"/>
    <w:rsid w:val="00C0172C"/>
    <w:rsid w:val="00C017CE"/>
    <w:rsid w:val="00C02624"/>
    <w:rsid w:val="00C02CD6"/>
    <w:rsid w:val="00C02F37"/>
    <w:rsid w:val="00C03A88"/>
    <w:rsid w:val="00C03D91"/>
    <w:rsid w:val="00C03EAB"/>
    <w:rsid w:val="00C04650"/>
    <w:rsid w:val="00C04ED9"/>
    <w:rsid w:val="00C05379"/>
    <w:rsid w:val="00C06151"/>
    <w:rsid w:val="00C07AF9"/>
    <w:rsid w:val="00C07C67"/>
    <w:rsid w:val="00C07D39"/>
    <w:rsid w:val="00C10CF2"/>
    <w:rsid w:val="00C10F43"/>
    <w:rsid w:val="00C1140D"/>
    <w:rsid w:val="00C117AA"/>
    <w:rsid w:val="00C11D61"/>
    <w:rsid w:val="00C12222"/>
    <w:rsid w:val="00C12378"/>
    <w:rsid w:val="00C134C6"/>
    <w:rsid w:val="00C13C3B"/>
    <w:rsid w:val="00C13F94"/>
    <w:rsid w:val="00C1400C"/>
    <w:rsid w:val="00C14A56"/>
    <w:rsid w:val="00C150B3"/>
    <w:rsid w:val="00C150CD"/>
    <w:rsid w:val="00C153FE"/>
    <w:rsid w:val="00C15986"/>
    <w:rsid w:val="00C163F8"/>
    <w:rsid w:val="00C164FB"/>
    <w:rsid w:val="00C1655D"/>
    <w:rsid w:val="00C17302"/>
    <w:rsid w:val="00C20590"/>
    <w:rsid w:val="00C21082"/>
    <w:rsid w:val="00C21832"/>
    <w:rsid w:val="00C2300A"/>
    <w:rsid w:val="00C231B1"/>
    <w:rsid w:val="00C23441"/>
    <w:rsid w:val="00C23EA8"/>
    <w:rsid w:val="00C24CCD"/>
    <w:rsid w:val="00C25526"/>
    <w:rsid w:val="00C261FD"/>
    <w:rsid w:val="00C271D5"/>
    <w:rsid w:val="00C276AC"/>
    <w:rsid w:val="00C27761"/>
    <w:rsid w:val="00C277B5"/>
    <w:rsid w:val="00C27BA1"/>
    <w:rsid w:val="00C27D2E"/>
    <w:rsid w:val="00C2B8E7"/>
    <w:rsid w:val="00C30EEC"/>
    <w:rsid w:val="00C31009"/>
    <w:rsid w:val="00C319AF"/>
    <w:rsid w:val="00C31A51"/>
    <w:rsid w:val="00C31B38"/>
    <w:rsid w:val="00C31D0C"/>
    <w:rsid w:val="00C32017"/>
    <w:rsid w:val="00C32057"/>
    <w:rsid w:val="00C32D75"/>
    <w:rsid w:val="00C33F44"/>
    <w:rsid w:val="00C35702"/>
    <w:rsid w:val="00C36F93"/>
    <w:rsid w:val="00C37073"/>
    <w:rsid w:val="00C3784C"/>
    <w:rsid w:val="00C37D1A"/>
    <w:rsid w:val="00C37F1C"/>
    <w:rsid w:val="00C404D2"/>
    <w:rsid w:val="00C418C8"/>
    <w:rsid w:val="00C41D3F"/>
    <w:rsid w:val="00C421CA"/>
    <w:rsid w:val="00C421E5"/>
    <w:rsid w:val="00C42B85"/>
    <w:rsid w:val="00C43ECF"/>
    <w:rsid w:val="00C44042"/>
    <w:rsid w:val="00C442AF"/>
    <w:rsid w:val="00C45E50"/>
    <w:rsid w:val="00C460B6"/>
    <w:rsid w:val="00C4651A"/>
    <w:rsid w:val="00C46C07"/>
    <w:rsid w:val="00C46C49"/>
    <w:rsid w:val="00C50025"/>
    <w:rsid w:val="00C5019E"/>
    <w:rsid w:val="00C504E9"/>
    <w:rsid w:val="00C509DB"/>
    <w:rsid w:val="00C50AB0"/>
    <w:rsid w:val="00C50F56"/>
    <w:rsid w:val="00C51285"/>
    <w:rsid w:val="00C51872"/>
    <w:rsid w:val="00C518C9"/>
    <w:rsid w:val="00C518DF"/>
    <w:rsid w:val="00C51915"/>
    <w:rsid w:val="00C51FD9"/>
    <w:rsid w:val="00C52B53"/>
    <w:rsid w:val="00C53C08"/>
    <w:rsid w:val="00C542D2"/>
    <w:rsid w:val="00C544C5"/>
    <w:rsid w:val="00C54A80"/>
    <w:rsid w:val="00C54CC6"/>
    <w:rsid w:val="00C54FC3"/>
    <w:rsid w:val="00C5562A"/>
    <w:rsid w:val="00C559DB"/>
    <w:rsid w:val="00C569E1"/>
    <w:rsid w:val="00C56B76"/>
    <w:rsid w:val="00C57583"/>
    <w:rsid w:val="00C57785"/>
    <w:rsid w:val="00C57876"/>
    <w:rsid w:val="00C6002D"/>
    <w:rsid w:val="00C600A0"/>
    <w:rsid w:val="00C60A39"/>
    <w:rsid w:val="00C60CE9"/>
    <w:rsid w:val="00C60EFC"/>
    <w:rsid w:val="00C617F7"/>
    <w:rsid w:val="00C61A0B"/>
    <w:rsid w:val="00C620D7"/>
    <w:rsid w:val="00C625B0"/>
    <w:rsid w:val="00C6344E"/>
    <w:rsid w:val="00C6473A"/>
    <w:rsid w:val="00C64EF9"/>
    <w:rsid w:val="00C650A3"/>
    <w:rsid w:val="00C6520B"/>
    <w:rsid w:val="00C652E1"/>
    <w:rsid w:val="00C66A22"/>
    <w:rsid w:val="00C672A3"/>
    <w:rsid w:val="00C6784C"/>
    <w:rsid w:val="00C67963"/>
    <w:rsid w:val="00C703D5"/>
    <w:rsid w:val="00C704D8"/>
    <w:rsid w:val="00C705F6"/>
    <w:rsid w:val="00C70F53"/>
    <w:rsid w:val="00C7126F"/>
    <w:rsid w:val="00C721E7"/>
    <w:rsid w:val="00C72AEB"/>
    <w:rsid w:val="00C7304A"/>
    <w:rsid w:val="00C74171"/>
    <w:rsid w:val="00C74E79"/>
    <w:rsid w:val="00C751B3"/>
    <w:rsid w:val="00C75309"/>
    <w:rsid w:val="00C7600B"/>
    <w:rsid w:val="00C762CB"/>
    <w:rsid w:val="00C7637F"/>
    <w:rsid w:val="00C7648E"/>
    <w:rsid w:val="00C76D9C"/>
    <w:rsid w:val="00C77506"/>
    <w:rsid w:val="00C7750F"/>
    <w:rsid w:val="00C7752C"/>
    <w:rsid w:val="00C77683"/>
    <w:rsid w:val="00C77D39"/>
    <w:rsid w:val="00C80129"/>
    <w:rsid w:val="00C80276"/>
    <w:rsid w:val="00C80731"/>
    <w:rsid w:val="00C80BCF"/>
    <w:rsid w:val="00C812D0"/>
    <w:rsid w:val="00C81BB8"/>
    <w:rsid w:val="00C82D35"/>
    <w:rsid w:val="00C82F0A"/>
    <w:rsid w:val="00C830DD"/>
    <w:rsid w:val="00C837FF"/>
    <w:rsid w:val="00C83A4E"/>
    <w:rsid w:val="00C83F44"/>
    <w:rsid w:val="00C84493"/>
    <w:rsid w:val="00C84AB4"/>
    <w:rsid w:val="00C84E91"/>
    <w:rsid w:val="00C856DA"/>
    <w:rsid w:val="00C85AA0"/>
    <w:rsid w:val="00C85AAC"/>
    <w:rsid w:val="00C86E4B"/>
    <w:rsid w:val="00C86F00"/>
    <w:rsid w:val="00C87057"/>
    <w:rsid w:val="00C8714F"/>
    <w:rsid w:val="00C8718F"/>
    <w:rsid w:val="00C8AAFA"/>
    <w:rsid w:val="00C9020D"/>
    <w:rsid w:val="00C90DD8"/>
    <w:rsid w:val="00C910FF"/>
    <w:rsid w:val="00C91A78"/>
    <w:rsid w:val="00C92AE3"/>
    <w:rsid w:val="00C9374C"/>
    <w:rsid w:val="00C93BDB"/>
    <w:rsid w:val="00C93EB0"/>
    <w:rsid w:val="00C94C52"/>
    <w:rsid w:val="00C9620A"/>
    <w:rsid w:val="00C96E3F"/>
    <w:rsid w:val="00C96F83"/>
    <w:rsid w:val="00C973FD"/>
    <w:rsid w:val="00C974FA"/>
    <w:rsid w:val="00C975EB"/>
    <w:rsid w:val="00C97C66"/>
    <w:rsid w:val="00C97C69"/>
    <w:rsid w:val="00CA0014"/>
    <w:rsid w:val="00CA0405"/>
    <w:rsid w:val="00CA054F"/>
    <w:rsid w:val="00CA0DE2"/>
    <w:rsid w:val="00CA12CD"/>
    <w:rsid w:val="00CA18E0"/>
    <w:rsid w:val="00CA2050"/>
    <w:rsid w:val="00CA2119"/>
    <w:rsid w:val="00CA2560"/>
    <w:rsid w:val="00CA2702"/>
    <w:rsid w:val="00CA2A5F"/>
    <w:rsid w:val="00CA3693"/>
    <w:rsid w:val="00CA3A13"/>
    <w:rsid w:val="00CA3D17"/>
    <w:rsid w:val="00CA409C"/>
    <w:rsid w:val="00CA532E"/>
    <w:rsid w:val="00CA58BB"/>
    <w:rsid w:val="00CA7FCD"/>
    <w:rsid w:val="00CB09BB"/>
    <w:rsid w:val="00CB0A7D"/>
    <w:rsid w:val="00CB2720"/>
    <w:rsid w:val="00CB2C61"/>
    <w:rsid w:val="00CB3CB5"/>
    <w:rsid w:val="00CB4649"/>
    <w:rsid w:val="00CB48A2"/>
    <w:rsid w:val="00CB4E7A"/>
    <w:rsid w:val="00CB559D"/>
    <w:rsid w:val="00CB588D"/>
    <w:rsid w:val="00CB688B"/>
    <w:rsid w:val="00CB6B31"/>
    <w:rsid w:val="00CB76C4"/>
    <w:rsid w:val="00CB7D73"/>
    <w:rsid w:val="00CC147E"/>
    <w:rsid w:val="00CC2500"/>
    <w:rsid w:val="00CC41AC"/>
    <w:rsid w:val="00CC49D1"/>
    <w:rsid w:val="00CC4AB4"/>
    <w:rsid w:val="00CC4EFE"/>
    <w:rsid w:val="00CC542F"/>
    <w:rsid w:val="00CC55E0"/>
    <w:rsid w:val="00CC58EC"/>
    <w:rsid w:val="00CC5AA6"/>
    <w:rsid w:val="00CC61EB"/>
    <w:rsid w:val="00CC6CA9"/>
    <w:rsid w:val="00CC7659"/>
    <w:rsid w:val="00CC7CD4"/>
    <w:rsid w:val="00CC7D95"/>
    <w:rsid w:val="00CD0850"/>
    <w:rsid w:val="00CD0EDA"/>
    <w:rsid w:val="00CD1303"/>
    <w:rsid w:val="00CD1E9D"/>
    <w:rsid w:val="00CD2011"/>
    <w:rsid w:val="00CD239C"/>
    <w:rsid w:val="00CD256A"/>
    <w:rsid w:val="00CD2A41"/>
    <w:rsid w:val="00CD2B9D"/>
    <w:rsid w:val="00CD3CF2"/>
    <w:rsid w:val="00CD3D89"/>
    <w:rsid w:val="00CD3E17"/>
    <w:rsid w:val="00CD3E40"/>
    <w:rsid w:val="00CD6343"/>
    <w:rsid w:val="00CD66BF"/>
    <w:rsid w:val="00CD6D18"/>
    <w:rsid w:val="00CD703F"/>
    <w:rsid w:val="00CD781E"/>
    <w:rsid w:val="00CD7EBF"/>
    <w:rsid w:val="00CE1172"/>
    <w:rsid w:val="00CE138E"/>
    <w:rsid w:val="00CE15C1"/>
    <w:rsid w:val="00CE1BE3"/>
    <w:rsid w:val="00CE1DFD"/>
    <w:rsid w:val="00CE1F29"/>
    <w:rsid w:val="00CE27D5"/>
    <w:rsid w:val="00CE2EBB"/>
    <w:rsid w:val="00CE2F94"/>
    <w:rsid w:val="00CE31A3"/>
    <w:rsid w:val="00CE41BA"/>
    <w:rsid w:val="00CE42D8"/>
    <w:rsid w:val="00CE53C7"/>
    <w:rsid w:val="00CE5407"/>
    <w:rsid w:val="00CE5E98"/>
    <w:rsid w:val="00CE5F72"/>
    <w:rsid w:val="00CE7169"/>
    <w:rsid w:val="00CE72D4"/>
    <w:rsid w:val="00CE734F"/>
    <w:rsid w:val="00CE75F3"/>
    <w:rsid w:val="00CE79FC"/>
    <w:rsid w:val="00CE7F7A"/>
    <w:rsid w:val="00CF1ABA"/>
    <w:rsid w:val="00CF252C"/>
    <w:rsid w:val="00CF32BE"/>
    <w:rsid w:val="00CF370C"/>
    <w:rsid w:val="00CF4DC3"/>
    <w:rsid w:val="00CF50A5"/>
    <w:rsid w:val="00CF5402"/>
    <w:rsid w:val="00CF55A0"/>
    <w:rsid w:val="00CF5B15"/>
    <w:rsid w:val="00CF5C4D"/>
    <w:rsid w:val="00CF6A09"/>
    <w:rsid w:val="00CF6C71"/>
    <w:rsid w:val="00CFDB37"/>
    <w:rsid w:val="00D002FA"/>
    <w:rsid w:val="00D005BF"/>
    <w:rsid w:val="00D00711"/>
    <w:rsid w:val="00D014D7"/>
    <w:rsid w:val="00D01817"/>
    <w:rsid w:val="00D01977"/>
    <w:rsid w:val="00D01F0A"/>
    <w:rsid w:val="00D02118"/>
    <w:rsid w:val="00D0295A"/>
    <w:rsid w:val="00D03511"/>
    <w:rsid w:val="00D03A96"/>
    <w:rsid w:val="00D04FB8"/>
    <w:rsid w:val="00D0524A"/>
    <w:rsid w:val="00D05E03"/>
    <w:rsid w:val="00D05F39"/>
    <w:rsid w:val="00D062B3"/>
    <w:rsid w:val="00D065B9"/>
    <w:rsid w:val="00D070FD"/>
    <w:rsid w:val="00D07843"/>
    <w:rsid w:val="00D07AB0"/>
    <w:rsid w:val="00D10FEB"/>
    <w:rsid w:val="00D1207C"/>
    <w:rsid w:val="00D126F8"/>
    <w:rsid w:val="00D13804"/>
    <w:rsid w:val="00D13C89"/>
    <w:rsid w:val="00D13E90"/>
    <w:rsid w:val="00D13FBB"/>
    <w:rsid w:val="00D14658"/>
    <w:rsid w:val="00D15A0E"/>
    <w:rsid w:val="00D15D43"/>
    <w:rsid w:val="00D1634A"/>
    <w:rsid w:val="00D205D5"/>
    <w:rsid w:val="00D208A1"/>
    <w:rsid w:val="00D21202"/>
    <w:rsid w:val="00D21E95"/>
    <w:rsid w:val="00D222C4"/>
    <w:rsid w:val="00D2290E"/>
    <w:rsid w:val="00D22E64"/>
    <w:rsid w:val="00D22EA7"/>
    <w:rsid w:val="00D22F06"/>
    <w:rsid w:val="00D231C0"/>
    <w:rsid w:val="00D23270"/>
    <w:rsid w:val="00D23468"/>
    <w:rsid w:val="00D24032"/>
    <w:rsid w:val="00D2415D"/>
    <w:rsid w:val="00D24E8E"/>
    <w:rsid w:val="00D25D95"/>
    <w:rsid w:val="00D26308"/>
    <w:rsid w:val="00D26780"/>
    <w:rsid w:val="00D26D06"/>
    <w:rsid w:val="00D27565"/>
    <w:rsid w:val="00D2799E"/>
    <w:rsid w:val="00D27E9D"/>
    <w:rsid w:val="00D3037F"/>
    <w:rsid w:val="00D30494"/>
    <w:rsid w:val="00D30711"/>
    <w:rsid w:val="00D30C37"/>
    <w:rsid w:val="00D30DFB"/>
    <w:rsid w:val="00D30F32"/>
    <w:rsid w:val="00D31549"/>
    <w:rsid w:val="00D319E2"/>
    <w:rsid w:val="00D32500"/>
    <w:rsid w:val="00D326A4"/>
    <w:rsid w:val="00D34864"/>
    <w:rsid w:val="00D34E37"/>
    <w:rsid w:val="00D3555F"/>
    <w:rsid w:val="00D355ED"/>
    <w:rsid w:val="00D35991"/>
    <w:rsid w:val="00D360FF"/>
    <w:rsid w:val="00D365B1"/>
    <w:rsid w:val="00D36FD7"/>
    <w:rsid w:val="00D37916"/>
    <w:rsid w:val="00D37B4B"/>
    <w:rsid w:val="00D37E42"/>
    <w:rsid w:val="00D40023"/>
    <w:rsid w:val="00D4052A"/>
    <w:rsid w:val="00D41D07"/>
    <w:rsid w:val="00D42143"/>
    <w:rsid w:val="00D423DB"/>
    <w:rsid w:val="00D42FF8"/>
    <w:rsid w:val="00D432F0"/>
    <w:rsid w:val="00D43428"/>
    <w:rsid w:val="00D438B8"/>
    <w:rsid w:val="00D445C9"/>
    <w:rsid w:val="00D45370"/>
    <w:rsid w:val="00D454DA"/>
    <w:rsid w:val="00D45BED"/>
    <w:rsid w:val="00D45FBE"/>
    <w:rsid w:val="00D46718"/>
    <w:rsid w:val="00D46C4E"/>
    <w:rsid w:val="00D473AF"/>
    <w:rsid w:val="00D500B5"/>
    <w:rsid w:val="00D50495"/>
    <w:rsid w:val="00D5117D"/>
    <w:rsid w:val="00D517D3"/>
    <w:rsid w:val="00D51944"/>
    <w:rsid w:val="00D521C6"/>
    <w:rsid w:val="00D5277C"/>
    <w:rsid w:val="00D53044"/>
    <w:rsid w:val="00D53745"/>
    <w:rsid w:val="00D53BFA"/>
    <w:rsid w:val="00D53D58"/>
    <w:rsid w:val="00D53FAC"/>
    <w:rsid w:val="00D54440"/>
    <w:rsid w:val="00D5447A"/>
    <w:rsid w:val="00D55367"/>
    <w:rsid w:val="00D569ED"/>
    <w:rsid w:val="00D56B74"/>
    <w:rsid w:val="00D56DB3"/>
    <w:rsid w:val="00D57E03"/>
    <w:rsid w:val="00D57F20"/>
    <w:rsid w:val="00D6099F"/>
    <w:rsid w:val="00D6175A"/>
    <w:rsid w:val="00D61896"/>
    <w:rsid w:val="00D618D0"/>
    <w:rsid w:val="00D622B4"/>
    <w:rsid w:val="00D625EA"/>
    <w:rsid w:val="00D62DF5"/>
    <w:rsid w:val="00D63A5E"/>
    <w:rsid w:val="00D63DF6"/>
    <w:rsid w:val="00D64EC0"/>
    <w:rsid w:val="00D65BC8"/>
    <w:rsid w:val="00D65C2C"/>
    <w:rsid w:val="00D66342"/>
    <w:rsid w:val="00D66504"/>
    <w:rsid w:val="00D665C0"/>
    <w:rsid w:val="00D665FE"/>
    <w:rsid w:val="00D6698E"/>
    <w:rsid w:val="00D67550"/>
    <w:rsid w:val="00D70370"/>
    <w:rsid w:val="00D70591"/>
    <w:rsid w:val="00D708A7"/>
    <w:rsid w:val="00D70D94"/>
    <w:rsid w:val="00D71C5D"/>
    <w:rsid w:val="00D72335"/>
    <w:rsid w:val="00D72352"/>
    <w:rsid w:val="00D72A0F"/>
    <w:rsid w:val="00D73826"/>
    <w:rsid w:val="00D73A1B"/>
    <w:rsid w:val="00D73D8F"/>
    <w:rsid w:val="00D753B7"/>
    <w:rsid w:val="00D753C4"/>
    <w:rsid w:val="00D75906"/>
    <w:rsid w:val="00D77329"/>
    <w:rsid w:val="00D77CBB"/>
    <w:rsid w:val="00D77D1F"/>
    <w:rsid w:val="00D77FCD"/>
    <w:rsid w:val="00D80129"/>
    <w:rsid w:val="00D803FE"/>
    <w:rsid w:val="00D80715"/>
    <w:rsid w:val="00D812CA"/>
    <w:rsid w:val="00D82334"/>
    <w:rsid w:val="00D82D6C"/>
    <w:rsid w:val="00D831E8"/>
    <w:rsid w:val="00D839D8"/>
    <w:rsid w:val="00D83B08"/>
    <w:rsid w:val="00D85403"/>
    <w:rsid w:val="00D85793"/>
    <w:rsid w:val="00D858DF"/>
    <w:rsid w:val="00D85CDC"/>
    <w:rsid w:val="00D86174"/>
    <w:rsid w:val="00D86401"/>
    <w:rsid w:val="00D867BB"/>
    <w:rsid w:val="00D87A7D"/>
    <w:rsid w:val="00D900DD"/>
    <w:rsid w:val="00D90362"/>
    <w:rsid w:val="00D910E7"/>
    <w:rsid w:val="00D911E0"/>
    <w:rsid w:val="00D91974"/>
    <w:rsid w:val="00D91DCC"/>
    <w:rsid w:val="00D930CA"/>
    <w:rsid w:val="00D9372B"/>
    <w:rsid w:val="00D938A1"/>
    <w:rsid w:val="00D93D8A"/>
    <w:rsid w:val="00D94135"/>
    <w:rsid w:val="00D94671"/>
    <w:rsid w:val="00D95080"/>
    <w:rsid w:val="00D950E5"/>
    <w:rsid w:val="00D952BA"/>
    <w:rsid w:val="00D95508"/>
    <w:rsid w:val="00D956CB"/>
    <w:rsid w:val="00D95FD2"/>
    <w:rsid w:val="00D9696B"/>
    <w:rsid w:val="00D970A9"/>
    <w:rsid w:val="00D975A1"/>
    <w:rsid w:val="00DA0395"/>
    <w:rsid w:val="00DA134F"/>
    <w:rsid w:val="00DA1C50"/>
    <w:rsid w:val="00DA25F1"/>
    <w:rsid w:val="00DA27E0"/>
    <w:rsid w:val="00DA28AD"/>
    <w:rsid w:val="00DA2C26"/>
    <w:rsid w:val="00DA3198"/>
    <w:rsid w:val="00DA45BD"/>
    <w:rsid w:val="00DA4704"/>
    <w:rsid w:val="00DA5037"/>
    <w:rsid w:val="00DA543C"/>
    <w:rsid w:val="00DA583B"/>
    <w:rsid w:val="00DA5F62"/>
    <w:rsid w:val="00DA670C"/>
    <w:rsid w:val="00DA689A"/>
    <w:rsid w:val="00DA68BC"/>
    <w:rsid w:val="00DB073E"/>
    <w:rsid w:val="00DB1090"/>
    <w:rsid w:val="00DB1389"/>
    <w:rsid w:val="00DB1724"/>
    <w:rsid w:val="00DB18B9"/>
    <w:rsid w:val="00DB2660"/>
    <w:rsid w:val="00DB28E8"/>
    <w:rsid w:val="00DB3FDA"/>
    <w:rsid w:val="00DB4469"/>
    <w:rsid w:val="00DB4DBD"/>
    <w:rsid w:val="00DB55E9"/>
    <w:rsid w:val="00DB6682"/>
    <w:rsid w:val="00DC2C96"/>
    <w:rsid w:val="00DC2F85"/>
    <w:rsid w:val="00DC32F4"/>
    <w:rsid w:val="00DC559A"/>
    <w:rsid w:val="00DC572C"/>
    <w:rsid w:val="00DC5AEF"/>
    <w:rsid w:val="00DC5E5B"/>
    <w:rsid w:val="00DC6931"/>
    <w:rsid w:val="00DC6D99"/>
    <w:rsid w:val="00DC76F7"/>
    <w:rsid w:val="00DC7C20"/>
    <w:rsid w:val="00DC7E9B"/>
    <w:rsid w:val="00DC7F26"/>
    <w:rsid w:val="00DCD3B6"/>
    <w:rsid w:val="00DD00A2"/>
    <w:rsid w:val="00DD0969"/>
    <w:rsid w:val="00DD0B90"/>
    <w:rsid w:val="00DD0E0D"/>
    <w:rsid w:val="00DD1085"/>
    <w:rsid w:val="00DD195F"/>
    <w:rsid w:val="00DD1AC7"/>
    <w:rsid w:val="00DD201A"/>
    <w:rsid w:val="00DD2341"/>
    <w:rsid w:val="00DD2BAD"/>
    <w:rsid w:val="00DD300B"/>
    <w:rsid w:val="00DD33A9"/>
    <w:rsid w:val="00DD363E"/>
    <w:rsid w:val="00DD37E2"/>
    <w:rsid w:val="00DD4997"/>
    <w:rsid w:val="00DD509C"/>
    <w:rsid w:val="00DD6505"/>
    <w:rsid w:val="00DD65A6"/>
    <w:rsid w:val="00DD6C55"/>
    <w:rsid w:val="00DD7036"/>
    <w:rsid w:val="00DD7A03"/>
    <w:rsid w:val="00DE05D6"/>
    <w:rsid w:val="00DE09A3"/>
    <w:rsid w:val="00DE0A2A"/>
    <w:rsid w:val="00DE1138"/>
    <w:rsid w:val="00DE171B"/>
    <w:rsid w:val="00DE19CD"/>
    <w:rsid w:val="00DE269D"/>
    <w:rsid w:val="00DE282A"/>
    <w:rsid w:val="00DE2AFE"/>
    <w:rsid w:val="00DE2BA9"/>
    <w:rsid w:val="00DE3377"/>
    <w:rsid w:val="00DE44CC"/>
    <w:rsid w:val="00DE4634"/>
    <w:rsid w:val="00DE4A57"/>
    <w:rsid w:val="00DE5757"/>
    <w:rsid w:val="00DE5A8C"/>
    <w:rsid w:val="00DE72A7"/>
    <w:rsid w:val="00DE741E"/>
    <w:rsid w:val="00DE7733"/>
    <w:rsid w:val="00DF0394"/>
    <w:rsid w:val="00DF03FC"/>
    <w:rsid w:val="00DF0549"/>
    <w:rsid w:val="00DF0666"/>
    <w:rsid w:val="00DF066E"/>
    <w:rsid w:val="00DF0B51"/>
    <w:rsid w:val="00DF0FE3"/>
    <w:rsid w:val="00DF1089"/>
    <w:rsid w:val="00DF1248"/>
    <w:rsid w:val="00DF165F"/>
    <w:rsid w:val="00DF1883"/>
    <w:rsid w:val="00DF1952"/>
    <w:rsid w:val="00DF2E97"/>
    <w:rsid w:val="00DF3E52"/>
    <w:rsid w:val="00DF43D7"/>
    <w:rsid w:val="00DF4517"/>
    <w:rsid w:val="00DF4B4B"/>
    <w:rsid w:val="00DF4BDF"/>
    <w:rsid w:val="00DF62CF"/>
    <w:rsid w:val="00DF656B"/>
    <w:rsid w:val="00E00340"/>
    <w:rsid w:val="00E0059D"/>
    <w:rsid w:val="00E0084E"/>
    <w:rsid w:val="00E00E58"/>
    <w:rsid w:val="00E01054"/>
    <w:rsid w:val="00E0157A"/>
    <w:rsid w:val="00E025E6"/>
    <w:rsid w:val="00E02FB1"/>
    <w:rsid w:val="00E037F5"/>
    <w:rsid w:val="00E04C2E"/>
    <w:rsid w:val="00E05269"/>
    <w:rsid w:val="00E05CEF"/>
    <w:rsid w:val="00E06082"/>
    <w:rsid w:val="00E0627E"/>
    <w:rsid w:val="00E0631E"/>
    <w:rsid w:val="00E06E6B"/>
    <w:rsid w:val="00E0750A"/>
    <w:rsid w:val="00E07E88"/>
    <w:rsid w:val="00E10417"/>
    <w:rsid w:val="00E10527"/>
    <w:rsid w:val="00E10795"/>
    <w:rsid w:val="00E10807"/>
    <w:rsid w:val="00E10ACC"/>
    <w:rsid w:val="00E11535"/>
    <w:rsid w:val="00E12BCF"/>
    <w:rsid w:val="00E1312C"/>
    <w:rsid w:val="00E14063"/>
    <w:rsid w:val="00E1658B"/>
    <w:rsid w:val="00E178B6"/>
    <w:rsid w:val="00E205CD"/>
    <w:rsid w:val="00E20717"/>
    <w:rsid w:val="00E22064"/>
    <w:rsid w:val="00E236DF"/>
    <w:rsid w:val="00E23824"/>
    <w:rsid w:val="00E23B7F"/>
    <w:rsid w:val="00E23CDE"/>
    <w:rsid w:val="00E23E1C"/>
    <w:rsid w:val="00E24206"/>
    <w:rsid w:val="00E2476C"/>
    <w:rsid w:val="00E260B3"/>
    <w:rsid w:val="00E262E7"/>
    <w:rsid w:val="00E26FE8"/>
    <w:rsid w:val="00E2720D"/>
    <w:rsid w:val="00E27ADB"/>
    <w:rsid w:val="00E27B11"/>
    <w:rsid w:val="00E30A9B"/>
    <w:rsid w:val="00E31800"/>
    <w:rsid w:val="00E31979"/>
    <w:rsid w:val="00E327D2"/>
    <w:rsid w:val="00E32D84"/>
    <w:rsid w:val="00E33B85"/>
    <w:rsid w:val="00E33BB4"/>
    <w:rsid w:val="00E33E86"/>
    <w:rsid w:val="00E34742"/>
    <w:rsid w:val="00E34CCC"/>
    <w:rsid w:val="00E35550"/>
    <w:rsid w:val="00E35663"/>
    <w:rsid w:val="00E35AC6"/>
    <w:rsid w:val="00E35E2F"/>
    <w:rsid w:val="00E3658A"/>
    <w:rsid w:val="00E365EC"/>
    <w:rsid w:val="00E36BF3"/>
    <w:rsid w:val="00E36DC8"/>
    <w:rsid w:val="00E40638"/>
    <w:rsid w:val="00E406D7"/>
    <w:rsid w:val="00E40865"/>
    <w:rsid w:val="00E40902"/>
    <w:rsid w:val="00E40D08"/>
    <w:rsid w:val="00E41C0C"/>
    <w:rsid w:val="00E41CF5"/>
    <w:rsid w:val="00E429AA"/>
    <w:rsid w:val="00E436A5"/>
    <w:rsid w:val="00E43E11"/>
    <w:rsid w:val="00E44B6E"/>
    <w:rsid w:val="00E45721"/>
    <w:rsid w:val="00E45EAE"/>
    <w:rsid w:val="00E473B8"/>
    <w:rsid w:val="00E4763C"/>
    <w:rsid w:val="00E47F18"/>
    <w:rsid w:val="00E50071"/>
    <w:rsid w:val="00E5147D"/>
    <w:rsid w:val="00E51FFA"/>
    <w:rsid w:val="00E52077"/>
    <w:rsid w:val="00E52169"/>
    <w:rsid w:val="00E52228"/>
    <w:rsid w:val="00E52461"/>
    <w:rsid w:val="00E5285E"/>
    <w:rsid w:val="00E52FD6"/>
    <w:rsid w:val="00E53540"/>
    <w:rsid w:val="00E53A97"/>
    <w:rsid w:val="00E54240"/>
    <w:rsid w:val="00E54C0B"/>
    <w:rsid w:val="00E554B1"/>
    <w:rsid w:val="00E562CE"/>
    <w:rsid w:val="00E568C4"/>
    <w:rsid w:val="00E56E33"/>
    <w:rsid w:val="00E57682"/>
    <w:rsid w:val="00E6005C"/>
    <w:rsid w:val="00E602B1"/>
    <w:rsid w:val="00E60968"/>
    <w:rsid w:val="00E60C96"/>
    <w:rsid w:val="00E61268"/>
    <w:rsid w:val="00E617FD"/>
    <w:rsid w:val="00E61981"/>
    <w:rsid w:val="00E61FFA"/>
    <w:rsid w:val="00E62AB5"/>
    <w:rsid w:val="00E62BA4"/>
    <w:rsid w:val="00E6311F"/>
    <w:rsid w:val="00E63A45"/>
    <w:rsid w:val="00E63C6E"/>
    <w:rsid w:val="00E64771"/>
    <w:rsid w:val="00E6495F"/>
    <w:rsid w:val="00E652E0"/>
    <w:rsid w:val="00E65C80"/>
    <w:rsid w:val="00E66436"/>
    <w:rsid w:val="00E66761"/>
    <w:rsid w:val="00E67D80"/>
    <w:rsid w:val="00E67F0A"/>
    <w:rsid w:val="00E71048"/>
    <w:rsid w:val="00E712A6"/>
    <w:rsid w:val="00E724EE"/>
    <w:rsid w:val="00E72D64"/>
    <w:rsid w:val="00E731B2"/>
    <w:rsid w:val="00E7350B"/>
    <w:rsid w:val="00E7363D"/>
    <w:rsid w:val="00E73704"/>
    <w:rsid w:val="00E738CD"/>
    <w:rsid w:val="00E73C28"/>
    <w:rsid w:val="00E74018"/>
    <w:rsid w:val="00E745AB"/>
    <w:rsid w:val="00E74CE4"/>
    <w:rsid w:val="00E74CEE"/>
    <w:rsid w:val="00E74E5B"/>
    <w:rsid w:val="00E754E0"/>
    <w:rsid w:val="00E75EED"/>
    <w:rsid w:val="00E764CC"/>
    <w:rsid w:val="00E76759"/>
    <w:rsid w:val="00E7718C"/>
    <w:rsid w:val="00E81573"/>
    <w:rsid w:val="00E815B0"/>
    <w:rsid w:val="00E81898"/>
    <w:rsid w:val="00E8288B"/>
    <w:rsid w:val="00E830F1"/>
    <w:rsid w:val="00E8329A"/>
    <w:rsid w:val="00E83636"/>
    <w:rsid w:val="00E84A20"/>
    <w:rsid w:val="00E84F83"/>
    <w:rsid w:val="00E8500B"/>
    <w:rsid w:val="00E8503B"/>
    <w:rsid w:val="00E86C01"/>
    <w:rsid w:val="00E87313"/>
    <w:rsid w:val="00E8765F"/>
    <w:rsid w:val="00E87E38"/>
    <w:rsid w:val="00E917BF"/>
    <w:rsid w:val="00E91D10"/>
    <w:rsid w:val="00E91EFE"/>
    <w:rsid w:val="00E928AF"/>
    <w:rsid w:val="00E932E9"/>
    <w:rsid w:val="00E936E8"/>
    <w:rsid w:val="00E9384A"/>
    <w:rsid w:val="00E94510"/>
    <w:rsid w:val="00E94CAD"/>
    <w:rsid w:val="00E94CB7"/>
    <w:rsid w:val="00E95326"/>
    <w:rsid w:val="00E95CBD"/>
    <w:rsid w:val="00E96232"/>
    <w:rsid w:val="00E966A0"/>
    <w:rsid w:val="00E96A35"/>
    <w:rsid w:val="00E972A2"/>
    <w:rsid w:val="00E972EA"/>
    <w:rsid w:val="00E976B7"/>
    <w:rsid w:val="00EA0346"/>
    <w:rsid w:val="00EA1C3F"/>
    <w:rsid w:val="00EA1F22"/>
    <w:rsid w:val="00EA2E82"/>
    <w:rsid w:val="00EA3401"/>
    <w:rsid w:val="00EA3789"/>
    <w:rsid w:val="00EA39FB"/>
    <w:rsid w:val="00EA3BD8"/>
    <w:rsid w:val="00EA41F4"/>
    <w:rsid w:val="00EA5D11"/>
    <w:rsid w:val="00EA6A7F"/>
    <w:rsid w:val="00EA7A84"/>
    <w:rsid w:val="00EAD5C5"/>
    <w:rsid w:val="00EB0150"/>
    <w:rsid w:val="00EB0761"/>
    <w:rsid w:val="00EB0964"/>
    <w:rsid w:val="00EB0A44"/>
    <w:rsid w:val="00EB11F2"/>
    <w:rsid w:val="00EB1C99"/>
    <w:rsid w:val="00EB1F68"/>
    <w:rsid w:val="00EB20BD"/>
    <w:rsid w:val="00EB25BA"/>
    <w:rsid w:val="00EB3E5A"/>
    <w:rsid w:val="00EB44FF"/>
    <w:rsid w:val="00EB4A06"/>
    <w:rsid w:val="00EB5824"/>
    <w:rsid w:val="00EB5BF9"/>
    <w:rsid w:val="00EB6531"/>
    <w:rsid w:val="00EB66FB"/>
    <w:rsid w:val="00EB6E0F"/>
    <w:rsid w:val="00EBE616"/>
    <w:rsid w:val="00EC02AC"/>
    <w:rsid w:val="00EC03C4"/>
    <w:rsid w:val="00EC07CF"/>
    <w:rsid w:val="00EC09CF"/>
    <w:rsid w:val="00EC0EB9"/>
    <w:rsid w:val="00EC20DD"/>
    <w:rsid w:val="00EC255B"/>
    <w:rsid w:val="00EC2D3E"/>
    <w:rsid w:val="00EC32F1"/>
    <w:rsid w:val="00EC4255"/>
    <w:rsid w:val="00EC4F69"/>
    <w:rsid w:val="00EC51F2"/>
    <w:rsid w:val="00EC668F"/>
    <w:rsid w:val="00EC6D9F"/>
    <w:rsid w:val="00EC7C73"/>
    <w:rsid w:val="00EC7FAF"/>
    <w:rsid w:val="00ED038B"/>
    <w:rsid w:val="00ED0E02"/>
    <w:rsid w:val="00ED17AB"/>
    <w:rsid w:val="00ED1CDB"/>
    <w:rsid w:val="00ED1F16"/>
    <w:rsid w:val="00ED30D0"/>
    <w:rsid w:val="00ED3413"/>
    <w:rsid w:val="00ED3A57"/>
    <w:rsid w:val="00ED3A7E"/>
    <w:rsid w:val="00ED4515"/>
    <w:rsid w:val="00ED4873"/>
    <w:rsid w:val="00ED4DD7"/>
    <w:rsid w:val="00ED4F63"/>
    <w:rsid w:val="00ED5089"/>
    <w:rsid w:val="00ED533E"/>
    <w:rsid w:val="00ED5CFF"/>
    <w:rsid w:val="00ED5D85"/>
    <w:rsid w:val="00ED5E3D"/>
    <w:rsid w:val="00ED613D"/>
    <w:rsid w:val="00ED72C9"/>
    <w:rsid w:val="00ED743C"/>
    <w:rsid w:val="00ED77D1"/>
    <w:rsid w:val="00ED7899"/>
    <w:rsid w:val="00EE0887"/>
    <w:rsid w:val="00EE090F"/>
    <w:rsid w:val="00EE0B59"/>
    <w:rsid w:val="00EE160D"/>
    <w:rsid w:val="00EE1655"/>
    <w:rsid w:val="00EE1821"/>
    <w:rsid w:val="00EE201F"/>
    <w:rsid w:val="00EE289E"/>
    <w:rsid w:val="00EE3081"/>
    <w:rsid w:val="00EE3B1A"/>
    <w:rsid w:val="00EE3E94"/>
    <w:rsid w:val="00EE5636"/>
    <w:rsid w:val="00EE61F3"/>
    <w:rsid w:val="00EE6FA9"/>
    <w:rsid w:val="00EE7041"/>
    <w:rsid w:val="00EE705D"/>
    <w:rsid w:val="00EE74C7"/>
    <w:rsid w:val="00EE76FE"/>
    <w:rsid w:val="00EE7E74"/>
    <w:rsid w:val="00EF0909"/>
    <w:rsid w:val="00EF0A14"/>
    <w:rsid w:val="00EF23C7"/>
    <w:rsid w:val="00EF39A7"/>
    <w:rsid w:val="00EF437D"/>
    <w:rsid w:val="00EF517B"/>
    <w:rsid w:val="00EF5533"/>
    <w:rsid w:val="00EF6384"/>
    <w:rsid w:val="00EF7B72"/>
    <w:rsid w:val="00EF7BBE"/>
    <w:rsid w:val="00F00FBF"/>
    <w:rsid w:val="00F018B1"/>
    <w:rsid w:val="00F01FBF"/>
    <w:rsid w:val="00F02A0D"/>
    <w:rsid w:val="00F0302B"/>
    <w:rsid w:val="00F039F2"/>
    <w:rsid w:val="00F040E2"/>
    <w:rsid w:val="00F04649"/>
    <w:rsid w:val="00F04968"/>
    <w:rsid w:val="00F050A5"/>
    <w:rsid w:val="00F052E0"/>
    <w:rsid w:val="00F05B61"/>
    <w:rsid w:val="00F05DC5"/>
    <w:rsid w:val="00F05FEF"/>
    <w:rsid w:val="00F0638B"/>
    <w:rsid w:val="00F06486"/>
    <w:rsid w:val="00F06C88"/>
    <w:rsid w:val="00F06F1B"/>
    <w:rsid w:val="00F0773F"/>
    <w:rsid w:val="00F079F5"/>
    <w:rsid w:val="00F07AFF"/>
    <w:rsid w:val="00F1008C"/>
    <w:rsid w:val="00F10B0A"/>
    <w:rsid w:val="00F11022"/>
    <w:rsid w:val="00F12383"/>
    <w:rsid w:val="00F12DB0"/>
    <w:rsid w:val="00F13228"/>
    <w:rsid w:val="00F137DA"/>
    <w:rsid w:val="00F13CAF"/>
    <w:rsid w:val="00F1440A"/>
    <w:rsid w:val="00F148F0"/>
    <w:rsid w:val="00F15BCA"/>
    <w:rsid w:val="00F15DB9"/>
    <w:rsid w:val="00F16CCE"/>
    <w:rsid w:val="00F1708B"/>
    <w:rsid w:val="00F175D2"/>
    <w:rsid w:val="00F200E4"/>
    <w:rsid w:val="00F204F9"/>
    <w:rsid w:val="00F209FE"/>
    <w:rsid w:val="00F21117"/>
    <w:rsid w:val="00F215A4"/>
    <w:rsid w:val="00F22B93"/>
    <w:rsid w:val="00F23DFF"/>
    <w:rsid w:val="00F23E6A"/>
    <w:rsid w:val="00F24001"/>
    <w:rsid w:val="00F24600"/>
    <w:rsid w:val="00F24680"/>
    <w:rsid w:val="00F24800"/>
    <w:rsid w:val="00F24B7C"/>
    <w:rsid w:val="00F25107"/>
    <w:rsid w:val="00F25482"/>
    <w:rsid w:val="00F2632F"/>
    <w:rsid w:val="00F26677"/>
    <w:rsid w:val="00F27A5D"/>
    <w:rsid w:val="00F27AE9"/>
    <w:rsid w:val="00F2E253"/>
    <w:rsid w:val="00F2EFC4"/>
    <w:rsid w:val="00F31314"/>
    <w:rsid w:val="00F31327"/>
    <w:rsid w:val="00F313C9"/>
    <w:rsid w:val="00F31576"/>
    <w:rsid w:val="00F3169B"/>
    <w:rsid w:val="00F316CB"/>
    <w:rsid w:val="00F31BE6"/>
    <w:rsid w:val="00F31C80"/>
    <w:rsid w:val="00F31EA9"/>
    <w:rsid w:val="00F325E0"/>
    <w:rsid w:val="00F328FB"/>
    <w:rsid w:val="00F32A89"/>
    <w:rsid w:val="00F33DE6"/>
    <w:rsid w:val="00F34B2C"/>
    <w:rsid w:val="00F351D9"/>
    <w:rsid w:val="00F35CB2"/>
    <w:rsid w:val="00F35DCC"/>
    <w:rsid w:val="00F35DE6"/>
    <w:rsid w:val="00F3651D"/>
    <w:rsid w:val="00F366EB"/>
    <w:rsid w:val="00F36EE2"/>
    <w:rsid w:val="00F37F06"/>
    <w:rsid w:val="00F37FD4"/>
    <w:rsid w:val="00F40C7A"/>
    <w:rsid w:val="00F410A6"/>
    <w:rsid w:val="00F419E7"/>
    <w:rsid w:val="00F41CBE"/>
    <w:rsid w:val="00F42090"/>
    <w:rsid w:val="00F4258C"/>
    <w:rsid w:val="00F42799"/>
    <w:rsid w:val="00F42A97"/>
    <w:rsid w:val="00F42B72"/>
    <w:rsid w:val="00F42C24"/>
    <w:rsid w:val="00F43633"/>
    <w:rsid w:val="00F43D6A"/>
    <w:rsid w:val="00F441B6"/>
    <w:rsid w:val="00F442AE"/>
    <w:rsid w:val="00F44648"/>
    <w:rsid w:val="00F44A35"/>
    <w:rsid w:val="00F44E26"/>
    <w:rsid w:val="00F44E92"/>
    <w:rsid w:val="00F45421"/>
    <w:rsid w:val="00F45715"/>
    <w:rsid w:val="00F45A1B"/>
    <w:rsid w:val="00F45CF5"/>
    <w:rsid w:val="00F45D1C"/>
    <w:rsid w:val="00F45FA5"/>
    <w:rsid w:val="00F46041"/>
    <w:rsid w:val="00F46525"/>
    <w:rsid w:val="00F46789"/>
    <w:rsid w:val="00F468E3"/>
    <w:rsid w:val="00F474C4"/>
    <w:rsid w:val="00F5006D"/>
    <w:rsid w:val="00F5013E"/>
    <w:rsid w:val="00F50AB1"/>
    <w:rsid w:val="00F50D56"/>
    <w:rsid w:val="00F513FF"/>
    <w:rsid w:val="00F51B89"/>
    <w:rsid w:val="00F51C59"/>
    <w:rsid w:val="00F51DA4"/>
    <w:rsid w:val="00F52527"/>
    <w:rsid w:val="00F534B5"/>
    <w:rsid w:val="00F5392E"/>
    <w:rsid w:val="00F53C9A"/>
    <w:rsid w:val="00F53DA1"/>
    <w:rsid w:val="00F53E99"/>
    <w:rsid w:val="00F54437"/>
    <w:rsid w:val="00F54DD8"/>
    <w:rsid w:val="00F5506F"/>
    <w:rsid w:val="00F5601F"/>
    <w:rsid w:val="00F569C7"/>
    <w:rsid w:val="00F56CFA"/>
    <w:rsid w:val="00F57128"/>
    <w:rsid w:val="00F571AF"/>
    <w:rsid w:val="00F573F7"/>
    <w:rsid w:val="00F57767"/>
    <w:rsid w:val="00F60AD9"/>
    <w:rsid w:val="00F61F55"/>
    <w:rsid w:val="00F62094"/>
    <w:rsid w:val="00F62527"/>
    <w:rsid w:val="00F62CCB"/>
    <w:rsid w:val="00F6319C"/>
    <w:rsid w:val="00F63322"/>
    <w:rsid w:val="00F63FE8"/>
    <w:rsid w:val="00F64066"/>
    <w:rsid w:val="00F64533"/>
    <w:rsid w:val="00F65099"/>
    <w:rsid w:val="00F651A0"/>
    <w:rsid w:val="00F67CE3"/>
    <w:rsid w:val="00F70909"/>
    <w:rsid w:val="00F70BDF"/>
    <w:rsid w:val="00F70EDA"/>
    <w:rsid w:val="00F710C9"/>
    <w:rsid w:val="00F711B0"/>
    <w:rsid w:val="00F71FCE"/>
    <w:rsid w:val="00F72053"/>
    <w:rsid w:val="00F722F0"/>
    <w:rsid w:val="00F7279D"/>
    <w:rsid w:val="00F72A0D"/>
    <w:rsid w:val="00F72B42"/>
    <w:rsid w:val="00F734E5"/>
    <w:rsid w:val="00F736B9"/>
    <w:rsid w:val="00F73F5B"/>
    <w:rsid w:val="00F7439B"/>
    <w:rsid w:val="00F74BF6"/>
    <w:rsid w:val="00F74D62"/>
    <w:rsid w:val="00F74FDB"/>
    <w:rsid w:val="00F751DE"/>
    <w:rsid w:val="00F756F1"/>
    <w:rsid w:val="00F75F82"/>
    <w:rsid w:val="00F760C3"/>
    <w:rsid w:val="00F767DF"/>
    <w:rsid w:val="00F76CC9"/>
    <w:rsid w:val="00F76DF2"/>
    <w:rsid w:val="00F77496"/>
    <w:rsid w:val="00F77F64"/>
    <w:rsid w:val="00F804CC"/>
    <w:rsid w:val="00F817D8"/>
    <w:rsid w:val="00F82360"/>
    <w:rsid w:val="00F82AF7"/>
    <w:rsid w:val="00F82C80"/>
    <w:rsid w:val="00F831B2"/>
    <w:rsid w:val="00F84047"/>
    <w:rsid w:val="00F86B38"/>
    <w:rsid w:val="00F86C23"/>
    <w:rsid w:val="00F86D0D"/>
    <w:rsid w:val="00F86DBA"/>
    <w:rsid w:val="00F87D4C"/>
    <w:rsid w:val="00F91622"/>
    <w:rsid w:val="00F91B5A"/>
    <w:rsid w:val="00F91E9E"/>
    <w:rsid w:val="00F92C0A"/>
    <w:rsid w:val="00F93B81"/>
    <w:rsid w:val="00F93BD5"/>
    <w:rsid w:val="00F94208"/>
    <w:rsid w:val="00F956DD"/>
    <w:rsid w:val="00F95AF7"/>
    <w:rsid w:val="00F962FB"/>
    <w:rsid w:val="00F96DB0"/>
    <w:rsid w:val="00F96E2D"/>
    <w:rsid w:val="00F9710E"/>
    <w:rsid w:val="00F97A0D"/>
    <w:rsid w:val="00F97A20"/>
    <w:rsid w:val="00F97E65"/>
    <w:rsid w:val="00FA013D"/>
    <w:rsid w:val="00FA0265"/>
    <w:rsid w:val="00FA07C9"/>
    <w:rsid w:val="00FA1C0B"/>
    <w:rsid w:val="00FA1C8C"/>
    <w:rsid w:val="00FA22B2"/>
    <w:rsid w:val="00FA2357"/>
    <w:rsid w:val="00FA2FBF"/>
    <w:rsid w:val="00FA359B"/>
    <w:rsid w:val="00FA371B"/>
    <w:rsid w:val="00FA378E"/>
    <w:rsid w:val="00FA3BD8"/>
    <w:rsid w:val="00FA3D1A"/>
    <w:rsid w:val="00FA3F5C"/>
    <w:rsid w:val="00FA4D2F"/>
    <w:rsid w:val="00FA57AD"/>
    <w:rsid w:val="00FA5CED"/>
    <w:rsid w:val="00FA7070"/>
    <w:rsid w:val="00FA7078"/>
    <w:rsid w:val="00FA7E7B"/>
    <w:rsid w:val="00FA7E97"/>
    <w:rsid w:val="00FB04F1"/>
    <w:rsid w:val="00FB0997"/>
    <w:rsid w:val="00FB0B21"/>
    <w:rsid w:val="00FB13D6"/>
    <w:rsid w:val="00FB1781"/>
    <w:rsid w:val="00FB1C1F"/>
    <w:rsid w:val="00FB20D1"/>
    <w:rsid w:val="00FB214A"/>
    <w:rsid w:val="00FB2499"/>
    <w:rsid w:val="00FB2E4E"/>
    <w:rsid w:val="00FB327C"/>
    <w:rsid w:val="00FB336E"/>
    <w:rsid w:val="00FB35C8"/>
    <w:rsid w:val="00FB4415"/>
    <w:rsid w:val="00FB4579"/>
    <w:rsid w:val="00FB4A7F"/>
    <w:rsid w:val="00FB589F"/>
    <w:rsid w:val="00FB6176"/>
    <w:rsid w:val="00FB679D"/>
    <w:rsid w:val="00FB683B"/>
    <w:rsid w:val="00FB72F9"/>
    <w:rsid w:val="00FB76DE"/>
    <w:rsid w:val="00FB788C"/>
    <w:rsid w:val="00FC06A2"/>
    <w:rsid w:val="00FC1DC2"/>
    <w:rsid w:val="00FC2F39"/>
    <w:rsid w:val="00FC3394"/>
    <w:rsid w:val="00FC3686"/>
    <w:rsid w:val="00FC4194"/>
    <w:rsid w:val="00FC42EB"/>
    <w:rsid w:val="00FC4408"/>
    <w:rsid w:val="00FC524F"/>
    <w:rsid w:val="00FC53D0"/>
    <w:rsid w:val="00FC568E"/>
    <w:rsid w:val="00FC5C56"/>
    <w:rsid w:val="00FD0781"/>
    <w:rsid w:val="00FD08ED"/>
    <w:rsid w:val="00FD19BD"/>
    <w:rsid w:val="00FD1EDF"/>
    <w:rsid w:val="00FD24E3"/>
    <w:rsid w:val="00FD2837"/>
    <w:rsid w:val="00FD2C2E"/>
    <w:rsid w:val="00FD3029"/>
    <w:rsid w:val="00FD30C3"/>
    <w:rsid w:val="00FD3459"/>
    <w:rsid w:val="00FD3C8B"/>
    <w:rsid w:val="00FD3C95"/>
    <w:rsid w:val="00FD4139"/>
    <w:rsid w:val="00FD447C"/>
    <w:rsid w:val="00FD4782"/>
    <w:rsid w:val="00FD485B"/>
    <w:rsid w:val="00FD58CE"/>
    <w:rsid w:val="00FD6CF2"/>
    <w:rsid w:val="00FD7BE2"/>
    <w:rsid w:val="00FE0CCA"/>
    <w:rsid w:val="00FE111F"/>
    <w:rsid w:val="00FE1580"/>
    <w:rsid w:val="00FE1BE3"/>
    <w:rsid w:val="00FE1F6B"/>
    <w:rsid w:val="00FE2032"/>
    <w:rsid w:val="00FE218D"/>
    <w:rsid w:val="00FE2C1D"/>
    <w:rsid w:val="00FE31C9"/>
    <w:rsid w:val="00FE31ED"/>
    <w:rsid w:val="00FE3308"/>
    <w:rsid w:val="00FE40CB"/>
    <w:rsid w:val="00FE413B"/>
    <w:rsid w:val="00FE45AA"/>
    <w:rsid w:val="00FE4C52"/>
    <w:rsid w:val="00FE5872"/>
    <w:rsid w:val="00FE6099"/>
    <w:rsid w:val="00FE7370"/>
    <w:rsid w:val="00FE7371"/>
    <w:rsid w:val="00FE748B"/>
    <w:rsid w:val="00FE7820"/>
    <w:rsid w:val="00FE7B30"/>
    <w:rsid w:val="00FE7B5A"/>
    <w:rsid w:val="00FE7D27"/>
    <w:rsid w:val="00FF07FB"/>
    <w:rsid w:val="00FF0DC2"/>
    <w:rsid w:val="00FF111F"/>
    <w:rsid w:val="00FF1C6E"/>
    <w:rsid w:val="00FF1FD8"/>
    <w:rsid w:val="00FF21DD"/>
    <w:rsid w:val="00FF30E2"/>
    <w:rsid w:val="00FF3628"/>
    <w:rsid w:val="00FF40B5"/>
    <w:rsid w:val="00FF46B6"/>
    <w:rsid w:val="00FF49FF"/>
    <w:rsid w:val="00FF532C"/>
    <w:rsid w:val="00FF56C1"/>
    <w:rsid w:val="00FF688F"/>
    <w:rsid w:val="00FF6F3C"/>
    <w:rsid w:val="00FF76CE"/>
    <w:rsid w:val="00FF77E3"/>
    <w:rsid w:val="00FFD9A5"/>
    <w:rsid w:val="01039EA5"/>
    <w:rsid w:val="0116D838"/>
    <w:rsid w:val="01190C1E"/>
    <w:rsid w:val="011A45CB"/>
    <w:rsid w:val="01290821"/>
    <w:rsid w:val="012A6F6F"/>
    <w:rsid w:val="012D6FD3"/>
    <w:rsid w:val="012F3E75"/>
    <w:rsid w:val="01444D13"/>
    <w:rsid w:val="014DAF65"/>
    <w:rsid w:val="014DF03A"/>
    <w:rsid w:val="01567261"/>
    <w:rsid w:val="01582A6F"/>
    <w:rsid w:val="0159EB62"/>
    <w:rsid w:val="01610845"/>
    <w:rsid w:val="0161DB63"/>
    <w:rsid w:val="01641ABA"/>
    <w:rsid w:val="01688893"/>
    <w:rsid w:val="016A00C5"/>
    <w:rsid w:val="016ED649"/>
    <w:rsid w:val="0175196A"/>
    <w:rsid w:val="017C3A9E"/>
    <w:rsid w:val="017E5545"/>
    <w:rsid w:val="01816EAE"/>
    <w:rsid w:val="01855C4A"/>
    <w:rsid w:val="01896C91"/>
    <w:rsid w:val="01963793"/>
    <w:rsid w:val="01A35038"/>
    <w:rsid w:val="01A42167"/>
    <w:rsid w:val="01A952E6"/>
    <w:rsid w:val="01B80E30"/>
    <w:rsid w:val="01B82F9A"/>
    <w:rsid w:val="01C6404C"/>
    <w:rsid w:val="01CA30AE"/>
    <w:rsid w:val="01CD20AE"/>
    <w:rsid w:val="01D60A69"/>
    <w:rsid w:val="01DCACC2"/>
    <w:rsid w:val="01E44E89"/>
    <w:rsid w:val="01E54D39"/>
    <w:rsid w:val="01EB50A2"/>
    <w:rsid w:val="01EF5521"/>
    <w:rsid w:val="01F6A226"/>
    <w:rsid w:val="01FA83A2"/>
    <w:rsid w:val="02095028"/>
    <w:rsid w:val="020BB215"/>
    <w:rsid w:val="02249B57"/>
    <w:rsid w:val="023031D2"/>
    <w:rsid w:val="02320CA8"/>
    <w:rsid w:val="0235CCC2"/>
    <w:rsid w:val="02415ABC"/>
    <w:rsid w:val="024F73E7"/>
    <w:rsid w:val="0253C669"/>
    <w:rsid w:val="02616B97"/>
    <w:rsid w:val="02646521"/>
    <w:rsid w:val="02672D42"/>
    <w:rsid w:val="0268E445"/>
    <w:rsid w:val="0269D4F8"/>
    <w:rsid w:val="02794C02"/>
    <w:rsid w:val="0287B677"/>
    <w:rsid w:val="028D7E31"/>
    <w:rsid w:val="0291950B"/>
    <w:rsid w:val="029252E7"/>
    <w:rsid w:val="02A05EAB"/>
    <w:rsid w:val="02A19794"/>
    <w:rsid w:val="02AD168C"/>
    <w:rsid w:val="02B58B0D"/>
    <w:rsid w:val="02C72B7A"/>
    <w:rsid w:val="02CAF55A"/>
    <w:rsid w:val="02CE4EB7"/>
    <w:rsid w:val="02D4245B"/>
    <w:rsid w:val="02DA9193"/>
    <w:rsid w:val="02E133F8"/>
    <w:rsid w:val="02E5D36B"/>
    <w:rsid w:val="02ED0061"/>
    <w:rsid w:val="02F56894"/>
    <w:rsid w:val="030970CF"/>
    <w:rsid w:val="031265B0"/>
    <w:rsid w:val="0313C898"/>
    <w:rsid w:val="0318DB40"/>
    <w:rsid w:val="031B33EE"/>
    <w:rsid w:val="031FFE8D"/>
    <w:rsid w:val="0323B5B4"/>
    <w:rsid w:val="032BBFE7"/>
    <w:rsid w:val="03336623"/>
    <w:rsid w:val="033602A4"/>
    <w:rsid w:val="03379517"/>
    <w:rsid w:val="033871C6"/>
    <w:rsid w:val="033D705F"/>
    <w:rsid w:val="0344DEE2"/>
    <w:rsid w:val="034B9D55"/>
    <w:rsid w:val="0352054B"/>
    <w:rsid w:val="0353FFFB"/>
    <w:rsid w:val="03581F52"/>
    <w:rsid w:val="035DBC46"/>
    <w:rsid w:val="035E0C36"/>
    <w:rsid w:val="035F2A1D"/>
    <w:rsid w:val="03642BDA"/>
    <w:rsid w:val="03679FAC"/>
    <w:rsid w:val="0367ADCE"/>
    <w:rsid w:val="036E0811"/>
    <w:rsid w:val="0371DACA"/>
    <w:rsid w:val="0377A7F5"/>
    <w:rsid w:val="03782EA6"/>
    <w:rsid w:val="037BE319"/>
    <w:rsid w:val="037D94B1"/>
    <w:rsid w:val="038CB049"/>
    <w:rsid w:val="039112EE"/>
    <w:rsid w:val="0391FB5F"/>
    <w:rsid w:val="039212B9"/>
    <w:rsid w:val="039460C2"/>
    <w:rsid w:val="03963AE6"/>
    <w:rsid w:val="039A21A5"/>
    <w:rsid w:val="03A06278"/>
    <w:rsid w:val="03A78276"/>
    <w:rsid w:val="03A7E3D0"/>
    <w:rsid w:val="03B7C340"/>
    <w:rsid w:val="03C0F8D2"/>
    <w:rsid w:val="03C36F8C"/>
    <w:rsid w:val="03C81766"/>
    <w:rsid w:val="03C9C58F"/>
    <w:rsid w:val="03C9F3E0"/>
    <w:rsid w:val="03D55841"/>
    <w:rsid w:val="03DE5DDF"/>
    <w:rsid w:val="03E0EBD9"/>
    <w:rsid w:val="03E1DBA0"/>
    <w:rsid w:val="03E955A8"/>
    <w:rsid w:val="03E9CDB9"/>
    <w:rsid w:val="03EFD775"/>
    <w:rsid w:val="03F04B43"/>
    <w:rsid w:val="03F25A44"/>
    <w:rsid w:val="03F58568"/>
    <w:rsid w:val="03F99419"/>
    <w:rsid w:val="0405C947"/>
    <w:rsid w:val="0410CA12"/>
    <w:rsid w:val="04120532"/>
    <w:rsid w:val="0418BDEA"/>
    <w:rsid w:val="041C2600"/>
    <w:rsid w:val="043C9B69"/>
    <w:rsid w:val="0443FA79"/>
    <w:rsid w:val="0458E6DA"/>
    <w:rsid w:val="045AC3AE"/>
    <w:rsid w:val="0460826F"/>
    <w:rsid w:val="04689922"/>
    <w:rsid w:val="046ECAAC"/>
    <w:rsid w:val="046F0A34"/>
    <w:rsid w:val="04799F92"/>
    <w:rsid w:val="047B805A"/>
    <w:rsid w:val="047CD5FD"/>
    <w:rsid w:val="047F2F04"/>
    <w:rsid w:val="047F96D1"/>
    <w:rsid w:val="04857224"/>
    <w:rsid w:val="04940C68"/>
    <w:rsid w:val="04A03E35"/>
    <w:rsid w:val="04A27F57"/>
    <w:rsid w:val="04A98F0D"/>
    <w:rsid w:val="04B7327F"/>
    <w:rsid w:val="04B75CA1"/>
    <w:rsid w:val="04B987B0"/>
    <w:rsid w:val="04B9E54F"/>
    <w:rsid w:val="04BC8CAE"/>
    <w:rsid w:val="04C29525"/>
    <w:rsid w:val="04C99218"/>
    <w:rsid w:val="04D39444"/>
    <w:rsid w:val="04D73154"/>
    <w:rsid w:val="04DB3755"/>
    <w:rsid w:val="04E352E6"/>
    <w:rsid w:val="04E6F203"/>
    <w:rsid w:val="04E70F1D"/>
    <w:rsid w:val="04E91ACE"/>
    <w:rsid w:val="04E9A899"/>
    <w:rsid w:val="04EB6427"/>
    <w:rsid w:val="04F64009"/>
    <w:rsid w:val="0515B3AA"/>
    <w:rsid w:val="05185A7B"/>
    <w:rsid w:val="051EEA78"/>
    <w:rsid w:val="051F8170"/>
    <w:rsid w:val="0521751E"/>
    <w:rsid w:val="052330CB"/>
    <w:rsid w:val="052F56CE"/>
    <w:rsid w:val="05307F1C"/>
    <w:rsid w:val="0532B2A5"/>
    <w:rsid w:val="05382B24"/>
    <w:rsid w:val="053B7A5F"/>
    <w:rsid w:val="054122AC"/>
    <w:rsid w:val="05429581"/>
    <w:rsid w:val="054CF162"/>
    <w:rsid w:val="05546BD6"/>
    <w:rsid w:val="0569243A"/>
    <w:rsid w:val="0571C267"/>
    <w:rsid w:val="0577E50A"/>
    <w:rsid w:val="057B43F9"/>
    <w:rsid w:val="0588DE00"/>
    <w:rsid w:val="058E2AA5"/>
    <w:rsid w:val="0590A717"/>
    <w:rsid w:val="0595647A"/>
    <w:rsid w:val="0597F2C4"/>
    <w:rsid w:val="059ECE04"/>
    <w:rsid w:val="05A4FEB7"/>
    <w:rsid w:val="05C5F53C"/>
    <w:rsid w:val="05C6A437"/>
    <w:rsid w:val="05D75A9D"/>
    <w:rsid w:val="05DD340B"/>
    <w:rsid w:val="05DD4E70"/>
    <w:rsid w:val="05E3B60F"/>
    <w:rsid w:val="05E6EBA3"/>
    <w:rsid w:val="05E7B2A4"/>
    <w:rsid w:val="05F2D066"/>
    <w:rsid w:val="05FCF571"/>
    <w:rsid w:val="05FECC3C"/>
    <w:rsid w:val="060039D6"/>
    <w:rsid w:val="06022029"/>
    <w:rsid w:val="0606EA2C"/>
    <w:rsid w:val="06134545"/>
    <w:rsid w:val="061DA12A"/>
    <w:rsid w:val="0632997D"/>
    <w:rsid w:val="0638D038"/>
    <w:rsid w:val="063A9027"/>
    <w:rsid w:val="063F93C0"/>
    <w:rsid w:val="06461126"/>
    <w:rsid w:val="0648D148"/>
    <w:rsid w:val="06492B64"/>
    <w:rsid w:val="06569BAA"/>
    <w:rsid w:val="0665EAFD"/>
    <w:rsid w:val="0668565C"/>
    <w:rsid w:val="066C9A35"/>
    <w:rsid w:val="06751121"/>
    <w:rsid w:val="067A9D55"/>
    <w:rsid w:val="067BEF37"/>
    <w:rsid w:val="0694937C"/>
    <w:rsid w:val="069529B6"/>
    <w:rsid w:val="06963432"/>
    <w:rsid w:val="0697FE85"/>
    <w:rsid w:val="069A165F"/>
    <w:rsid w:val="069A8F2F"/>
    <w:rsid w:val="069D2FA7"/>
    <w:rsid w:val="06A5C420"/>
    <w:rsid w:val="06AD7057"/>
    <w:rsid w:val="06AE7E5F"/>
    <w:rsid w:val="06B23347"/>
    <w:rsid w:val="06BF21B2"/>
    <w:rsid w:val="06CD5ACC"/>
    <w:rsid w:val="06D051F0"/>
    <w:rsid w:val="06D2BC89"/>
    <w:rsid w:val="06D6CC69"/>
    <w:rsid w:val="06D755CD"/>
    <w:rsid w:val="06DAA6C5"/>
    <w:rsid w:val="06DEC79A"/>
    <w:rsid w:val="06EA3D13"/>
    <w:rsid w:val="06EAD0B2"/>
    <w:rsid w:val="06EB4089"/>
    <w:rsid w:val="06F3525D"/>
    <w:rsid w:val="06F60ACC"/>
    <w:rsid w:val="07042D2A"/>
    <w:rsid w:val="0704504F"/>
    <w:rsid w:val="071CF3C6"/>
    <w:rsid w:val="07209AB7"/>
    <w:rsid w:val="0723BBD3"/>
    <w:rsid w:val="072FED98"/>
    <w:rsid w:val="07302575"/>
    <w:rsid w:val="0736E858"/>
    <w:rsid w:val="073A9E65"/>
    <w:rsid w:val="073CE9EC"/>
    <w:rsid w:val="073DBAA5"/>
    <w:rsid w:val="0744E92C"/>
    <w:rsid w:val="07507DE1"/>
    <w:rsid w:val="07518966"/>
    <w:rsid w:val="0754C40E"/>
    <w:rsid w:val="0757CF90"/>
    <w:rsid w:val="075BC05B"/>
    <w:rsid w:val="075ED2E5"/>
    <w:rsid w:val="0762BA54"/>
    <w:rsid w:val="0764EBDE"/>
    <w:rsid w:val="0764ECD6"/>
    <w:rsid w:val="077149A9"/>
    <w:rsid w:val="0777D5C2"/>
    <w:rsid w:val="077F6633"/>
    <w:rsid w:val="07810E1A"/>
    <w:rsid w:val="07897752"/>
    <w:rsid w:val="078ADDD4"/>
    <w:rsid w:val="0792CA3E"/>
    <w:rsid w:val="079F4875"/>
    <w:rsid w:val="07A6C65F"/>
    <w:rsid w:val="07AF9050"/>
    <w:rsid w:val="07B030C1"/>
    <w:rsid w:val="07B476BF"/>
    <w:rsid w:val="07B696D1"/>
    <w:rsid w:val="07BAB042"/>
    <w:rsid w:val="07C6D01B"/>
    <w:rsid w:val="07CC8960"/>
    <w:rsid w:val="07F1483E"/>
    <w:rsid w:val="07F37D47"/>
    <w:rsid w:val="080261F2"/>
    <w:rsid w:val="0808AAB7"/>
    <w:rsid w:val="080A8011"/>
    <w:rsid w:val="080DDDFD"/>
    <w:rsid w:val="0810DA3B"/>
    <w:rsid w:val="081BDA7E"/>
    <w:rsid w:val="081DAA6C"/>
    <w:rsid w:val="08240412"/>
    <w:rsid w:val="082517F8"/>
    <w:rsid w:val="082BD01E"/>
    <w:rsid w:val="083A5E69"/>
    <w:rsid w:val="083FF3BA"/>
    <w:rsid w:val="0843BA31"/>
    <w:rsid w:val="08489252"/>
    <w:rsid w:val="085C8D27"/>
    <w:rsid w:val="0867D1E5"/>
    <w:rsid w:val="086FC514"/>
    <w:rsid w:val="087091CD"/>
    <w:rsid w:val="08793D4A"/>
    <w:rsid w:val="087F2487"/>
    <w:rsid w:val="08807892"/>
    <w:rsid w:val="088A1C70"/>
    <w:rsid w:val="0892ED92"/>
    <w:rsid w:val="08953887"/>
    <w:rsid w:val="0899604B"/>
    <w:rsid w:val="089A0E04"/>
    <w:rsid w:val="089C12C6"/>
    <w:rsid w:val="08A020B0"/>
    <w:rsid w:val="08A342D2"/>
    <w:rsid w:val="08AB9E49"/>
    <w:rsid w:val="08ABB4A5"/>
    <w:rsid w:val="08B19007"/>
    <w:rsid w:val="08B709F4"/>
    <w:rsid w:val="08B9B164"/>
    <w:rsid w:val="08BCCF47"/>
    <w:rsid w:val="08C03F7D"/>
    <w:rsid w:val="08C557C5"/>
    <w:rsid w:val="08CCA088"/>
    <w:rsid w:val="08D3C848"/>
    <w:rsid w:val="08D7B5B6"/>
    <w:rsid w:val="08DE5C4C"/>
    <w:rsid w:val="08E47FDC"/>
    <w:rsid w:val="08E4D578"/>
    <w:rsid w:val="08EB280A"/>
    <w:rsid w:val="08F3A7AB"/>
    <w:rsid w:val="08F4EC15"/>
    <w:rsid w:val="08F7390B"/>
    <w:rsid w:val="0900DECB"/>
    <w:rsid w:val="0906C915"/>
    <w:rsid w:val="0906FA3E"/>
    <w:rsid w:val="0907817C"/>
    <w:rsid w:val="0909668D"/>
    <w:rsid w:val="09102058"/>
    <w:rsid w:val="091A501A"/>
    <w:rsid w:val="091E4468"/>
    <w:rsid w:val="0928620D"/>
    <w:rsid w:val="092A92EF"/>
    <w:rsid w:val="0933B18E"/>
    <w:rsid w:val="0934B1B6"/>
    <w:rsid w:val="09364B1A"/>
    <w:rsid w:val="09364BF6"/>
    <w:rsid w:val="093BE7A1"/>
    <w:rsid w:val="093C2A7B"/>
    <w:rsid w:val="093DBE50"/>
    <w:rsid w:val="0940E51A"/>
    <w:rsid w:val="094C69CF"/>
    <w:rsid w:val="095B107C"/>
    <w:rsid w:val="0965325F"/>
    <w:rsid w:val="096747CF"/>
    <w:rsid w:val="0968279E"/>
    <w:rsid w:val="09686449"/>
    <w:rsid w:val="09699EDB"/>
    <w:rsid w:val="096A0D9D"/>
    <w:rsid w:val="098AA3A2"/>
    <w:rsid w:val="098AC88C"/>
    <w:rsid w:val="098DC50B"/>
    <w:rsid w:val="099E71D2"/>
    <w:rsid w:val="09A34FA0"/>
    <w:rsid w:val="09A4E709"/>
    <w:rsid w:val="09A4F0C1"/>
    <w:rsid w:val="09A5C4D5"/>
    <w:rsid w:val="09B7847E"/>
    <w:rsid w:val="09B89E0F"/>
    <w:rsid w:val="09C4EBE9"/>
    <w:rsid w:val="09C8A7AF"/>
    <w:rsid w:val="09C9EE45"/>
    <w:rsid w:val="09CDEB59"/>
    <w:rsid w:val="09D0FFAF"/>
    <w:rsid w:val="09D95EA1"/>
    <w:rsid w:val="09DAF8B3"/>
    <w:rsid w:val="09E11C4E"/>
    <w:rsid w:val="09E7476D"/>
    <w:rsid w:val="09EC68E2"/>
    <w:rsid w:val="09F006A7"/>
    <w:rsid w:val="09F4160D"/>
    <w:rsid w:val="09F671ED"/>
    <w:rsid w:val="09FB1520"/>
    <w:rsid w:val="09FCBB6C"/>
    <w:rsid w:val="09FF36D4"/>
    <w:rsid w:val="0A0003F5"/>
    <w:rsid w:val="0A05728A"/>
    <w:rsid w:val="0A07E867"/>
    <w:rsid w:val="0A090D45"/>
    <w:rsid w:val="0A14EA6E"/>
    <w:rsid w:val="0A1A428D"/>
    <w:rsid w:val="0A2031DB"/>
    <w:rsid w:val="0A254237"/>
    <w:rsid w:val="0A2B367E"/>
    <w:rsid w:val="0A2B8A98"/>
    <w:rsid w:val="0A2E6F45"/>
    <w:rsid w:val="0A44DA10"/>
    <w:rsid w:val="0A45965B"/>
    <w:rsid w:val="0A52C6C6"/>
    <w:rsid w:val="0A5AD058"/>
    <w:rsid w:val="0A605788"/>
    <w:rsid w:val="0A667218"/>
    <w:rsid w:val="0A6715B3"/>
    <w:rsid w:val="0A6DF7C3"/>
    <w:rsid w:val="0A74E6DD"/>
    <w:rsid w:val="0A80ED8E"/>
    <w:rsid w:val="0A8C14E1"/>
    <w:rsid w:val="0A8F16FA"/>
    <w:rsid w:val="0A92D6F7"/>
    <w:rsid w:val="0A96933B"/>
    <w:rsid w:val="0AA00CDC"/>
    <w:rsid w:val="0AA2D478"/>
    <w:rsid w:val="0AA8A75B"/>
    <w:rsid w:val="0AA9279E"/>
    <w:rsid w:val="0AAB7BED"/>
    <w:rsid w:val="0AB29620"/>
    <w:rsid w:val="0AB555D8"/>
    <w:rsid w:val="0AB63AD0"/>
    <w:rsid w:val="0AB94D3F"/>
    <w:rsid w:val="0ABA0BB7"/>
    <w:rsid w:val="0ABC18E5"/>
    <w:rsid w:val="0AC1AC91"/>
    <w:rsid w:val="0ACA9608"/>
    <w:rsid w:val="0AD7FADC"/>
    <w:rsid w:val="0AE02238"/>
    <w:rsid w:val="0AE977FE"/>
    <w:rsid w:val="0AEBB037"/>
    <w:rsid w:val="0AF2A582"/>
    <w:rsid w:val="0AF4C237"/>
    <w:rsid w:val="0AF63670"/>
    <w:rsid w:val="0AF865CF"/>
    <w:rsid w:val="0AFE70DD"/>
    <w:rsid w:val="0B0936A6"/>
    <w:rsid w:val="0B11DCD8"/>
    <w:rsid w:val="0B1EA607"/>
    <w:rsid w:val="0B1F8B8A"/>
    <w:rsid w:val="0B25A5AE"/>
    <w:rsid w:val="0B2AC49B"/>
    <w:rsid w:val="0B356A28"/>
    <w:rsid w:val="0B380C0A"/>
    <w:rsid w:val="0B3B7F5B"/>
    <w:rsid w:val="0B42DED2"/>
    <w:rsid w:val="0B46CB3A"/>
    <w:rsid w:val="0B4793AF"/>
    <w:rsid w:val="0B4A104E"/>
    <w:rsid w:val="0B5E21A1"/>
    <w:rsid w:val="0B63048D"/>
    <w:rsid w:val="0B68ABC6"/>
    <w:rsid w:val="0B6C403D"/>
    <w:rsid w:val="0B7D8542"/>
    <w:rsid w:val="0B7DE06C"/>
    <w:rsid w:val="0B80D91C"/>
    <w:rsid w:val="0B850F80"/>
    <w:rsid w:val="0B909137"/>
    <w:rsid w:val="0B951D43"/>
    <w:rsid w:val="0B9C23A9"/>
    <w:rsid w:val="0B9F72A7"/>
    <w:rsid w:val="0BA29C11"/>
    <w:rsid w:val="0BAD1826"/>
    <w:rsid w:val="0BB1715D"/>
    <w:rsid w:val="0BB754E8"/>
    <w:rsid w:val="0BBFF19D"/>
    <w:rsid w:val="0BC02B5F"/>
    <w:rsid w:val="0BC695D5"/>
    <w:rsid w:val="0BC85D18"/>
    <w:rsid w:val="0BCA3FA6"/>
    <w:rsid w:val="0BCD1B5C"/>
    <w:rsid w:val="0BCE0B33"/>
    <w:rsid w:val="0BCE323E"/>
    <w:rsid w:val="0BD20449"/>
    <w:rsid w:val="0BD8361E"/>
    <w:rsid w:val="0BDE1666"/>
    <w:rsid w:val="0BEA4B95"/>
    <w:rsid w:val="0BEEAE37"/>
    <w:rsid w:val="0BF43066"/>
    <w:rsid w:val="0BFF65B8"/>
    <w:rsid w:val="0C01984B"/>
    <w:rsid w:val="0C02EAEF"/>
    <w:rsid w:val="0C02FDDA"/>
    <w:rsid w:val="0C0600A8"/>
    <w:rsid w:val="0C0913F3"/>
    <w:rsid w:val="0C18B6E8"/>
    <w:rsid w:val="0C1BBCF8"/>
    <w:rsid w:val="0C291A7A"/>
    <w:rsid w:val="0C29DF9B"/>
    <w:rsid w:val="0C2AC2B7"/>
    <w:rsid w:val="0C34F4D3"/>
    <w:rsid w:val="0C35F719"/>
    <w:rsid w:val="0C37F8B6"/>
    <w:rsid w:val="0C3A7FBD"/>
    <w:rsid w:val="0C4027C7"/>
    <w:rsid w:val="0C45A350"/>
    <w:rsid w:val="0C47ECB0"/>
    <w:rsid w:val="0C49BD7A"/>
    <w:rsid w:val="0C5EA26F"/>
    <w:rsid w:val="0C62B479"/>
    <w:rsid w:val="0C663894"/>
    <w:rsid w:val="0C66AA4C"/>
    <w:rsid w:val="0C6B9419"/>
    <w:rsid w:val="0C6E2E59"/>
    <w:rsid w:val="0C73CB3D"/>
    <w:rsid w:val="0C7F63BE"/>
    <w:rsid w:val="0C89ABE4"/>
    <w:rsid w:val="0C9A8DCD"/>
    <w:rsid w:val="0CA4DD0C"/>
    <w:rsid w:val="0CAA14C8"/>
    <w:rsid w:val="0CB25628"/>
    <w:rsid w:val="0CB5E2C0"/>
    <w:rsid w:val="0CB5FF8F"/>
    <w:rsid w:val="0CB763E6"/>
    <w:rsid w:val="0CC68576"/>
    <w:rsid w:val="0CC91B50"/>
    <w:rsid w:val="0CCCA155"/>
    <w:rsid w:val="0CCE05C0"/>
    <w:rsid w:val="0CD1D4E1"/>
    <w:rsid w:val="0CD2E354"/>
    <w:rsid w:val="0CD3CD2B"/>
    <w:rsid w:val="0CD8714A"/>
    <w:rsid w:val="0CDA4869"/>
    <w:rsid w:val="0CDA5C61"/>
    <w:rsid w:val="0CDC87CB"/>
    <w:rsid w:val="0CE08EB3"/>
    <w:rsid w:val="0CE60F35"/>
    <w:rsid w:val="0CEEDAB5"/>
    <w:rsid w:val="0CF1D773"/>
    <w:rsid w:val="0CF51CCD"/>
    <w:rsid w:val="0D0571F1"/>
    <w:rsid w:val="0D081ACC"/>
    <w:rsid w:val="0D088578"/>
    <w:rsid w:val="0D0B2DDF"/>
    <w:rsid w:val="0D1768A1"/>
    <w:rsid w:val="0D1A9FF1"/>
    <w:rsid w:val="0D1FB554"/>
    <w:rsid w:val="0D274D6E"/>
    <w:rsid w:val="0D284BA1"/>
    <w:rsid w:val="0D366549"/>
    <w:rsid w:val="0D3B4308"/>
    <w:rsid w:val="0D3E8B72"/>
    <w:rsid w:val="0D3EE66B"/>
    <w:rsid w:val="0D3EFC27"/>
    <w:rsid w:val="0D3F9374"/>
    <w:rsid w:val="0D407C3B"/>
    <w:rsid w:val="0D4451AA"/>
    <w:rsid w:val="0D449366"/>
    <w:rsid w:val="0D48F8E0"/>
    <w:rsid w:val="0D4999DD"/>
    <w:rsid w:val="0D4C0301"/>
    <w:rsid w:val="0D50DBC5"/>
    <w:rsid w:val="0D55FEA7"/>
    <w:rsid w:val="0D5697ED"/>
    <w:rsid w:val="0D58F611"/>
    <w:rsid w:val="0D594E24"/>
    <w:rsid w:val="0D62AC39"/>
    <w:rsid w:val="0D662B0C"/>
    <w:rsid w:val="0D6811FB"/>
    <w:rsid w:val="0D6B8717"/>
    <w:rsid w:val="0D6CD675"/>
    <w:rsid w:val="0D7391D3"/>
    <w:rsid w:val="0D777847"/>
    <w:rsid w:val="0D77DC47"/>
    <w:rsid w:val="0D91389D"/>
    <w:rsid w:val="0D9E4F16"/>
    <w:rsid w:val="0D9EB675"/>
    <w:rsid w:val="0DA5E819"/>
    <w:rsid w:val="0DA7308C"/>
    <w:rsid w:val="0DA9DCAD"/>
    <w:rsid w:val="0DAB1E5A"/>
    <w:rsid w:val="0DBAF97E"/>
    <w:rsid w:val="0DBCED95"/>
    <w:rsid w:val="0DC4A84A"/>
    <w:rsid w:val="0DD49721"/>
    <w:rsid w:val="0DD544F1"/>
    <w:rsid w:val="0DD5EB2D"/>
    <w:rsid w:val="0DE0C860"/>
    <w:rsid w:val="0DE2272B"/>
    <w:rsid w:val="0DE2C274"/>
    <w:rsid w:val="0DE71D50"/>
    <w:rsid w:val="0DEAABA8"/>
    <w:rsid w:val="0DF3B9A7"/>
    <w:rsid w:val="0DF6C438"/>
    <w:rsid w:val="0E09DE21"/>
    <w:rsid w:val="0E0E2D25"/>
    <w:rsid w:val="0E14D19A"/>
    <w:rsid w:val="0E19DDF1"/>
    <w:rsid w:val="0E1A059C"/>
    <w:rsid w:val="0E1FEAAA"/>
    <w:rsid w:val="0E217898"/>
    <w:rsid w:val="0E29759D"/>
    <w:rsid w:val="0E2CC188"/>
    <w:rsid w:val="0E4132B3"/>
    <w:rsid w:val="0E4534E1"/>
    <w:rsid w:val="0E4D319C"/>
    <w:rsid w:val="0E50FBD3"/>
    <w:rsid w:val="0E55D70C"/>
    <w:rsid w:val="0E5A74B9"/>
    <w:rsid w:val="0E6155FB"/>
    <w:rsid w:val="0E6526EC"/>
    <w:rsid w:val="0E6564D2"/>
    <w:rsid w:val="0E718469"/>
    <w:rsid w:val="0E766927"/>
    <w:rsid w:val="0E774598"/>
    <w:rsid w:val="0E7CA4B0"/>
    <w:rsid w:val="0E83CB9E"/>
    <w:rsid w:val="0E843114"/>
    <w:rsid w:val="0E85EFAE"/>
    <w:rsid w:val="0E90CD97"/>
    <w:rsid w:val="0E92D794"/>
    <w:rsid w:val="0E994C51"/>
    <w:rsid w:val="0EA26A32"/>
    <w:rsid w:val="0EA329F1"/>
    <w:rsid w:val="0EA342CF"/>
    <w:rsid w:val="0EAB49FB"/>
    <w:rsid w:val="0EB142A8"/>
    <w:rsid w:val="0EB4F679"/>
    <w:rsid w:val="0EBE2819"/>
    <w:rsid w:val="0EC7DDF5"/>
    <w:rsid w:val="0ED235AA"/>
    <w:rsid w:val="0EDC4C9C"/>
    <w:rsid w:val="0EDEEE03"/>
    <w:rsid w:val="0EEB8828"/>
    <w:rsid w:val="0EEE3B3D"/>
    <w:rsid w:val="0EFA39D8"/>
    <w:rsid w:val="0EFAAF73"/>
    <w:rsid w:val="0F09AF6D"/>
    <w:rsid w:val="0F0AB44E"/>
    <w:rsid w:val="0F0FC6DB"/>
    <w:rsid w:val="0F1338A2"/>
    <w:rsid w:val="0F13CEF8"/>
    <w:rsid w:val="0F1937A0"/>
    <w:rsid w:val="0F19F67D"/>
    <w:rsid w:val="0F2C7C1C"/>
    <w:rsid w:val="0F2D4E21"/>
    <w:rsid w:val="0F2EF799"/>
    <w:rsid w:val="0F2F0E2B"/>
    <w:rsid w:val="0F330A47"/>
    <w:rsid w:val="0F4A0B99"/>
    <w:rsid w:val="0F4C01FA"/>
    <w:rsid w:val="0F4CBB05"/>
    <w:rsid w:val="0F4D9DD0"/>
    <w:rsid w:val="0F5337A9"/>
    <w:rsid w:val="0F5532A9"/>
    <w:rsid w:val="0F62C334"/>
    <w:rsid w:val="0F63C7CF"/>
    <w:rsid w:val="0F66B0F6"/>
    <w:rsid w:val="0F6DDF98"/>
    <w:rsid w:val="0F726220"/>
    <w:rsid w:val="0F826A8C"/>
    <w:rsid w:val="0F836DD0"/>
    <w:rsid w:val="0F867C09"/>
    <w:rsid w:val="0F9A6E03"/>
    <w:rsid w:val="0F9D7E17"/>
    <w:rsid w:val="0FA7DFE8"/>
    <w:rsid w:val="0FAEFAAB"/>
    <w:rsid w:val="0FB1DAEC"/>
    <w:rsid w:val="0FB221B5"/>
    <w:rsid w:val="0FB4019E"/>
    <w:rsid w:val="0FB700A6"/>
    <w:rsid w:val="0FCA9785"/>
    <w:rsid w:val="0FCFE5C3"/>
    <w:rsid w:val="0FD03795"/>
    <w:rsid w:val="0FD8D62F"/>
    <w:rsid w:val="0FDFC866"/>
    <w:rsid w:val="0FE960B3"/>
    <w:rsid w:val="0FECA9A1"/>
    <w:rsid w:val="0FF162D8"/>
    <w:rsid w:val="10009BA7"/>
    <w:rsid w:val="1002D2F2"/>
    <w:rsid w:val="10054C73"/>
    <w:rsid w:val="10085351"/>
    <w:rsid w:val="10098261"/>
    <w:rsid w:val="100B78F1"/>
    <w:rsid w:val="1010120C"/>
    <w:rsid w:val="1010739F"/>
    <w:rsid w:val="1012674D"/>
    <w:rsid w:val="101294F6"/>
    <w:rsid w:val="101A53D5"/>
    <w:rsid w:val="102504D2"/>
    <w:rsid w:val="102A84AD"/>
    <w:rsid w:val="102CA0E9"/>
    <w:rsid w:val="102EA7F5"/>
    <w:rsid w:val="102FCA75"/>
    <w:rsid w:val="10328303"/>
    <w:rsid w:val="104950A2"/>
    <w:rsid w:val="1054DDAE"/>
    <w:rsid w:val="1055CBDD"/>
    <w:rsid w:val="105C26C8"/>
    <w:rsid w:val="1061B52D"/>
    <w:rsid w:val="10679444"/>
    <w:rsid w:val="106B3351"/>
    <w:rsid w:val="106C8197"/>
    <w:rsid w:val="10720444"/>
    <w:rsid w:val="1075D428"/>
    <w:rsid w:val="107694AF"/>
    <w:rsid w:val="107FAC0D"/>
    <w:rsid w:val="10837735"/>
    <w:rsid w:val="1089B321"/>
    <w:rsid w:val="1095BFF7"/>
    <w:rsid w:val="109E09DA"/>
    <w:rsid w:val="10A1C5C9"/>
    <w:rsid w:val="10AB3295"/>
    <w:rsid w:val="10AC2F50"/>
    <w:rsid w:val="10B2376C"/>
    <w:rsid w:val="10B52246"/>
    <w:rsid w:val="10B5EF46"/>
    <w:rsid w:val="10B81364"/>
    <w:rsid w:val="10C5E2E9"/>
    <w:rsid w:val="10D33F6E"/>
    <w:rsid w:val="10D96E59"/>
    <w:rsid w:val="10F5D604"/>
    <w:rsid w:val="11083FA3"/>
    <w:rsid w:val="111637A9"/>
    <w:rsid w:val="11186922"/>
    <w:rsid w:val="11191971"/>
    <w:rsid w:val="112942D1"/>
    <w:rsid w:val="11325819"/>
    <w:rsid w:val="113C78F5"/>
    <w:rsid w:val="113E9284"/>
    <w:rsid w:val="1140A0AE"/>
    <w:rsid w:val="11450499"/>
    <w:rsid w:val="1146CC64"/>
    <w:rsid w:val="11473C60"/>
    <w:rsid w:val="114A0F26"/>
    <w:rsid w:val="114CD853"/>
    <w:rsid w:val="115FF39C"/>
    <w:rsid w:val="116006B6"/>
    <w:rsid w:val="1163C21D"/>
    <w:rsid w:val="116F367E"/>
    <w:rsid w:val="117001C2"/>
    <w:rsid w:val="117066DE"/>
    <w:rsid w:val="11812E93"/>
    <w:rsid w:val="11855C0F"/>
    <w:rsid w:val="1194142B"/>
    <w:rsid w:val="11A1BA53"/>
    <w:rsid w:val="11A385AD"/>
    <w:rsid w:val="11A99467"/>
    <w:rsid w:val="11AD7F6A"/>
    <w:rsid w:val="11B30D03"/>
    <w:rsid w:val="11B413B0"/>
    <w:rsid w:val="11B4C81A"/>
    <w:rsid w:val="11B5FE0E"/>
    <w:rsid w:val="11B8C6E2"/>
    <w:rsid w:val="11BEEB87"/>
    <w:rsid w:val="11C0AF31"/>
    <w:rsid w:val="11CA7856"/>
    <w:rsid w:val="11D7EB54"/>
    <w:rsid w:val="11F0829C"/>
    <w:rsid w:val="11F5EF54"/>
    <w:rsid w:val="11FEE5FF"/>
    <w:rsid w:val="1208288D"/>
    <w:rsid w:val="120ED13A"/>
    <w:rsid w:val="12130497"/>
    <w:rsid w:val="1215E3A0"/>
    <w:rsid w:val="121612AB"/>
    <w:rsid w:val="1219C681"/>
    <w:rsid w:val="1222C86B"/>
    <w:rsid w:val="1222E5F7"/>
    <w:rsid w:val="12238082"/>
    <w:rsid w:val="1239144D"/>
    <w:rsid w:val="123E5EB4"/>
    <w:rsid w:val="1241B394"/>
    <w:rsid w:val="12564947"/>
    <w:rsid w:val="125BA1E1"/>
    <w:rsid w:val="126282F3"/>
    <w:rsid w:val="12647F12"/>
    <w:rsid w:val="1272144C"/>
    <w:rsid w:val="127A647C"/>
    <w:rsid w:val="127B70CE"/>
    <w:rsid w:val="1282A379"/>
    <w:rsid w:val="128EDC90"/>
    <w:rsid w:val="1299211F"/>
    <w:rsid w:val="12A1C0E0"/>
    <w:rsid w:val="12A80844"/>
    <w:rsid w:val="12B3DF44"/>
    <w:rsid w:val="12C7AC9D"/>
    <w:rsid w:val="12C8D6F9"/>
    <w:rsid w:val="12CEB64F"/>
    <w:rsid w:val="12D1332E"/>
    <w:rsid w:val="12D7FA23"/>
    <w:rsid w:val="12DE576B"/>
    <w:rsid w:val="12E4FCE7"/>
    <w:rsid w:val="12F6D989"/>
    <w:rsid w:val="12FB096E"/>
    <w:rsid w:val="130100E9"/>
    <w:rsid w:val="1304136E"/>
    <w:rsid w:val="1307AF7A"/>
    <w:rsid w:val="130D4AA9"/>
    <w:rsid w:val="13133DEE"/>
    <w:rsid w:val="131E899C"/>
    <w:rsid w:val="131ED88A"/>
    <w:rsid w:val="133285A4"/>
    <w:rsid w:val="133890A9"/>
    <w:rsid w:val="133F560E"/>
    <w:rsid w:val="134CD0D1"/>
    <w:rsid w:val="134E1CEE"/>
    <w:rsid w:val="135489FB"/>
    <w:rsid w:val="13577480"/>
    <w:rsid w:val="135BE0EA"/>
    <w:rsid w:val="135FA2EA"/>
    <w:rsid w:val="1360A6BE"/>
    <w:rsid w:val="1367B6EA"/>
    <w:rsid w:val="13681A26"/>
    <w:rsid w:val="1369F6B4"/>
    <w:rsid w:val="136D8ADD"/>
    <w:rsid w:val="13756F4E"/>
    <w:rsid w:val="13813CD4"/>
    <w:rsid w:val="139E9218"/>
    <w:rsid w:val="13A0CA8A"/>
    <w:rsid w:val="13A9AF29"/>
    <w:rsid w:val="13AA848C"/>
    <w:rsid w:val="13AF3C2E"/>
    <w:rsid w:val="13B35EF4"/>
    <w:rsid w:val="13B7325A"/>
    <w:rsid w:val="13B82180"/>
    <w:rsid w:val="13C2E1E8"/>
    <w:rsid w:val="13C6966A"/>
    <w:rsid w:val="13C831EB"/>
    <w:rsid w:val="13CA2000"/>
    <w:rsid w:val="13CB602D"/>
    <w:rsid w:val="13CD8782"/>
    <w:rsid w:val="13DF797E"/>
    <w:rsid w:val="13E10A87"/>
    <w:rsid w:val="13E590E2"/>
    <w:rsid w:val="13E8FF86"/>
    <w:rsid w:val="13EFE487"/>
    <w:rsid w:val="13F54D5E"/>
    <w:rsid w:val="13F84723"/>
    <w:rsid w:val="13F8EBCE"/>
    <w:rsid w:val="13FCFD6F"/>
    <w:rsid w:val="13FE2396"/>
    <w:rsid w:val="14101252"/>
    <w:rsid w:val="141C7652"/>
    <w:rsid w:val="142161B3"/>
    <w:rsid w:val="142E0E07"/>
    <w:rsid w:val="143090C1"/>
    <w:rsid w:val="1430B752"/>
    <w:rsid w:val="1430F6CE"/>
    <w:rsid w:val="143A7EF7"/>
    <w:rsid w:val="143C1E5F"/>
    <w:rsid w:val="14405913"/>
    <w:rsid w:val="14492AE2"/>
    <w:rsid w:val="14496E34"/>
    <w:rsid w:val="144C09EB"/>
    <w:rsid w:val="144C79E1"/>
    <w:rsid w:val="14503BEE"/>
    <w:rsid w:val="14545D5F"/>
    <w:rsid w:val="14555E21"/>
    <w:rsid w:val="1459A52B"/>
    <w:rsid w:val="145A5868"/>
    <w:rsid w:val="145EC66C"/>
    <w:rsid w:val="1462060D"/>
    <w:rsid w:val="14627598"/>
    <w:rsid w:val="14637CFE"/>
    <w:rsid w:val="146A86B0"/>
    <w:rsid w:val="1478793E"/>
    <w:rsid w:val="147AD206"/>
    <w:rsid w:val="147ADB53"/>
    <w:rsid w:val="14872A01"/>
    <w:rsid w:val="148C7271"/>
    <w:rsid w:val="1497AA0A"/>
    <w:rsid w:val="1499244B"/>
    <w:rsid w:val="149C7E45"/>
    <w:rsid w:val="14A3997F"/>
    <w:rsid w:val="14A5A7F4"/>
    <w:rsid w:val="14AEB170"/>
    <w:rsid w:val="14B1D45D"/>
    <w:rsid w:val="14B228C2"/>
    <w:rsid w:val="14B29848"/>
    <w:rsid w:val="14B2B1AC"/>
    <w:rsid w:val="14C35C96"/>
    <w:rsid w:val="14DA00BC"/>
    <w:rsid w:val="14DB7E0E"/>
    <w:rsid w:val="14ED305F"/>
    <w:rsid w:val="14F9D072"/>
    <w:rsid w:val="15023C70"/>
    <w:rsid w:val="15037D3D"/>
    <w:rsid w:val="151CD8FE"/>
    <w:rsid w:val="15229599"/>
    <w:rsid w:val="15284ED1"/>
    <w:rsid w:val="152BB893"/>
    <w:rsid w:val="153D95C1"/>
    <w:rsid w:val="1542BCBB"/>
    <w:rsid w:val="1546CFF7"/>
    <w:rsid w:val="154A6E67"/>
    <w:rsid w:val="154AA559"/>
    <w:rsid w:val="154F5B0E"/>
    <w:rsid w:val="15542398"/>
    <w:rsid w:val="1557BED7"/>
    <w:rsid w:val="155B8F4D"/>
    <w:rsid w:val="155C543F"/>
    <w:rsid w:val="1563333C"/>
    <w:rsid w:val="156A6F88"/>
    <w:rsid w:val="156DECFF"/>
    <w:rsid w:val="1583B565"/>
    <w:rsid w:val="1586A1F3"/>
    <w:rsid w:val="159D3C4F"/>
    <w:rsid w:val="15A25E80"/>
    <w:rsid w:val="15A659A5"/>
    <w:rsid w:val="15AD2C98"/>
    <w:rsid w:val="15B0F099"/>
    <w:rsid w:val="15B52C45"/>
    <w:rsid w:val="15C46707"/>
    <w:rsid w:val="15CCBECA"/>
    <w:rsid w:val="15CE2067"/>
    <w:rsid w:val="15D1ECA6"/>
    <w:rsid w:val="15D31671"/>
    <w:rsid w:val="15D34757"/>
    <w:rsid w:val="15D7C384"/>
    <w:rsid w:val="15DB5CA3"/>
    <w:rsid w:val="15DDA85E"/>
    <w:rsid w:val="15E2E79F"/>
    <w:rsid w:val="15E580FD"/>
    <w:rsid w:val="15E8F318"/>
    <w:rsid w:val="15FA2B3E"/>
    <w:rsid w:val="15FD9343"/>
    <w:rsid w:val="15FE6798"/>
    <w:rsid w:val="160149D3"/>
    <w:rsid w:val="1605C3F4"/>
    <w:rsid w:val="16077487"/>
    <w:rsid w:val="1607E042"/>
    <w:rsid w:val="160AE130"/>
    <w:rsid w:val="16127CF6"/>
    <w:rsid w:val="16158685"/>
    <w:rsid w:val="161F89BB"/>
    <w:rsid w:val="1622A821"/>
    <w:rsid w:val="162A5042"/>
    <w:rsid w:val="162E3895"/>
    <w:rsid w:val="163069B5"/>
    <w:rsid w:val="1637F9AF"/>
    <w:rsid w:val="1639D909"/>
    <w:rsid w:val="164170B4"/>
    <w:rsid w:val="164186F3"/>
    <w:rsid w:val="16433288"/>
    <w:rsid w:val="1648DF73"/>
    <w:rsid w:val="1655271A"/>
    <w:rsid w:val="1655DE92"/>
    <w:rsid w:val="1655F342"/>
    <w:rsid w:val="1667FA86"/>
    <w:rsid w:val="16686028"/>
    <w:rsid w:val="167240D9"/>
    <w:rsid w:val="1673BBED"/>
    <w:rsid w:val="167F2B70"/>
    <w:rsid w:val="1681D67A"/>
    <w:rsid w:val="16852CF5"/>
    <w:rsid w:val="1688076B"/>
    <w:rsid w:val="16891835"/>
    <w:rsid w:val="168E3CFD"/>
    <w:rsid w:val="1692879C"/>
    <w:rsid w:val="16A05D2B"/>
    <w:rsid w:val="16AAE07F"/>
    <w:rsid w:val="16AD778A"/>
    <w:rsid w:val="16AD7A77"/>
    <w:rsid w:val="16AF8F2F"/>
    <w:rsid w:val="16B0F550"/>
    <w:rsid w:val="16B3A1B2"/>
    <w:rsid w:val="16C3039C"/>
    <w:rsid w:val="16C797EC"/>
    <w:rsid w:val="16CD9434"/>
    <w:rsid w:val="16D328FC"/>
    <w:rsid w:val="16D87104"/>
    <w:rsid w:val="16EE272E"/>
    <w:rsid w:val="16F25667"/>
    <w:rsid w:val="16F37393"/>
    <w:rsid w:val="16FA95E8"/>
    <w:rsid w:val="16FFE0A8"/>
    <w:rsid w:val="1706046C"/>
    <w:rsid w:val="17095B09"/>
    <w:rsid w:val="1709DF05"/>
    <w:rsid w:val="170D9139"/>
    <w:rsid w:val="17112A68"/>
    <w:rsid w:val="17163364"/>
    <w:rsid w:val="171F9C84"/>
    <w:rsid w:val="17295F15"/>
    <w:rsid w:val="1729E859"/>
    <w:rsid w:val="17340799"/>
    <w:rsid w:val="173556DD"/>
    <w:rsid w:val="173B24E3"/>
    <w:rsid w:val="1744BDDD"/>
    <w:rsid w:val="174BD228"/>
    <w:rsid w:val="174CDA40"/>
    <w:rsid w:val="1752091F"/>
    <w:rsid w:val="175CC41E"/>
    <w:rsid w:val="177D5117"/>
    <w:rsid w:val="1782FD2E"/>
    <w:rsid w:val="1789CA21"/>
    <w:rsid w:val="17915B38"/>
    <w:rsid w:val="17925C54"/>
    <w:rsid w:val="1798AF14"/>
    <w:rsid w:val="1799A6CF"/>
    <w:rsid w:val="179A39EC"/>
    <w:rsid w:val="179C90D4"/>
    <w:rsid w:val="17A0FEE3"/>
    <w:rsid w:val="17A7613E"/>
    <w:rsid w:val="17BB911B"/>
    <w:rsid w:val="17C3926F"/>
    <w:rsid w:val="17CBF66B"/>
    <w:rsid w:val="17D9B55E"/>
    <w:rsid w:val="17E2E7EF"/>
    <w:rsid w:val="17E3E41A"/>
    <w:rsid w:val="17E401AD"/>
    <w:rsid w:val="17E4A836"/>
    <w:rsid w:val="17F7E010"/>
    <w:rsid w:val="17F8E51D"/>
    <w:rsid w:val="17F93FA2"/>
    <w:rsid w:val="17F99ED4"/>
    <w:rsid w:val="17FAEC58"/>
    <w:rsid w:val="17FD454A"/>
    <w:rsid w:val="180AB79D"/>
    <w:rsid w:val="180D0EB3"/>
    <w:rsid w:val="181A9C15"/>
    <w:rsid w:val="182731AE"/>
    <w:rsid w:val="1829C51C"/>
    <w:rsid w:val="183013C8"/>
    <w:rsid w:val="183168A8"/>
    <w:rsid w:val="1833272B"/>
    <w:rsid w:val="18340740"/>
    <w:rsid w:val="1848E071"/>
    <w:rsid w:val="1849EE01"/>
    <w:rsid w:val="18586AA0"/>
    <w:rsid w:val="185E4B3A"/>
    <w:rsid w:val="18650A5F"/>
    <w:rsid w:val="186CA111"/>
    <w:rsid w:val="18744159"/>
    <w:rsid w:val="1879C8F6"/>
    <w:rsid w:val="18879E5C"/>
    <w:rsid w:val="18890805"/>
    <w:rsid w:val="188D59FD"/>
    <w:rsid w:val="18A4835A"/>
    <w:rsid w:val="18A9D520"/>
    <w:rsid w:val="18AA2D4D"/>
    <w:rsid w:val="18BCE16E"/>
    <w:rsid w:val="18BD9EB1"/>
    <w:rsid w:val="18C49D79"/>
    <w:rsid w:val="18C6F1E3"/>
    <w:rsid w:val="18D217C2"/>
    <w:rsid w:val="18D4B123"/>
    <w:rsid w:val="18DBE9E9"/>
    <w:rsid w:val="18E2170B"/>
    <w:rsid w:val="18EA69D4"/>
    <w:rsid w:val="18EF3A46"/>
    <w:rsid w:val="18F76706"/>
    <w:rsid w:val="18FD5361"/>
    <w:rsid w:val="19017F6A"/>
    <w:rsid w:val="19049EC9"/>
    <w:rsid w:val="190B0AAA"/>
    <w:rsid w:val="192A054B"/>
    <w:rsid w:val="19319EF9"/>
    <w:rsid w:val="1932058F"/>
    <w:rsid w:val="1932378F"/>
    <w:rsid w:val="19330BA9"/>
    <w:rsid w:val="1938CF57"/>
    <w:rsid w:val="193B227C"/>
    <w:rsid w:val="193B670F"/>
    <w:rsid w:val="194BC500"/>
    <w:rsid w:val="194F292D"/>
    <w:rsid w:val="195EB610"/>
    <w:rsid w:val="197179CB"/>
    <w:rsid w:val="1974B010"/>
    <w:rsid w:val="197A2A8A"/>
    <w:rsid w:val="1988BB43"/>
    <w:rsid w:val="198B1587"/>
    <w:rsid w:val="19918F8C"/>
    <w:rsid w:val="1992919B"/>
    <w:rsid w:val="199360B0"/>
    <w:rsid w:val="19980EE6"/>
    <w:rsid w:val="19A1EC2E"/>
    <w:rsid w:val="19A57095"/>
    <w:rsid w:val="19A7F489"/>
    <w:rsid w:val="19ADB265"/>
    <w:rsid w:val="19AE6A0C"/>
    <w:rsid w:val="19B19BC4"/>
    <w:rsid w:val="19B39E3F"/>
    <w:rsid w:val="19B66C76"/>
    <w:rsid w:val="19B69D99"/>
    <w:rsid w:val="19B88572"/>
    <w:rsid w:val="19BA7778"/>
    <w:rsid w:val="19D30B8B"/>
    <w:rsid w:val="19D3232D"/>
    <w:rsid w:val="19D534DB"/>
    <w:rsid w:val="19DF11D3"/>
    <w:rsid w:val="19E6B9A4"/>
    <w:rsid w:val="19F7A16F"/>
    <w:rsid w:val="1A035E95"/>
    <w:rsid w:val="1A04FBE9"/>
    <w:rsid w:val="1A0504A4"/>
    <w:rsid w:val="1A0C9B96"/>
    <w:rsid w:val="1A0E9996"/>
    <w:rsid w:val="1A280947"/>
    <w:rsid w:val="1A3258FA"/>
    <w:rsid w:val="1A34D32A"/>
    <w:rsid w:val="1A39E32E"/>
    <w:rsid w:val="1A3AFE9A"/>
    <w:rsid w:val="1A3E361F"/>
    <w:rsid w:val="1A40D03D"/>
    <w:rsid w:val="1A462F6A"/>
    <w:rsid w:val="1A48B44F"/>
    <w:rsid w:val="1A566141"/>
    <w:rsid w:val="1A58B1CF"/>
    <w:rsid w:val="1A6BE0F5"/>
    <w:rsid w:val="1A6DBE90"/>
    <w:rsid w:val="1A74E1D0"/>
    <w:rsid w:val="1A7BC7D6"/>
    <w:rsid w:val="1A8241EE"/>
    <w:rsid w:val="1A856750"/>
    <w:rsid w:val="1A8B82F9"/>
    <w:rsid w:val="1A962ABE"/>
    <w:rsid w:val="1A9B0975"/>
    <w:rsid w:val="1AA18862"/>
    <w:rsid w:val="1AA5D03D"/>
    <w:rsid w:val="1AAFBE52"/>
    <w:rsid w:val="1AB5D1DA"/>
    <w:rsid w:val="1AB81924"/>
    <w:rsid w:val="1AB97D1E"/>
    <w:rsid w:val="1AC9E813"/>
    <w:rsid w:val="1AD2BE82"/>
    <w:rsid w:val="1AD87321"/>
    <w:rsid w:val="1ADB09AE"/>
    <w:rsid w:val="1AE4EBE8"/>
    <w:rsid w:val="1AEB540A"/>
    <w:rsid w:val="1AF7199C"/>
    <w:rsid w:val="1AF735A0"/>
    <w:rsid w:val="1AF782B8"/>
    <w:rsid w:val="1AFE9CA7"/>
    <w:rsid w:val="1B0352F9"/>
    <w:rsid w:val="1B118457"/>
    <w:rsid w:val="1B174760"/>
    <w:rsid w:val="1B1C48F8"/>
    <w:rsid w:val="1B1FAB89"/>
    <w:rsid w:val="1B20AB04"/>
    <w:rsid w:val="1B2FF2FD"/>
    <w:rsid w:val="1B3A675E"/>
    <w:rsid w:val="1B3F7DB8"/>
    <w:rsid w:val="1B43A016"/>
    <w:rsid w:val="1B463C75"/>
    <w:rsid w:val="1B472D94"/>
    <w:rsid w:val="1B4BC3EB"/>
    <w:rsid w:val="1B4D516A"/>
    <w:rsid w:val="1B4FE10D"/>
    <w:rsid w:val="1B523CD7"/>
    <w:rsid w:val="1B525A28"/>
    <w:rsid w:val="1B5EC892"/>
    <w:rsid w:val="1B636D0C"/>
    <w:rsid w:val="1B66E1A6"/>
    <w:rsid w:val="1B6B3148"/>
    <w:rsid w:val="1B713642"/>
    <w:rsid w:val="1B71662F"/>
    <w:rsid w:val="1B7DD2EC"/>
    <w:rsid w:val="1B80741F"/>
    <w:rsid w:val="1B82D1C1"/>
    <w:rsid w:val="1B842A02"/>
    <w:rsid w:val="1B890CE8"/>
    <w:rsid w:val="1B8AE086"/>
    <w:rsid w:val="1B8FA3D2"/>
    <w:rsid w:val="1B9212FF"/>
    <w:rsid w:val="1B977A4B"/>
    <w:rsid w:val="1B99696D"/>
    <w:rsid w:val="1B9BE1C3"/>
    <w:rsid w:val="1B9EBB78"/>
    <w:rsid w:val="1B9F16C5"/>
    <w:rsid w:val="1BC6115D"/>
    <w:rsid w:val="1BCD2B05"/>
    <w:rsid w:val="1BDB634A"/>
    <w:rsid w:val="1BE31FFC"/>
    <w:rsid w:val="1BEC1463"/>
    <w:rsid w:val="1BED698A"/>
    <w:rsid w:val="1BF070DE"/>
    <w:rsid w:val="1BF109A2"/>
    <w:rsid w:val="1BF62C11"/>
    <w:rsid w:val="1C0057D7"/>
    <w:rsid w:val="1C067936"/>
    <w:rsid w:val="1C090AED"/>
    <w:rsid w:val="1C0C1CFF"/>
    <w:rsid w:val="1C13E1E1"/>
    <w:rsid w:val="1C1F74F5"/>
    <w:rsid w:val="1C2B529D"/>
    <w:rsid w:val="1C2CDA20"/>
    <w:rsid w:val="1C33C185"/>
    <w:rsid w:val="1C3B7B00"/>
    <w:rsid w:val="1C415B12"/>
    <w:rsid w:val="1C41A09E"/>
    <w:rsid w:val="1C477620"/>
    <w:rsid w:val="1C4A9E27"/>
    <w:rsid w:val="1C4CAA0D"/>
    <w:rsid w:val="1C57B244"/>
    <w:rsid w:val="1C62271C"/>
    <w:rsid w:val="1C68B640"/>
    <w:rsid w:val="1C690195"/>
    <w:rsid w:val="1C6CFCF5"/>
    <w:rsid w:val="1C77B1EB"/>
    <w:rsid w:val="1C896FD0"/>
    <w:rsid w:val="1C897F0B"/>
    <w:rsid w:val="1C8D4572"/>
    <w:rsid w:val="1C8E7FE0"/>
    <w:rsid w:val="1CA75C83"/>
    <w:rsid w:val="1CABE639"/>
    <w:rsid w:val="1CB81959"/>
    <w:rsid w:val="1CC53A4B"/>
    <w:rsid w:val="1CC613B7"/>
    <w:rsid w:val="1CCC5640"/>
    <w:rsid w:val="1CCCD150"/>
    <w:rsid w:val="1CD33B47"/>
    <w:rsid w:val="1CD48A64"/>
    <w:rsid w:val="1CDE6509"/>
    <w:rsid w:val="1CEBF391"/>
    <w:rsid w:val="1CEF1D37"/>
    <w:rsid w:val="1CF31275"/>
    <w:rsid w:val="1CF43F2C"/>
    <w:rsid w:val="1CFB0007"/>
    <w:rsid w:val="1CFB7838"/>
    <w:rsid w:val="1D005355"/>
    <w:rsid w:val="1D0347B1"/>
    <w:rsid w:val="1D044BD0"/>
    <w:rsid w:val="1D05AE4F"/>
    <w:rsid w:val="1D0D3690"/>
    <w:rsid w:val="1D18F391"/>
    <w:rsid w:val="1D236732"/>
    <w:rsid w:val="1D23F834"/>
    <w:rsid w:val="1D247BC3"/>
    <w:rsid w:val="1D299A74"/>
    <w:rsid w:val="1D2C8683"/>
    <w:rsid w:val="1D2ED75D"/>
    <w:rsid w:val="1D34A39F"/>
    <w:rsid w:val="1D3579F1"/>
    <w:rsid w:val="1D4655CA"/>
    <w:rsid w:val="1D48A7A6"/>
    <w:rsid w:val="1D49A368"/>
    <w:rsid w:val="1D52F211"/>
    <w:rsid w:val="1D5AFC76"/>
    <w:rsid w:val="1D7331D0"/>
    <w:rsid w:val="1D7AC9E4"/>
    <w:rsid w:val="1D842157"/>
    <w:rsid w:val="1D890C4E"/>
    <w:rsid w:val="1D8BD5E5"/>
    <w:rsid w:val="1D9B4A83"/>
    <w:rsid w:val="1DAA5C04"/>
    <w:rsid w:val="1DB0074D"/>
    <w:rsid w:val="1DB14F90"/>
    <w:rsid w:val="1DB3064C"/>
    <w:rsid w:val="1DB30E7F"/>
    <w:rsid w:val="1DB39D65"/>
    <w:rsid w:val="1DB4E81E"/>
    <w:rsid w:val="1DB7789A"/>
    <w:rsid w:val="1DB8054C"/>
    <w:rsid w:val="1DB80E70"/>
    <w:rsid w:val="1DBAA2CD"/>
    <w:rsid w:val="1DBBF01F"/>
    <w:rsid w:val="1DC15E14"/>
    <w:rsid w:val="1DD5935D"/>
    <w:rsid w:val="1DDA325A"/>
    <w:rsid w:val="1DDCFE8B"/>
    <w:rsid w:val="1DE75F14"/>
    <w:rsid w:val="1DE87A6E"/>
    <w:rsid w:val="1DEEDAD3"/>
    <w:rsid w:val="1E017EFA"/>
    <w:rsid w:val="1E032738"/>
    <w:rsid w:val="1E03501E"/>
    <w:rsid w:val="1E0561D9"/>
    <w:rsid w:val="1E074DE9"/>
    <w:rsid w:val="1E08231F"/>
    <w:rsid w:val="1E0E667F"/>
    <w:rsid w:val="1E1168F6"/>
    <w:rsid w:val="1E16C363"/>
    <w:rsid w:val="1E171ECC"/>
    <w:rsid w:val="1E17CB06"/>
    <w:rsid w:val="1E19F04D"/>
    <w:rsid w:val="1E1AACCA"/>
    <w:rsid w:val="1E1D30D0"/>
    <w:rsid w:val="1E21BA2A"/>
    <w:rsid w:val="1E2F5D38"/>
    <w:rsid w:val="1E34B0DF"/>
    <w:rsid w:val="1E50C178"/>
    <w:rsid w:val="1E6574C6"/>
    <w:rsid w:val="1E669CDE"/>
    <w:rsid w:val="1E78807D"/>
    <w:rsid w:val="1E8087BB"/>
    <w:rsid w:val="1E814EFE"/>
    <w:rsid w:val="1E89E8BB"/>
    <w:rsid w:val="1E8B1C7F"/>
    <w:rsid w:val="1E931603"/>
    <w:rsid w:val="1E9B1EEB"/>
    <w:rsid w:val="1E9D45FF"/>
    <w:rsid w:val="1E9F1B5B"/>
    <w:rsid w:val="1EA95D86"/>
    <w:rsid w:val="1EA97C80"/>
    <w:rsid w:val="1EAA55AD"/>
    <w:rsid w:val="1EADB004"/>
    <w:rsid w:val="1EB4C3F2"/>
    <w:rsid w:val="1EB814E1"/>
    <w:rsid w:val="1EBE084C"/>
    <w:rsid w:val="1EBF5FB1"/>
    <w:rsid w:val="1EC0FAD8"/>
    <w:rsid w:val="1EC67709"/>
    <w:rsid w:val="1ED14A52"/>
    <w:rsid w:val="1ED3EB7F"/>
    <w:rsid w:val="1EE35A0A"/>
    <w:rsid w:val="1EE47807"/>
    <w:rsid w:val="1EEDA03E"/>
    <w:rsid w:val="1EEF616E"/>
    <w:rsid w:val="1EEF9CC8"/>
    <w:rsid w:val="1EFAE5A1"/>
    <w:rsid w:val="1EFF309B"/>
    <w:rsid w:val="1F10AD78"/>
    <w:rsid w:val="1F10CFD3"/>
    <w:rsid w:val="1F18CC8C"/>
    <w:rsid w:val="1F1B3399"/>
    <w:rsid w:val="1F2120C2"/>
    <w:rsid w:val="1F2276C2"/>
    <w:rsid w:val="1F233977"/>
    <w:rsid w:val="1F2C2173"/>
    <w:rsid w:val="1F2DD82B"/>
    <w:rsid w:val="1F2FC9ED"/>
    <w:rsid w:val="1F31EFA4"/>
    <w:rsid w:val="1F381571"/>
    <w:rsid w:val="1F4C53A7"/>
    <w:rsid w:val="1F51BF2A"/>
    <w:rsid w:val="1F5C2A52"/>
    <w:rsid w:val="1F6A572D"/>
    <w:rsid w:val="1F6D6C2D"/>
    <w:rsid w:val="1F6E1977"/>
    <w:rsid w:val="1F784CDF"/>
    <w:rsid w:val="1F83F9AC"/>
    <w:rsid w:val="1F9D6E39"/>
    <w:rsid w:val="1FA37FAD"/>
    <w:rsid w:val="1FA4B8B4"/>
    <w:rsid w:val="1FA54BD1"/>
    <w:rsid w:val="1FACA63A"/>
    <w:rsid w:val="1FB6A5CE"/>
    <w:rsid w:val="1FB707D8"/>
    <w:rsid w:val="1FBB9295"/>
    <w:rsid w:val="1FC0A890"/>
    <w:rsid w:val="1FC4367D"/>
    <w:rsid w:val="1FCAD114"/>
    <w:rsid w:val="1FCEEF92"/>
    <w:rsid w:val="1FD214E8"/>
    <w:rsid w:val="1FD31B05"/>
    <w:rsid w:val="1FD89BFE"/>
    <w:rsid w:val="1FE2BC20"/>
    <w:rsid w:val="1FEC13A2"/>
    <w:rsid w:val="1FF38587"/>
    <w:rsid w:val="1FF988AD"/>
    <w:rsid w:val="1FFECE19"/>
    <w:rsid w:val="200A59E7"/>
    <w:rsid w:val="20184180"/>
    <w:rsid w:val="20282C9E"/>
    <w:rsid w:val="2028434B"/>
    <w:rsid w:val="202DCAB0"/>
    <w:rsid w:val="203097CB"/>
    <w:rsid w:val="2032181F"/>
    <w:rsid w:val="203461FB"/>
    <w:rsid w:val="203687FF"/>
    <w:rsid w:val="203E5C30"/>
    <w:rsid w:val="2042ADE2"/>
    <w:rsid w:val="2042B77F"/>
    <w:rsid w:val="2044D752"/>
    <w:rsid w:val="20515722"/>
    <w:rsid w:val="2051A07B"/>
    <w:rsid w:val="205F0D37"/>
    <w:rsid w:val="206CCD4B"/>
    <w:rsid w:val="206CDA90"/>
    <w:rsid w:val="2076972A"/>
    <w:rsid w:val="20781C46"/>
    <w:rsid w:val="20999FB8"/>
    <w:rsid w:val="209EE7D7"/>
    <w:rsid w:val="20A824A9"/>
    <w:rsid w:val="20C43156"/>
    <w:rsid w:val="20D54428"/>
    <w:rsid w:val="20DBDAE2"/>
    <w:rsid w:val="20E1B91A"/>
    <w:rsid w:val="20E2C6AA"/>
    <w:rsid w:val="20E6699E"/>
    <w:rsid w:val="20E9C2AC"/>
    <w:rsid w:val="20EE8E7B"/>
    <w:rsid w:val="20EFB2DF"/>
    <w:rsid w:val="20F532C3"/>
    <w:rsid w:val="20FDD0E9"/>
    <w:rsid w:val="20FEFB9D"/>
    <w:rsid w:val="2102A78B"/>
    <w:rsid w:val="21149F4D"/>
    <w:rsid w:val="2116B344"/>
    <w:rsid w:val="211A6D48"/>
    <w:rsid w:val="212991D6"/>
    <w:rsid w:val="213A2A5E"/>
    <w:rsid w:val="213DD851"/>
    <w:rsid w:val="2140DABB"/>
    <w:rsid w:val="2142A2D9"/>
    <w:rsid w:val="2150B2F6"/>
    <w:rsid w:val="2157CC49"/>
    <w:rsid w:val="215A3B39"/>
    <w:rsid w:val="215A4122"/>
    <w:rsid w:val="216238DA"/>
    <w:rsid w:val="216541D4"/>
    <w:rsid w:val="216907D5"/>
    <w:rsid w:val="217808D3"/>
    <w:rsid w:val="2182D8CE"/>
    <w:rsid w:val="2187DCDD"/>
    <w:rsid w:val="21885F01"/>
    <w:rsid w:val="218B0B49"/>
    <w:rsid w:val="218B8A7C"/>
    <w:rsid w:val="21A3F382"/>
    <w:rsid w:val="21A80780"/>
    <w:rsid w:val="21AE35DA"/>
    <w:rsid w:val="21B52593"/>
    <w:rsid w:val="21BA91C4"/>
    <w:rsid w:val="21BB79D7"/>
    <w:rsid w:val="21BF2291"/>
    <w:rsid w:val="21C186DE"/>
    <w:rsid w:val="21C85442"/>
    <w:rsid w:val="21C8840D"/>
    <w:rsid w:val="21D3F677"/>
    <w:rsid w:val="21E0A7B3"/>
    <w:rsid w:val="21E74425"/>
    <w:rsid w:val="21E8F9D2"/>
    <w:rsid w:val="21EBED62"/>
    <w:rsid w:val="21EC55BB"/>
    <w:rsid w:val="21EF69AC"/>
    <w:rsid w:val="21F3A3FC"/>
    <w:rsid w:val="21FAF59B"/>
    <w:rsid w:val="21FC3AF5"/>
    <w:rsid w:val="220BECA5"/>
    <w:rsid w:val="22109AA3"/>
    <w:rsid w:val="221555BC"/>
    <w:rsid w:val="22161EA0"/>
    <w:rsid w:val="22173354"/>
    <w:rsid w:val="221F1C59"/>
    <w:rsid w:val="221FCE89"/>
    <w:rsid w:val="22274F64"/>
    <w:rsid w:val="222B5F40"/>
    <w:rsid w:val="222DC752"/>
    <w:rsid w:val="222E5717"/>
    <w:rsid w:val="22345AC5"/>
    <w:rsid w:val="223DBB72"/>
    <w:rsid w:val="2241CEB7"/>
    <w:rsid w:val="2242E7D0"/>
    <w:rsid w:val="22470329"/>
    <w:rsid w:val="224B65A0"/>
    <w:rsid w:val="224BEBE9"/>
    <w:rsid w:val="225897C9"/>
    <w:rsid w:val="2268BD5B"/>
    <w:rsid w:val="226BB354"/>
    <w:rsid w:val="22708153"/>
    <w:rsid w:val="2278D075"/>
    <w:rsid w:val="22794B47"/>
    <w:rsid w:val="2283E0AE"/>
    <w:rsid w:val="228BF98B"/>
    <w:rsid w:val="229A96A2"/>
    <w:rsid w:val="229ACD99"/>
    <w:rsid w:val="229F439C"/>
    <w:rsid w:val="22B06FAE"/>
    <w:rsid w:val="22B76975"/>
    <w:rsid w:val="22B8BFE4"/>
    <w:rsid w:val="22B8FDBA"/>
    <w:rsid w:val="22BD35CB"/>
    <w:rsid w:val="22BDB6B9"/>
    <w:rsid w:val="22C15A45"/>
    <w:rsid w:val="22C2EED4"/>
    <w:rsid w:val="22C33138"/>
    <w:rsid w:val="22CCEBEA"/>
    <w:rsid w:val="22DBC381"/>
    <w:rsid w:val="22DD1C0E"/>
    <w:rsid w:val="22DFBE90"/>
    <w:rsid w:val="22E1075B"/>
    <w:rsid w:val="22E6D6F7"/>
    <w:rsid w:val="22E9E918"/>
    <w:rsid w:val="22F1C7EE"/>
    <w:rsid w:val="22F24811"/>
    <w:rsid w:val="22FD7EB8"/>
    <w:rsid w:val="22FE43C2"/>
    <w:rsid w:val="22FFB017"/>
    <w:rsid w:val="23009B3D"/>
    <w:rsid w:val="230142B0"/>
    <w:rsid w:val="2302FED9"/>
    <w:rsid w:val="23076EED"/>
    <w:rsid w:val="23132DFD"/>
    <w:rsid w:val="2317F542"/>
    <w:rsid w:val="23194992"/>
    <w:rsid w:val="231E5562"/>
    <w:rsid w:val="231E61A1"/>
    <w:rsid w:val="23212713"/>
    <w:rsid w:val="2326F1BD"/>
    <w:rsid w:val="2329E392"/>
    <w:rsid w:val="232E3631"/>
    <w:rsid w:val="2330B97E"/>
    <w:rsid w:val="233A5109"/>
    <w:rsid w:val="233B0B98"/>
    <w:rsid w:val="2348A04C"/>
    <w:rsid w:val="2348CE74"/>
    <w:rsid w:val="234D82C2"/>
    <w:rsid w:val="235472C5"/>
    <w:rsid w:val="23581E4B"/>
    <w:rsid w:val="235BBE6D"/>
    <w:rsid w:val="23606959"/>
    <w:rsid w:val="2360D51C"/>
    <w:rsid w:val="23646E0D"/>
    <w:rsid w:val="237AEDEB"/>
    <w:rsid w:val="237C6C81"/>
    <w:rsid w:val="237D85C7"/>
    <w:rsid w:val="2383C9AB"/>
    <w:rsid w:val="23878C4E"/>
    <w:rsid w:val="2388D7CD"/>
    <w:rsid w:val="238914C9"/>
    <w:rsid w:val="2389DF7F"/>
    <w:rsid w:val="238C8DA5"/>
    <w:rsid w:val="23956DA0"/>
    <w:rsid w:val="23979F70"/>
    <w:rsid w:val="239C5D7F"/>
    <w:rsid w:val="239CAA75"/>
    <w:rsid w:val="23A469AC"/>
    <w:rsid w:val="23A5C341"/>
    <w:rsid w:val="23A8DD2E"/>
    <w:rsid w:val="23AC28C4"/>
    <w:rsid w:val="23B114B7"/>
    <w:rsid w:val="23B2863D"/>
    <w:rsid w:val="23C13359"/>
    <w:rsid w:val="23C7BB87"/>
    <w:rsid w:val="23D86F73"/>
    <w:rsid w:val="23D9C834"/>
    <w:rsid w:val="23DC62CB"/>
    <w:rsid w:val="23E03C27"/>
    <w:rsid w:val="23F03A40"/>
    <w:rsid w:val="23FD12EA"/>
    <w:rsid w:val="2400BD54"/>
    <w:rsid w:val="24020D76"/>
    <w:rsid w:val="241133DB"/>
    <w:rsid w:val="241AF82C"/>
    <w:rsid w:val="24269100"/>
    <w:rsid w:val="2429498B"/>
    <w:rsid w:val="242BCB41"/>
    <w:rsid w:val="2437CAB6"/>
    <w:rsid w:val="243A0BDC"/>
    <w:rsid w:val="243BC765"/>
    <w:rsid w:val="243EEAA8"/>
    <w:rsid w:val="244DAF9D"/>
    <w:rsid w:val="24592E65"/>
    <w:rsid w:val="245D13D3"/>
    <w:rsid w:val="245F9378"/>
    <w:rsid w:val="2466BAE7"/>
    <w:rsid w:val="246C955E"/>
    <w:rsid w:val="2475F3D3"/>
    <w:rsid w:val="24764EFF"/>
    <w:rsid w:val="247CD7BC"/>
    <w:rsid w:val="2481AF5C"/>
    <w:rsid w:val="24899793"/>
    <w:rsid w:val="24909A06"/>
    <w:rsid w:val="2491DBD4"/>
    <w:rsid w:val="249F516A"/>
    <w:rsid w:val="24A77C4A"/>
    <w:rsid w:val="24A99743"/>
    <w:rsid w:val="24ABAFA0"/>
    <w:rsid w:val="24ACC643"/>
    <w:rsid w:val="24AF8F09"/>
    <w:rsid w:val="24B65226"/>
    <w:rsid w:val="24BB2EA7"/>
    <w:rsid w:val="24C5169C"/>
    <w:rsid w:val="24CB9091"/>
    <w:rsid w:val="24DB762D"/>
    <w:rsid w:val="24DFC509"/>
    <w:rsid w:val="24E098FD"/>
    <w:rsid w:val="24E194DD"/>
    <w:rsid w:val="24F04A65"/>
    <w:rsid w:val="24F08F79"/>
    <w:rsid w:val="24F1ABB5"/>
    <w:rsid w:val="24FF2018"/>
    <w:rsid w:val="250ADD19"/>
    <w:rsid w:val="250C8783"/>
    <w:rsid w:val="25119477"/>
    <w:rsid w:val="2511E3EB"/>
    <w:rsid w:val="25130C99"/>
    <w:rsid w:val="25142FC1"/>
    <w:rsid w:val="25184875"/>
    <w:rsid w:val="251ABF21"/>
    <w:rsid w:val="251B387D"/>
    <w:rsid w:val="25337B40"/>
    <w:rsid w:val="25416D5B"/>
    <w:rsid w:val="2542F55F"/>
    <w:rsid w:val="254751FB"/>
    <w:rsid w:val="254CF67E"/>
    <w:rsid w:val="25504499"/>
    <w:rsid w:val="2555E0E2"/>
    <w:rsid w:val="25569205"/>
    <w:rsid w:val="2556E93D"/>
    <w:rsid w:val="256151B1"/>
    <w:rsid w:val="2566074E"/>
    <w:rsid w:val="2568B6A9"/>
    <w:rsid w:val="25832189"/>
    <w:rsid w:val="2583FA63"/>
    <w:rsid w:val="2586636A"/>
    <w:rsid w:val="2586B016"/>
    <w:rsid w:val="258AD97C"/>
    <w:rsid w:val="258BF03F"/>
    <w:rsid w:val="2591F91E"/>
    <w:rsid w:val="25921834"/>
    <w:rsid w:val="2593FCB6"/>
    <w:rsid w:val="25963C8D"/>
    <w:rsid w:val="259E40E7"/>
    <w:rsid w:val="25A76A18"/>
    <w:rsid w:val="25AD0118"/>
    <w:rsid w:val="25AD4E0E"/>
    <w:rsid w:val="25AE1847"/>
    <w:rsid w:val="25B68511"/>
    <w:rsid w:val="25B9F416"/>
    <w:rsid w:val="25C306B8"/>
    <w:rsid w:val="25D39D67"/>
    <w:rsid w:val="25D481F5"/>
    <w:rsid w:val="25D58DC7"/>
    <w:rsid w:val="25D88EB7"/>
    <w:rsid w:val="25D9F658"/>
    <w:rsid w:val="25E1C3A6"/>
    <w:rsid w:val="25E601AB"/>
    <w:rsid w:val="25E610CA"/>
    <w:rsid w:val="25E88276"/>
    <w:rsid w:val="25F55A1E"/>
    <w:rsid w:val="25F5D12A"/>
    <w:rsid w:val="25F71AB3"/>
    <w:rsid w:val="25FC5ACE"/>
    <w:rsid w:val="260E1D85"/>
    <w:rsid w:val="26111EFB"/>
    <w:rsid w:val="261248C3"/>
    <w:rsid w:val="261BB5ED"/>
    <w:rsid w:val="261C200F"/>
    <w:rsid w:val="2629C522"/>
    <w:rsid w:val="262B7E13"/>
    <w:rsid w:val="263087AF"/>
    <w:rsid w:val="263AAEF9"/>
    <w:rsid w:val="263AB1A9"/>
    <w:rsid w:val="263B2E26"/>
    <w:rsid w:val="2646BFCA"/>
    <w:rsid w:val="264AB70D"/>
    <w:rsid w:val="264EFABF"/>
    <w:rsid w:val="2654D68D"/>
    <w:rsid w:val="26566EAC"/>
    <w:rsid w:val="2657EA59"/>
    <w:rsid w:val="2657FD88"/>
    <w:rsid w:val="2659C40E"/>
    <w:rsid w:val="26662CD0"/>
    <w:rsid w:val="2667F2ED"/>
    <w:rsid w:val="26713AAA"/>
    <w:rsid w:val="2671B9BA"/>
    <w:rsid w:val="2679C60D"/>
    <w:rsid w:val="267A7141"/>
    <w:rsid w:val="2685B15E"/>
    <w:rsid w:val="269D0C34"/>
    <w:rsid w:val="26A48C41"/>
    <w:rsid w:val="26A5B02E"/>
    <w:rsid w:val="26A857E4"/>
    <w:rsid w:val="26A8894D"/>
    <w:rsid w:val="26D8BC20"/>
    <w:rsid w:val="26DEC977"/>
    <w:rsid w:val="26E96647"/>
    <w:rsid w:val="26EE94CE"/>
    <w:rsid w:val="26FB893C"/>
    <w:rsid w:val="2701BDB4"/>
    <w:rsid w:val="27068483"/>
    <w:rsid w:val="27088D56"/>
    <w:rsid w:val="2708990B"/>
    <w:rsid w:val="27139858"/>
    <w:rsid w:val="2716389A"/>
    <w:rsid w:val="271E0C7A"/>
    <w:rsid w:val="271FC1B3"/>
    <w:rsid w:val="2720E19F"/>
    <w:rsid w:val="2721D172"/>
    <w:rsid w:val="2726B95E"/>
    <w:rsid w:val="272B039D"/>
    <w:rsid w:val="2738EA10"/>
    <w:rsid w:val="273B377F"/>
    <w:rsid w:val="27484F09"/>
    <w:rsid w:val="274FF52E"/>
    <w:rsid w:val="2759E50A"/>
    <w:rsid w:val="275DB8A2"/>
    <w:rsid w:val="2766FB79"/>
    <w:rsid w:val="276D49D2"/>
    <w:rsid w:val="276DC578"/>
    <w:rsid w:val="277011F0"/>
    <w:rsid w:val="2771E90F"/>
    <w:rsid w:val="27744E11"/>
    <w:rsid w:val="277AA24C"/>
    <w:rsid w:val="277BDD7E"/>
    <w:rsid w:val="277C7D8B"/>
    <w:rsid w:val="27828855"/>
    <w:rsid w:val="278F5CB4"/>
    <w:rsid w:val="2795B8CA"/>
    <w:rsid w:val="279676E1"/>
    <w:rsid w:val="279CFB63"/>
    <w:rsid w:val="279DCE70"/>
    <w:rsid w:val="27A4BD3A"/>
    <w:rsid w:val="27A7E23E"/>
    <w:rsid w:val="27B32FB3"/>
    <w:rsid w:val="27B65B1F"/>
    <w:rsid w:val="27BB6E1C"/>
    <w:rsid w:val="27BF0FBA"/>
    <w:rsid w:val="27C8E39E"/>
    <w:rsid w:val="27C9F861"/>
    <w:rsid w:val="27DDB2DC"/>
    <w:rsid w:val="27DDF453"/>
    <w:rsid w:val="27E0BCA0"/>
    <w:rsid w:val="27E2E4C1"/>
    <w:rsid w:val="27E615E4"/>
    <w:rsid w:val="27E63714"/>
    <w:rsid w:val="27EB4635"/>
    <w:rsid w:val="27EE392C"/>
    <w:rsid w:val="27FA62C7"/>
    <w:rsid w:val="27FACC00"/>
    <w:rsid w:val="27FE5508"/>
    <w:rsid w:val="28079D6D"/>
    <w:rsid w:val="2809E0DE"/>
    <w:rsid w:val="2819FDE8"/>
    <w:rsid w:val="281BF5C8"/>
    <w:rsid w:val="281E8B6A"/>
    <w:rsid w:val="2820ECE4"/>
    <w:rsid w:val="282407FB"/>
    <w:rsid w:val="282E6415"/>
    <w:rsid w:val="283B1520"/>
    <w:rsid w:val="284705B1"/>
    <w:rsid w:val="28531062"/>
    <w:rsid w:val="2854A9E3"/>
    <w:rsid w:val="285DD569"/>
    <w:rsid w:val="2862D159"/>
    <w:rsid w:val="286DC6A2"/>
    <w:rsid w:val="2870FF81"/>
    <w:rsid w:val="28718856"/>
    <w:rsid w:val="2871ED97"/>
    <w:rsid w:val="287676BC"/>
    <w:rsid w:val="28771179"/>
    <w:rsid w:val="28813458"/>
    <w:rsid w:val="28856024"/>
    <w:rsid w:val="288A652F"/>
    <w:rsid w:val="288B5A4D"/>
    <w:rsid w:val="288DE5C8"/>
    <w:rsid w:val="289E99E1"/>
    <w:rsid w:val="28AA5DD4"/>
    <w:rsid w:val="28AB7D8C"/>
    <w:rsid w:val="28B4A6BE"/>
    <w:rsid w:val="28BACA6B"/>
    <w:rsid w:val="28C9367E"/>
    <w:rsid w:val="28CCF980"/>
    <w:rsid w:val="28D54B1D"/>
    <w:rsid w:val="28E48C1D"/>
    <w:rsid w:val="28E8EB70"/>
    <w:rsid w:val="28EEEF5B"/>
    <w:rsid w:val="28F61FB9"/>
    <w:rsid w:val="28F844AA"/>
    <w:rsid w:val="28FD8F0B"/>
    <w:rsid w:val="2906A66C"/>
    <w:rsid w:val="290A9BFD"/>
    <w:rsid w:val="290EFC1A"/>
    <w:rsid w:val="2917FEB7"/>
    <w:rsid w:val="291D6FDA"/>
    <w:rsid w:val="291FB132"/>
    <w:rsid w:val="29325903"/>
    <w:rsid w:val="2936B3D7"/>
    <w:rsid w:val="293B7EB2"/>
    <w:rsid w:val="293C621A"/>
    <w:rsid w:val="293E6564"/>
    <w:rsid w:val="29482F53"/>
    <w:rsid w:val="294C249A"/>
    <w:rsid w:val="294C8166"/>
    <w:rsid w:val="29532D31"/>
    <w:rsid w:val="2955DE16"/>
    <w:rsid w:val="2957CEC7"/>
    <w:rsid w:val="296912FF"/>
    <w:rsid w:val="29692AC9"/>
    <w:rsid w:val="296EB40F"/>
    <w:rsid w:val="297A45CE"/>
    <w:rsid w:val="29843960"/>
    <w:rsid w:val="29873572"/>
    <w:rsid w:val="29968312"/>
    <w:rsid w:val="29969C61"/>
    <w:rsid w:val="29A3C8BA"/>
    <w:rsid w:val="29AA342B"/>
    <w:rsid w:val="29B0418D"/>
    <w:rsid w:val="29BDD79D"/>
    <w:rsid w:val="29CC1619"/>
    <w:rsid w:val="29D54210"/>
    <w:rsid w:val="29D6B17E"/>
    <w:rsid w:val="29D884B6"/>
    <w:rsid w:val="29D9C97D"/>
    <w:rsid w:val="29DA7C19"/>
    <w:rsid w:val="29DB70B2"/>
    <w:rsid w:val="29DCEBCD"/>
    <w:rsid w:val="29E50B46"/>
    <w:rsid w:val="29E66650"/>
    <w:rsid w:val="29E999C5"/>
    <w:rsid w:val="29F1512F"/>
    <w:rsid w:val="29FE5109"/>
    <w:rsid w:val="2A067056"/>
    <w:rsid w:val="2A073A1E"/>
    <w:rsid w:val="2A179B04"/>
    <w:rsid w:val="2A19763F"/>
    <w:rsid w:val="2A1DD4AE"/>
    <w:rsid w:val="2A261C07"/>
    <w:rsid w:val="2A2788E6"/>
    <w:rsid w:val="2A2B52F6"/>
    <w:rsid w:val="2A33F6DA"/>
    <w:rsid w:val="2A3437D5"/>
    <w:rsid w:val="2A34997E"/>
    <w:rsid w:val="2A385E9C"/>
    <w:rsid w:val="2A3D4F28"/>
    <w:rsid w:val="2A508A73"/>
    <w:rsid w:val="2A56F65F"/>
    <w:rsid w:val="2A633A3F"/>
    <w:rsid w:val="2A6BFBD5"/>
    <w:rsid w:val="2A6CCC29"/>
    <w:rsid w:val="2A6E9E3A"/>
    <w:rsid w:val="2A712333"/>
    <w:rsid w:val="2A7F6C2C"/>
    <w:rsid w:val="2A809969"/>
    <w:rsid w:val="2A82E62D"/>
    <w:rsid w:val="2A84A7EA"/>
    <w:rsid w:val="2A8588E8"/>
    <w:rsid w:val="2A88D5CF"/>
    <w:rsid w:val="2A92AA8E"/>
    <w:rsid w:val="2A9E5FED"/>
    <w:rsid w:val="2A9F408B"/>
    <w:rsid w:val="2AA2C6E3"/>
    <w:rsid w:val="2AA38BAD"/>
    <w:rsid w:val="2AA69555"/>
    <w:rsid w:val="2AAA359C"/>
    <w:rsid w:val="2AAB1457"/>
    <w:rsid w:val="2AAB1607"/>
    <w:rsid w:val="2AAE0FCA"/>
    <w:rsid w:val="2AB04E52"/>
    <w:rsid w:val="2AB2FFF1"/>
    <w:rsid w:val="2AB73512"/>
    <w:rsid w:val="2AB75D3A"/>
    <w:rsid w:val="2AB80A72"/>
    <w:rsid w:val="2AB9BC19"/>
    <w:rsid w:val="2AC6BBA9"/>
    <w:rsid w:val="2AD64506"/>
    <w:rsid w:val="2ADB4783"/>
    <w:rsid w:val="2ADC0682"/>
    <w:rsid w:val="2ADD1134"/>
    <w:rsid w:val="2ADDE62B"/>
    <w:rsid w:val="2AE86FF2"/>
    <w:rsid w:val="2AEC7E54"/>
    <w:rsid w:val="2AF95875"/>
    <w:rsid w:val="2AFE1A60"/>
    <w:rsid w:val="2B0A8470"/>
    <w:rsid w:val="2B113A25"/>
    <w:rsid w:val="2B1453A5"/>
    <w:rsid w:val="2B188D79"/>
    <w:rsid w:val="2B25AFCB"/>
    <w:rsid w:val="2B260D99"/>
    <w:rsid w:val="2B2D1866"/>
    <w:rsid w:val="2B2D503C"/>
    <w:rsid w:val="2B31C3E0"/>
    <w:rsid w:val="2B326CC2"/>
    <w:rsid w:val="2B3EB77C"/>
    <w:rsid w:val="2B4D9BF5"/>
    <w:rsid w:val="2B50282E"/>
    <w:rsid w:val="2B54B546"/>
    <w:rsid w:val="2B584707"/>
    <w:rsid w:val="2B5C29E6"/>
    <w:rsid w:val="2B613FE4"/>
    <w:rsid w:val="2B6576DC"/>
    <w:rsid w:val="2B67A642"/>
    <w:rsid w:val="2B6A2A33"/>
    <w:rsid w:val="2B6A82B7"/>
    <w:rsid w:val="2B6CF543"/>
    <w:rsid w:val="2B6DA127"/>
    <w:rsid w:val="2B70AA53"/>
    <w:rsid w:val="2B7A843F"/>
    <w:rsid w:val="2B7BFA70"/>
    <w:rsid w:val="2B7DD3F6"/>
    <w:rsid w:val="2B8124A1"/>
    <w:rsid w:val="2B81850C"/>
    <w:rsid w:val="2B82FB5B"/>
    <w:rsid w:val="2B8D63E8"/>
    <w:rsid w:val="2B8F6BEC"/>
    <w:rsid w:val="2B9BE328"/>
    <w:rsid w:val="2BA2D149"/>
    <w:rsid w:val="2BA56764"/>
    <w:rsid w:val="2BAC40DE"/>
    <w:rsid w:val="2BB11D11"/>
    <w:rsid w:val="2BB8DBA5"/>
    <w:rsid w:val="2BB9509B"/>
    <w:rsid w:val="2BBBBFC6"/>
    <w:rsid w:val="2BBEC650"/>
    <w:rsid w:val="2BC205F1"/>
    <w:rsid w:val="2BC39201"/>
    <w:rsid w:val="2BD61C8F"/>
    <w:rsid w:val="2BD7689B"/>
    <w:rsid w:val="2BDD91CA"/>
    <w:rsid w:val="2BE6AF72"/>
    <w:rsid w:val="2BE78D3D"/>
    <w:rsid w:val="2BF881B1"/>
    <w:rsid w:val="2BFA2EEC"/>
    <w:rsid w:val="2C092393"/>
    <w:rsid w:val="2C0D4FA6"/>
    <w:rsid w:val="2C12B1E1"/>
    <w:rsid w:val="2C19DD89"/>
    <w:rsid w:val="2C1B4A4B"/>
    <w:rsid w:val="2C1DF2D1"/>
    <w:rsid w:val="2C2E48A4"/>
    <w:rsid w:val="2C30638C"/>
    <w:rsid w:val="2C31FE07"/>
    <w:rsid w:val="2C3E72C7"/>
    <w:rsid w:val="2C4605FD"/>
    <w:rsid w:val="2C47A34C"/>
    <w:rsid w:val="2C531E53"/>
    <w:rsid w:val="2C5BB809"/>
    <w:rsid w:val="2C5DB117"/>
    <w:rsid w:val="2C78C14A"/>
    <w:rsid w:val="2C790EAF"/>
    <w:rsid w:val="2C7BDDCB"/>
    <w:rsid w:val="2C7CD4ED"/>
    <w:rsid w:val="2C8A67F0"/>
    <w:rsid w:val="2C8D6981"/>
    <w:rsid w:val="2C9092A8"/>
    <w:rsid w:val="2C9BC16C"/>
    <w:rsid w:val="2C9C9A72"/>
    <w:rsid w:val="2CA695D6"/>
    <w:rsid w:val="2CA8B1F9"/>
    <w:rsid w:val="2CB6374B"/>
    <w:rsid w:val="2CB7A316"/>
    <w:rsid w:val="2CC61A85"/>
    <w:rsid w:val="2CC9F5A4"/>
    <w:rsid w:val="2CCD9441"/>
    <w:rsid w:val="2CCE3D23"/>
    <w:rsid w:val="2CD8501E"/>
    <w:rsid w:val="2CDAD780"/>
    <w:rsid w:val="2CDC29DE"/>
    <w:rsid w:val="2CE1A474"/>
    <w:rsid w:val="2CF09A61"/>
    <w:rsid w:val="2CF64D0B"/>
    <w:rsid w:val="2CFA6147"/>
    <w:rsid w:val="2CFAC3FB"/>
    <w:rsid w:val="2D01473D"/>
    <w:rsid w:val="2D106AA2"/>
    <w:rsid w:val="2D15EEFE"/>
    <w:rsid w:val="2D1638A2"/>
    <w:rsid w:val="2D185CF6"/>
    <w:rsid w:val="2D212D73"/>
    <w:rsid w:val="2D29860D"/>
    <w:rsid w:val="2D29F478"/>
    <w:rsid w:val="2D2B339E"/>
    <w:rsid w:val="2D2CD89D"/>
    <w:rsid w:val="2D2D0365"/>
    <w:rsid w:val="2D3ABF2A"/>
    <w:rsid w:val="2D570004"/>
    <w:rsid w:val="2D579A07"/>
    <w:rsid w:val="2D57A6AB"/>
    <w:rsid w:val="2D5B71CF"/>
    <w:rsid w:val="2D5CA21A"/>
    <w:rsid w:val="2D5D6188"/>
    <w:rsid w:val="2D5EE1CD"/>
    <w:rsid w:val="2D65C3D8"/>
    <w:rsid w:val="2D691DBA"/>
    <w:rsid w:val="2D71F0A0"/>
    <w:rsid w:val="2D736F46"/>
    <w:rsid w:val="2D78C387"/>
    <w:rsid w:val="2D7C8356"/>
    <w:rsid w:val="2D80CF77"/>
    <w:rsid w:val="2D85A2DD"/>
    <w:rsid w:val="2D8E2E06"/>
    <w:rsid w:val="2D8E336E"/>
    <w:rsid w:val="2D971438"/>
    <w:rsid w:val="2D99E3B0"/>
    <w:rsid w:val="2DA7723C"/>
    <w:rsid w:val="2DAC29D7"/>
    <w:rsid w:val="2DB0F01F"/>
    <w:rsid w:val="2DBD14A0"/>
    <w:rsid w:val="2DC3A727"/>
    <w:rsid w:val="2DC906B2"/>
    <w:rsid w:val="2DD55586"/>
    <w:rsid w:val="2DD6B43C"/>
    <w:rsid w:val="2DE1D65E"/>
    <w:rsid w:val="2DEDEAD4"/>
    <w:rsid w:val="2DF32255"/>
    <w:rsid w:val="2DF65C42"/>
    <w:rsid w:val="2E0378C8"/>
    <w:rsid w:val="2E057064"/>
    <w:rsid w:val="2E0874FF"/>
    <w:rsid w:val="2E1284F8"/>
    <w:rsid w:val="2E18A54E"/>
    <w:rsid w:val="2E18D506"/>
    <w:rsid w:val="2E18E783"/>
    <w:rsid w:val="2E26F9A3"/>
    <w:rsid w:val="2E278CC0"/>
    <w:rsid w:val="2E2E3608"/>
    <w:rsid w:val="2E3524DA"/>
    <w:rsid w:val="2E36A3F1"/>
    <w:rsid w:val="2E38BE1A"/>
    <w:rsid w:val="2E3CD2A2"/>
    <w:rsid w:val="2E537E92"/>
    <w:rsid w:val="2E5B875C"/>
    <w:rsid w:val="2E616CBA"/>
    <w:rsid w:val="2E67E715"/>
    <w:rsid w:val="2E6A2863"/>
    <w:rsid w:val="2E773572"/>
    <w:rsid w:val="2E7A4644"/>
    <w:rsid w:val="2E80FB22"/>
    <w:rsid w:val="2E8139FB"/>
    <w:rsid w:val="2E8C6AC2"/>
    <w:rsid w:val="2E901C07"/>
    <w:rsid w:val="2E903275"/>
    <w:rsid w:val="2E91A21B"/>
    <w:rsid w:val="2E9286D7"/>
    <w:rsid w:val="2E960ED8"/>
    <w:rsid w:val="2E97B30B"/>
    <w:rsid w:val="2E9B24C7"/>
    <w:rsid w:val="2E9B30B1"/>
    <w:rsid w:val="2EA18E61"/>
    <w:rsid w:val="2EA3DCCC"/>
    <w:rsid w:val="2EA541E9"/>
    <w:rsid w:val="2EB1D77F"/>
    <w:rsid w:val="2EB2DDED"/>
    <w:rsid w:val="2EB75BD0"/>
    <w:rsid w:val="2EBB34FA"/>
    <w:rsid w:val="2EC54C87"/>
    <w:rsid w:val="2ECB67B7"/>
    <w:rsid w:val="2ECEF68D"/>
    <w:rsid w:val="2EDD0826"/>
    <w:rsid w:val="2EE38586"/>
    <w:rsid w:val="2EE8AB95"/>
    <w:rsid w:val="2EF9A6B3"/>
    <w:rsid w:val="2EF9F3E5"/>
    <w:rsid w:val="2F028957"/>
    <w:rsid w:val="2F064C1E"/>
    <w:rsid w:val="2F065A65"/>
    <w:rsid w:val="2F13E6B4"/>
    <w:rsid w:val="2F1CA799"/>
    <w:rsid w:val="2F1DC3CC"/>
    <w:rsid w:val="2F2E4306"/>
    <w:rsid w:val="2F305F24"/>
    <w:rsid w:val="2F385809"/>
    <w:rsid w:val="2F4A58B7"/>
    <w:rsid w:val="2F4FC914"/>
    <w:rsid w:val="2F56FB88"/>
    <w:rsid w:val="2F658297"/>
    <w:rsid w:val="2F6ACB4B"/>
    <w:rsid w:val="2F6F9989"/>
    <w:rsid w:val="2F78402F"/>
    <w:rsid w:val="2F7DE222"/>
    <w:rsid w:val="2F8B556D"/>
    <w:rsid w:val="2F9110F4"/>
    <w:rsid w:val="2FA1E285"/>
    <w:rsid w:val="2FA43C0E"/>
    <w:rsid w:val="2FA8E055"/>
    <w:rsid w:val="2FA8F775"/>
    <w:rsid w:val="2FAB6708"/>
    <w:rsid w:val="2FAD9DE3"/>
    <w:rsid w:val="2FB72D2E"/>
    <w:rsid w:val="2FBBE9D3"/>
    <w:rsid w:val="2FBDA2D1"/>
    <w:rsid w:val="2FBFD96D"/>
    <w:rsid w:val="2FC207F2"/>
    <w:rsid w:val="2FC74DE1"/>
    <w:rsid w:val="2FDC62E4"/>
    <w:rsid w:val="2FF0884E"/>
    <w:rsid w:val="2FF3DDDA"/>
    <w:rsid w:val="2FFEDFC1"/>
    <w:rsid w:val="2FFF4A1D"/>
    <w:rsid w:val="30035FEB"/>
    <w:rsid w:val="30088049"/>
    <w:rsid w:val="300CD7E0"/>
    <w:rsid w:val="300E1E34"/>
    <w:rsid w:val="301330FF"/>
    <w:rsid w:val="3016FB90"/>
    <w:rsid w:val="301A3DC1"/>
    <w:rsid w:val="302ABECC"/>
    <w:rsid w:val="30326778"/>
    <w:rsid w:val="3034B107"/>
    <w:rsid w:val="30385E7B"/>
    <w:rsid w:val="305B61FC"/>
    <w:rsid w:val="305F831E"/>
    <w:rsid w:val="306CEECC"/>
    <w:rsid w:val="306DA9BF"/>
    <w:rsid w:val="30739961"/>
    <w:rsid w:val="307547B0"/>
    <w:rsid w:val="30766026"/>
    <w:rsid w:val="3077D970"/>
    <w:rsid w:val="307ACEA0"/>
    <w:rsid w:val="307F3338"/>
    <w:rsid w:val="3089AEF3"/>
    <w:rsid w:val="308B8442"/>
    <w:rsid w:val="308E6235"/>
    <w:rsid w:val="30923773"/>
    <w:rsid w:val="30956433"/>
    <w:rsid w:val="309A39E8"/>
    <w:rsid w:val="309D649A"/>
    <w:rsid w:val="309E59B8"/>
    <w:rsid w:val="30A8A423"/>
    <w:rsid w:val="30AA1D9C"/>
    <w:rsid w:val="30B654CC"/>
    <w:rsid w:val="30B79316"/>
    <w:rsid w:val="30C605A0"/>
    <w:rsid w:val="30C8516E"/>
    <w:rsid w:val="30C889BF"/>
    <w:rsid w:val="30DDD5ED"/>
    <w:rsid w:val="30DFB5F2"/>
    <w:rsid w:val="30E0696A"/>
    <w:rsid w:val="30E3616A"/>
    <w:rsid w:val="30E5C9B4"/>
    <w:rsid w:val="30E60844"/>
    <w:rsid w:val="30F0FC29"/>
    <w:rsid w:val="30F2ED58"/>
    <w:rsid w:val="30FD94A5"/>
    <w:rsid w:val="3100C750"/>
    <w:rsid w:val="3100E070"/>
    <w:rsid w:val="311400CD"/>
    <w:rsid w:val="311832C3"/>
    <w:rsid w:val="311F5E6B"/>
    <w:rsid w:val="3130EB23"/>
    <w:rsid w:val="31344143"/>
    <w:rsid w:val="31396F88"/>
    <w:rsid w:val="313B5BC2"/>
    <w:rsid w:val="314A8680"/>
    <w:rsid w:val="315434B6"/>
    <w:rsid w:val="315C5898"/>
    <w:rsid w:val="315F1485"/>
    <w:rsid w:val="31673AB2"/>
    <w:rsid w:val="316D5185"/>
    <w:rsid w:val="31733A56"/>
    <w:rsid w:val="31784A5E"/>
    <w:rsid w:val="3178949E"/>
    <w:rsid w:val="317A328F"/>
    <w:rsid w:val="317BD417"/>
    <w:rsid w:val="317EE155"/>
    <w:rsid w:val="31851D35"/>
    <w:rsid w:val="318B3F45"/>
    <w:rsid w:val="318C7082"/>
    <w:rsid w:val="318EAB26"/>
    <w:rsid w:val="3195CDA4"/>
    <w:rsid w:val="319F22C3"/>
    <w:rsid w:val="31A10564"/>
    <w:rsid w:val="31A2C075"/>
    <w:rsid w:val="31A85438"/>
    <w:rsid w:val="31BA0245"/>
    <w:rsid w:val="31C1544E"/>
    <w:rsid w:val="31C58D05"/>
    <w:rsid w:val="31C8C808"/>
    <w:rsid w:val="31D9DCC6"/>
    <w:rsid w:val="31DE87D0"/>
    <w:rsid w:val="31E324DE"/>
    <w:rsid w:val="31E63C85"/>
    <w:rsid w:val="31EC3550"/>
    <w:rsid w:val="31F62013"/>
    <w:rsid w:val="31F957BE"/>
    <w:rsid w:val="31F999D6"/>
    <w:rsid w:val="31FA3AB2"/>
    <w:rsid w:val="31FA40B8"/>
    <w:rsid w:val="31FDDAE4"/>
    <w:rsid w:val="32039833"/>
    <w:rsid w:val="32039AB2"/>
    <w:rsid w:val="32049C8B"/>
    <w:rsid w:val="320E0577"/>
    <w:rsid w:val="320F201C"/>
    <w:rsid w:val="320F69C2"/>
    <w:rsid w:val="32121F55"/>
    <w:rsid w:val="3218A380"/>
    <w:rsid w:val="322F2222"/>
    <w:rsid w:val="322FC39F"/>
    <w:rsid w:val="323011E7"/>
    <w:rsid w:val="323798D1"/>
    <w:rsid w:val="32396D65"/>
    <w:rsid w:val="3244DCF6"/>
    <w:rsid w:val="324D6662"/>
    <w:rsid w:val="324DD4EC"/>
    <w:rsid w:val="3255261D"/>
    <w:rsid w:val="3257C523"/>
    <w:rsid w:val="325B6F00"/>
    <w:rsid w:val="325CC8C8"/>
    <w:rsid w:val="325E09E2"/>
    <w:rsid w:val="326E8CFA"/>
    <w:rsid w:val="326F6FC4"/>
    <w:rsid w:val="32716C82"/>
    <w:rsid w:val="3273ACF6"/>
    <w:rsid w:val="3275AD4E"/>
    <w:rsid w:val="3279C869"/>
    <w:rsid w:val="327A8895"/>
    <w:rsid w:val="3280D31C"/>
    <w:rsid w:val="328ECAEE"/>
    <w:rsid w:val="3297DCDA"/>
    <w:rsid w:val="329A5E6A"/>
    <w:rsid w:val="329E14D9"/>
    <w:rsid w:val="329EC4F2"/>
    <w:rsid w:val="32A73738"/>
    <w:rsid w:val="32C033FC"/>
    <w:rsid w:val="32C24A11"/>
    <w:rsid w:val="32C2A575"/>
    <w:rsid w:val="32C33FB3"/>
    <w:rsid w:val="32C9669C"/>
    <w:rsid w:val="32CD7414"/>
    <w:rsid w:val="32D0E80D"/>
    <w:rsid w:val="32D46B7F"/>
    <w:rsid w:val="32D57F32"/>
    <w:rsid w:val="32E26C30"/>
    <w:rsid w:val="32E3D56F"/>
    <w:rsid w:val="32E96859"/>
    <w:rsid w:val="32E99734"/>
    <w:rsid w:val="32FEA085"/>
    <w:rsid w:val="33031735"/>
    <w:rsid w:val="33084F5E"/>
    <w:rsid w:val="3318ED7C"/>
    <w:rsid w:val="331A804F"/>
    <w:rsid w:val="331FD380"/>
    <w:rsid w:val="332AF839"/>
    <w:rsid w:val="332B0F9D"/>
    <w:rsid w:val="3356611B"/>
    <w:rsid w:val="3358AD39"/>
    <w:rsid w:val="335A475E"/>
    <w:rsid w:val="335F10BF"/>
    <w:rsid w:val="335FCA05"/>
    <w:rsid w:val="335FEC79"/>
    <w:rsid w:val="3362B815"/>
    <w:rsid w:val="3375C0F4"/>
    <w:rsid w:val="337A4F66"/>
    <w:rsid w:val="337B0189"/>
    <w:rsid w:val="337F2492"/>
    <w:rsid w:val="338F4AFD"/>
    <w:rsid w:val="3391C673"/>
    <w:rsid w:val="339A7DD1"/>
    <w:rsid w:val="33A09653"/>
    <w:rsid w:val="33A91207"/>
    <w:rsid w:val="33ABC171"/>
    <w:rsid w:val="33BBB0C2"/>
    <w:rsid w:val="33BF1FEC"/>
    <w:rsid w:val="33BFE238"/>
    <w:rsid w:val="33C6ADC2"/>
    <w:rsid w:val="33CAF283"/>
    <w:rsid w:val="33D0BD26"/>
    <w:rsid w:val="33D0DF84"/>
    <w:rsid w:val="33D4008F"/>
    <w:rsid w:val="33D59879"/>
    <w:rsid w:val="33D73136"/>
    <w:rsid w:val="33DFC620"/>
    <w:rsid w:val="33E30F80"/>
    <w:rsid w:val="33E3786C"/>
    <w:rsid w:val="33E5FFF7"/>
    <w:rsid w:val="33EA0224"/>
    <w:rsid w:val="33F030EB"/>
    <w:rsid w:val="33F480E8"/>
    <w:rsid w:val="3405F916"/>
    <w:rsid w:val="34078EB4"/>
    <w:rsid w:val="340B4025"/>
    <w:rsid w:val="341123A7"/>
    <w:rsid w:val="34185272"/>
    <w:rsid w:val="341B1F22"/>
    <w:rsid w:val="341C8101"/>
    <w:rsid w:val="341DBFF5"/>
    <w:rsid w:val="341F67A0"/>
    <w:rsid w:val="3424FA78"/>
    <w:rsid w:val="34268DA6"/>
    <w:rsid w:val="342C5624"/>
    <w:rsid w:val="3436BAA3"/>
    <w:rsid w:val="343D20A9"/>
    <w:rsid w:val="343D68A6"/>
    <w:rsid w:val="343E62AE"/>
    <w:rsid w:val="34405598"/>
    <w:rsid w:val="344EBEE1"/>
    <w:rsid w:val="34531259"/>
    <w:rsid w:val="3456D897"/>
    <w:rsid w:val="3460F592"/>
    <w:rsid w:val="34650666"/>
    <w:rsid w:val="347535A6"/>
    <w:rsid w:val="347C5178"/>
    <w:rsid w:val="347C7DBF"/>
    <w:rsid w:val="34806298"/>
    <w:rsid w:val="34857515"/>
    <w:rsid w:val="348873B5"/>
    <w:rsid w:val="348FAB52"/>
    <w:rsid w:val="349427A9"/>
    <w:rsid w:val="349579D5"/>
    <w:rsid w:val="34987B66"/>
    <w:rsid w:val="34993D21"/>
    <w:rsid w:val="34BE0304"/>
    <w:rsid w:val="34C767E5"/>
    <w:rsid w:val="34D8A7CA"/>
    <w:rsid w:val="34E5254B"/>
    <w:rsid w:val="34EF4314"/>
    <w:rsid w:val="34F2D5F7"/>
    <w:rsid w:val="34F34A38"/>
    <w:rsid w:val="34F541B0"/>
    <w:rsid w:val="34F92CF2"/>
    <w:rsid w:val="350480E0"/>
    <w:rsid w:val="3505A712"/>
    <w:rsid w:val="3510C1F6"/>
    <w:rsid w:val="3512E2C6"/>
    <w:rsid w:val="3514C9AA"/>
    <w:rsid w:val="3524F39E"/>
    <w:rsid w:val="352B2C2C"/>
    <w:rsid w:val="3531ECCB"/>
    <w:rsid w:val="3534769B"/>
    <w:rsid w:val="3544DAD5"/>
    <w:rsid w:val="35457933"/>
    <w:rsid w:val="354D8E1F"/>
    <w:rsid w:val="35524201"/>
    <w:rsid w:val="3567F9E1"/>
    <w:rsid w:val="35693569"/>
    <w:rsid w:val="3570D5BD"/>
    <w:rsid w:val="357801F1"/>
    <w:rsid w:val="35821094"/>
    <w:rsid w:val="35829A34"/>
    <w:rsid w:val="358332EE"/>
    <w:rsid w:val="358627FF"/>
    <w:rsid w:val="358DACD2"/>
    <w:rsid w:val="35978942"/>
    <w:rsid w:val="359E3090"/>
    <w:rsid w:val="35A2A3C7"/>
    <w:rsid w:val="35A2F160"/>
    <w:rsid w:val="35AD3C9D"/>
    <w:rsid w:val="35B40A48"/>
    <w:rsid w:val="35B537C9"/>
    <w:rsid w:val="35B854AF"/>
    <w:rsid w:val="35BC782E"/>
    <w:rsid w:val="35C04BBD"/>
    <w:rsid w:val="35C652A2"/>
    <w:rsid w:val="35CBD10C"/>
    <w:rsid w:val="35D058F6"/>
    <w:rsid w:val="35D822B0"/>
    <w:rsid w:val="35D9A314"/>
    <w:rsid w:val="35DC3A4C"/>
    <w:rsid w:val="35E05E89"/>
    <w:rsid w:val="35E50496"/>
    <w:rsid w:val="35E77D5B"/>
    <w:rsid w:val="35E781B3"/>
    <w:rsid w:val="35E9F5BB"/>
    <w:rsid w:val="35FC9958"/>
    <w:rsid w:val="36164A33"/>
    <w:rsid w:val="3619AAA4"/>
    <w:rsid w:val="361DF7A3"/>
    <w:rsid w:val="36320B88"/>
    <w:rsid w:val="36338279"/>
    <w:rsid w:val="3641CB2B"/>
    <w:rsid w:val="364669F0"/>
    <w:rsid w:val="364DD663"/>
    <w:rsid w:val="365AB92C"/>
    <w:rsid w:val="365DCDCD"/>
    <w:rsid w:val="3660CDB6"/>
    <w:rsid w:val="3686DB81"/>
    <w:rsid w:val="36885002"/>
    <w:rsid w:val="3690D584"/>
    <w:rsid w:val="369E6650"/>
    <w:rsid w:val="36A01007"/>
    <w:rsid w:val="36A6D2F8"/>
    <w:rsid w:val="36A9512F"/>
    <w:rsid w:val="36ADAA0B"/>
    <w:rsid w:val="36B1B75B"/>
    <w:rsid w:val="36B76666"/>
    <w:rsid w:val="36BAEFA3"/>
    <w:rsid w:val="36BB27CD"/>
    <w:rsid w:val="36BF7F5E"/>
    <w:rsid w:val="36C6CCDB"/>
    <w:rsid w:val="36D046FC"/>
    <w:rsid w:val="36D4C3DA"/>
    <w:rsid w:val="36DD0887"/>
    <w:rsid w:val="36EFE87E"/>
    <w:rsid w:val="36F34379"/>
    <w:rsid w:val="36F68C02"/>
    <w:rsid w:val="36FB24D2"/>
    <w:rsid w:val="36FC3EC7"/>
    <w:rsid w:val="3700FEE5"/>
    <w:rsid w:val="370CF3C5"/>
    <w:rsid w:val="370E1D0F"/>
    <w:rsid w:val="3710C335"/>
    <w:rsid w:val="3715BEEF"/>
    <w:rsid w:val="37255740"/>
    <w:rsid w:val="3734FC13"/>
    <w:rsid w:val="373515B4"/>
    <w:rsid w:val="373917AA"/>
    <w:rsid w:val="373C77AE"/>
    <w:rsid w:val="37405642"/>
    <w:rsid w:val="3742F9A8"/>
    <w:rsid w:val="37479B78"/>
    <w:rsid w:val="37497E38"/>
    <w:rsid w:val="3749835D"/>
    <w:rsid w:val="374B6029"/>
    <w:rsid w:val="374D191A"/>
    <w:rsid w:val="374D6652"/>
    <w:rsid w:val="374DF9B8"/>
    <w:rsid w:val="37502E78"/>
    <w:rsid w:val="3758B201"/>
    <w:rsid w:val="375A2CE5"/>
    <w:rsid w:val="3760C108"/>
    <w:rsid w:val="3763F6E6"/>
    <w:rsid w:val="376CE881"/>
    <w:rsid w:val="377224FF"/>
    <w:rsid w:val="37733493"/>
    <w:rsid w:val="377F8A58"/>
    <w:rsid w:val="377FCF3E"/>
    <w:rsid w:val="37805C11"/>
    <w:rsid w:val="3780D4F7"/>
    <w:rsid w:val="378A060F"/>
    <w:rsid w:val="37AC12FF"/>
    <w:rsid w:val="37AF5349"/>
    <w:rsid w:val="37BAB67D"/>
    <w:rsid w:val="37C2E56A"/>
    <w:rsid w:val="37C74A62"/>
    <w:rsid w:val="37C9FDB9"/>
    <w:rsid w:val="37CA6816"/>
    <w:rsid w:val="37CB015C"/>
    <w:rsid w:val="37D01C28"/>
    <w:rsid w:val="37D407EC"/>
    <w:rsid w:val="37D5D953"/>
    <w:rsid w:val="37D67C36"/>
    <w:rsid w:val="37E0DFEC"/>
    <w:rsid w:val="37E46E50"/>
    <w:rsid w:val="37E4A55E"/>
    <w:rsid w:val="37F4BA5D"/>
    <w:rsid w:val="3809225E"/>
    <w:rsid w:val="3810AAD7"/>
    <w:rsid w:val="381EBF02"/>
    <w:rsid w:val="3821288A"/>
    <w:rsid w:val="38378BC6"/>
    <w:rsid w:val="383A331F"/>
    <w:rsid w:val="383AC8C1"/>
    <w:rsid w:val="3843C703"/>
    <w:rsid w:val="3848333E"/>
    <w:rsid w:val="384BE76A"/>
    <w:rsid w:val="385B76D4"/>
    <w:rsid w:val="38662F5F"/>
    <w:rsid w:val="386ABB8A"/>
    <w:rsid w:val="38AE6ACC"/>
    <w:rsid w:val="38B1F207"/>
    <w:rsid w:val="38B33743"/>
    <w:rsid w:val="38B338D1"/>
    <w:rsid w:val="38B7B783"/>
    <w:rsid w:val="38BA1314"/>
    <w:rsid w:val="38C2C644"/>
    <w:rsid w:val="38CB4C9D"/>
    <w:rsid w:val="38D0969E"/>
    <w:rsid w:val="38E9C7AE"/>
    <w:rsid w:val="38EE3C3C"/>
    <w:rsid w:val="38EE7404"/>
    <w:rsid w:val="38F07328"/>
    <w:rsid w:val="38F417E3"/>
    <w:rsid w:val="38F93611"/>
    <w:rsid w:val="38FB10BB"/>
    <w:rsid w:val="38FCB626"/>
    <w:rsid w:val="3901051E"/>
    <w:rsid w:val="3905A8E4"/>
    <w:rsid w:val="3907AD6A"/>
    <w:rsid w:val="3907C04A"/>
    <w:rsid w:val="39104E72"/>
    <w:rsid w:val="39110294"/>
    <w:rsid w:val="3912AC35"/>
    <w:rsid w:val="3919B0CD"/>
    <w:rsid w:val="391F3569"/>
    <w:rsid w:val="39270FFB"/>
    <w:rsid w:val="39355745"/>
    <w:rsid w:val="393B08D2"/>
    <w:rsid w:val="393C9FD2"/>
    <w:rsid w:val="3948230B"/>
    <w:rsid w:val="394C0218"/>
    <w:rsid w:val="394FC65E"/>
    <w:rsid w:val="39599D23"/>
    <w:rsid w:val="395AA5B8"/>
    <w:rsid w:val="395AFFAF"/>
    <w:rsid w:val="395BA674"/>
    <w:rsid w:val="395EFCFC"/>
    <w:rsid w:val="3962B682"/>
    <w:rsid w:val="3965E4AA"/>
    <w:rsid w:val="396BEC89"/>
    <w:rsid w:val="397954F5"/>
    <w:rsid w:val="397C12D1"/>
    <w:rsid w:val="3982672E"/>
    <w:rsid w:val="398514E6"/>
    <w:rsid w:val="3985B1DD"/>
    <w:rsid w:val="398CFC5B"/>
    <w:rsid w:val="399B7643"/>
    <w:rsid w:val="39A32155"/>
    <w:rsid w:val="39AA5F26"/>
    <w:rsid w:val="39ACF4DC"/>
    <w:rsid w:val="39B03D4B"/>
    <w:rsid w:val="39B4CA65"/>
    <w:rsid w:val="39C5ED28"/>
    <w:rsid w:val="39CBC52B"/>
    <w:rsid w:val="39CCA04C"/>
    <w:rsid w:val="39D9B315"/>
    <w:rsid w:val="39DDB7A1"/>
    <w:rsid w:val="39E156C4"/>
    <w:rsid w:val="39E306E9"/>
    <w:rsid w:val="39E5090C"/>
    <w:rsid w:val="39ECC2DE"/>
    <w:rsid w:val="39EED825"/>
    <w:rsid w:val="39EF83E3"/>
    <w:rsid w:val="39EFEC76"/>
    <w:rsid w:val="39F46636"/>
    <w:rsid w:val="39F6C06C"/>
    <w:rsid w:val="39F95CEF"/>
    <w:rsid w:val="39FF239B"/>
    <w:rsid w:val="3A00C0EA"/>
    <w:rsid w:val="3A0181B7"/>
    <w:rsid w:val="3A07E7BE"/>
    <w:rsid w:val="3A0940D0"/>
    <w:rsid w:val="3A0A25C1"/>
    <w:rsid w:val="3A0AC023"/>
    <w:rsid w:val="3A0EF0CD"/>
    <w:rsid w:val="3A2A2504"/>
    <w:rsid w:val="3A2D33BD"/>
    <w:rsid w:val="3A2F9A9E"/>
    <w:rsid w:val="3A315738"/>
    <w:rsid w:val="3A3D6BA7"/>
    <w:rsid w:val="3A4015BB"/>
    <w:rsid w:val="3A417060"/>
    <w:rsid w:val="3A41AB30"/>
    <w:rsid w:val="3A420873"/>
    <w:rsid w:val="3A45AC07"/>
    <w:rsid w:val="3A48343D"/>
    <w:rsid w:val="3A5CF802"/>
    <w:rsid w:val="3A60ADF9"/>
    <w:rsid w:val="3A652FED"/>
    <w:rsid w:val="3A6588E6"/>
    <w:rsid w:val="3A6BE0B9"/>
    <w:rsid w:val="3A6F33B4"/>
    <w:rsid w:val="3A728758"/>
    <w:rsid w:val="3A750C3A"/>
    <w:rsid w:val="3A7B0258"/>
    <w:rsid w:val="3A7C5ABE"/>
    <w:rsid w:val="3A8666E4"/>
    <w:rsid w:val="3A8A3061"/>
    <w:rsid w:val="3A8CD3EF"/>
    <w:rsid w:val="3A900F96"/>
    <w:rsid w:val="3A90E037"/>
    <w:rsid w:val="3AA3DBBF"/>
    <w:rsid w:val="3AA7358F"/>
    <w:rsid w:val="3AAC9CF1"/>
    <w:rsid w:val="3AAD0AC3"/>
    <w:rsid w:val="3ABD66DE"/>
    <w:rsid w:val="3ABDC8E1"/>
    <w:rsid w:val="3ACBCCFE"/>
    <w:rsid w:val="3ACD982E"/>
    <w:rsid w:val="3AD11A56"/>
    <w:rsid w:val="3ADDEDB0"/>
    <w:rsid w:val="3AE245AB"/>
    <w:rsid w:val="3AE95372"/>
    <w:rsid w:val="3AF0CB5A"/>
    <w:rsid w:val="3AF56356"/>
    <w:rsid w:val="3AF641B6"/>
    <w:rsid w:val="3AF6B201"/>
    <w:rsid w:val="3AFA028A"/>
    <w:rsid w:val="3AFDE025"/>
    <w:rsid w:val="3AFE18C5"/>
    <w:rsid w:val="3B034F81"/>
    <w:rsid w:val="3B042949"/>
    <w:rsid w:val="3B0450EB"/>
    <w:rsid w:val="3B14454E"/>
    <w:rsid w:val="3B15F383"/>
    <w:rsid w:val="3B186189"/>
    <w:rsid w:val="3B2394E3"/>
    <w:rsid w:val="3B244C8F"/>
    <w:rsid w:val="3B2E2E21"/>
    <w:rsid w:val="3B2E4FF9"/>
    <w:rsid w:val="3B3581E9"/>
    <w:rsid w:val="3B45B3E0"/>
    <w:rsid w:val="3B49CE4A"/>
    <w:rsid w:val="3B4D1D31"/>
    <w:rsid w:val="3B537355"/>
    <w:rsid w:val="3B5BBBD0"/>
    <w:rsid w:val="3B6878E2"/>
    <w:rsid w:val="3B7034F0"/>
    <w:rsid w:val="3B75664A"/>
    <w:rsid w:val="3B82587F"/>
    <w:rsid w:val="3B83882C"/>
    <w:rsid w:val="3B844035"/>
    <w:rsid w:val="3B8E54C1"/>
    <w:rsid w:val="3BAA575A"/>
    <w:rsid w:val="3BACA2EA"/>
    <w:rsid w:val="3BAE53EA"/>
    <w:rsid w:val="3BB5A3F5"/>
    <w:rsid w:val="3BB74A9E"/>
    <w:rsid w:val="3BBD39DE"/>
    <w:rsid w:val="3BBF4E90"/>
    <w:rsid w:val="3BC15B21"/>
    <w:rsid w:val="3BC78201"/>
    <w:rsid w:val="3BCB00D0"/>
    <w:rsid w:val="3BCCE82E"/>
    <w:rsid w:val="3BCDB671"/>
    <w:rsid w:val="3BD3ECE3"/>
    <w:rsid w:val="3BD76052"/>
    <w:rsid w:val="3BDBCA1B"/>
    <w:rsid w:val="3BE669EF"/>
    <w:rsid w:val="3BE99E99"/>
    <w:rsid w:val="3BEBE731"/>
    <w:rsid w:val="3BEBF5C6"/>
    <w:rsid w:val="3BF05355"/>
    <w:rsid w:val="3BF7962F"/>
    <w:rsid w:val="3BF7BBDF"/>
    <w:rsid w:val="3BF8C863"/>
    <w:rsid w:val="3BFCEE56"/>
    <w:rsid w:val="3C014840"/>
    <w:rsid w:val="3C019C92"/>
    <w:rsid w:val="3C09BD5A"/>
    <w:rsid w:val="3C0A4A16"/>
    <w:rsid w:val="3C116907"/>
    <w:rsid w:val="3C15F66C"/>
    <w:rsid w:val="3C193E83"/>
    <w:rsid w:val="3C1E4D62"/>
    <w:rsid w:val="3C236457"/>
    <w:rsid w:val="3C2470AB"/>
    <w:rsid w:val="3C2969DE"/>
    <w:rsid w:val="3C2F7A67"/>
    <w:rsid w:val="3C33396B"/>
    <w:rsid w:val="3C3E8685"/>
    <w:rsid w:val="3C474B98"/>
    <w:rsid w:val="3C47E67B"/>
    <w:rsid w:val="3C585833"/>
    <w:rsid w:val="3C5937A3"/>
    <w:rsid w:val="3C5A7950"/>
    <w:rsid w:val="3C6040E4"/>
    <w:rsid w:val="3C6306CE"/>
    <w:rsid w:val="3C6ABE93"/>
    <w:rsid w:val="3C6D1E23"/>
    <w:rsid w:val="3C6EE58A"/>
    <w:rsid w:val="3C7893EC"/>
    <w:rsid w:val="3C7A5D3D"/>
    <w:rsid w:val="3C90AD63"/>
    <w:rsid w:val="3C963E9A"/>
    <w:rsid w:val="3C9891E6"/>
    <w:rsid w:val="3C989AF9"/>
    <w:rsid w:val="3CA2C3FD"/>
    <w:rsid w:val="3CA31391"/>
    <w:rsid w:val="3CA8F9B1"/>
    <w:rsid w:val="3CB406B2"/>
    <w:rsid w:val="3CB5204D"/>
    <w:rsid w:val="3CBCB5A8"/>
    <w:rsid w:val="3CC649ED"/>
    <w:rsid w:val="3CC6DF74"/>
    <w:rsid w:val="3CC74225"/>
    <w:rsid w:val="3CCA0B4B"/>
    <w:rsid w:val="3CCD025C"/>
    <w:rsid w:val="3CD7730E"/>
    <w:rsid w:val="3CDB2F30"/>
    <w:rsid w:val="3CDCF4A8"/>
    <w:rsid w:val="3CE5FE6F"/>
    <w:rsid w:val="3CF01AF8"/>
    <w:rsid w:val="3CFBCD13"/>
    <w:rsid w:val="3D039D03"/>
    <w:rsid w:val="3D0845F5"/>
    <w:rsid w:val="3D0A14FD"/>
    <w:rsid w:val="3D0A2463"/>
    <w:rsid w:val="3D0EF17E"/>
    <w:rsid w:val="3D2EE7F7"/>
    <w:rsid w:val="3D37513D"/>
    <w:rsid w:val="3D44534D"/>
    <w:rsid w:val="3D4C8109"/>
    <w:rsid w:val="3D510EB3"/>
    <w:rsid w:val="3D52367E"/>
    <w:rsid w:val="3D54E32E"/>
    <w:rsid w:val="3D5B1EF1"/>
    <w:rsid w:val="3D61B834"/>
    <w:rsid w:val="3D6CAFA1"/>
    <w:rsid w:val="3D79FB97"/>
    <w:rsid w:val="3D7B2867"/>
    <w:rsid w:val="3D8E2524"/>
    <w:rsid w:val="3D98BEB7"/>
    <w:rsid w:val="3D9AAEDD"/>
    <w:rsid w:val="3DA25C6D"/>
    <w:rsid w:val="3DBF4194"/>
    <w:rsid w:val="3DCE02D3"/>
    <w:rsid w:val="3DDD6B0D"/>
    <w:rsid w:val="3DE2BBE2"/>
    <w:rsid w:val="3DE3FEF4"/>
    <w:rsid w:val="3DEAF5A5"/>
    <w:rsid w:val="3DFA811E"/>
    <w:rsid w:val="3DFD0C18"/>
    <w:rsid w:val="3DFDB403"/>
    <w:rsid w:val="3E02E1C4"/>
    <w:rsid w:val="3E085688"/>
    <w:rsid w:val="3E0864DA"/>
    <w:rsid w:val="3E0D9D98"/>
    <w:rsid w:val="3E0F6E2B"/>
    <w:rsid w:val="3E17BCF6"/>
    <w:rsid w:val="3E2333BE"/>
    <w:rsid w:val="3E3191E3"/>
    <w:rsid w:val="3E3265E7"/>
    <w:rsid w:val="3E3E43FB"/>
    <w:rsid w:val="3E3F5DAC"/>
    <w:rsid w:val="3E41D561"/>
    <w:rsid w:val="3E474B32"/>
    <w:rsid w:val="3E525A50"/>
    <w:rsid w:val="3E61A100"/>
    <w:rsid w:val="3E7134B3"/>
    <w:rsid w:val="3E76FF91"/>
    <w:rsid w:val="3E778633"/>
    <w:rsid w:val="3E8B0381"/>
    <w:rsid w:val="3E8C8E3A"/>
    <w:rsid w:val="3E94E00B"/>
    <w:rsid w:val="3E9BF731"/>
    <w:rsid w:val="3EA019A4"/>
    <w:rsid w:val="3EA15732"/>
    <w:rsid w:val="3EA49CF9"/>
    <w:rsid w:val="3EB04042"/>
    <w:rsid w:val="3EB9F941"/>
    <w:rsid w:val="3EBB2F22"/>
    <w:rsid w:val="3ECAB858"/>
    <w:rsid w:val="3ED23D63"/>
    <w:rsid w:val="3ED6343B"/>
    <w:rsid w:val="3EDB9A53"/>
    <w:rsid w:val="3EE01767"/>
    <w:rsid w:val="3EE02B91"/>
    <w:rsid w:val="3EE3E440"/>
    <w:rsid w:val="3EE99BC4"/>
    <w:rsid w:val="3EED9608"/>
    <w:rsid w:val="3EF30342"/>
    <w:rsid w:val="3EF6EF52"/>
    <w:rsid w:val="3EF88549"/>
    <w:rsid w:val="3EFB1976"/>
    <w:rsid w:val="3F00474A"/>
    <w:rsid w:val="3F09CF2F"/>
    <w:rsid w:val="3F13362E"/>
    <w:rsid w:val="3F192EF4"/>
    <w:rsid w:val="3F1E9FAB"/>
    <w:rsid w:val="3F22F092"/>
    <w:rsid w:val="3F236256"/>
    <w:rsid w:val="3F297C7A"/>
    <w:rsid w:val="3F302DA5"/>
    <w:rsid w:val="3F46E300"/>
    <w:rsid w:val="3F556ABD"/>
    <w:rsid w:val="3F58FE8D"/>
    <w:rsid w:val="3F5B2085"/>
    <w:rsid w:val="3F5D5499"/>
    <w:rsid w:val="3F6821E0"/>
    <w:rsid w:val="3F6D472C"/>
    <w:rsid w:val="3F7C3F7B"/>
    <w:rsid w:val="3F832887"/>
    <w:rsid w:val="3F910D7A"/>
    <w:rsid w:val="3F97025C"/>
    <w:rsid w:val="3F9B4E64"/>
    <w:rsid w:val="3F9F7247"/>
    <w:rsid w:val="3FA6A48A"/>
    <w:rsid w:val="3FA7E58E"/>
    <w:rsid w:val="3FAAB374"/>
    <w:rsid w:val="3FB0D0CF"/>
    <w:rsid w:val="3FB14FFE"/>
    <w:rsid w:val="3FB1C37D"/>
    <w:rsid w:val="3FB206ED"/>
    <w:rsid w:val="3FBA1D0F"/>
    <w:rsid w:val="3FBB439C"/>
    <w:rsid w:val="3FC0E6E1"/>
    <w:rsid w:val="3FC29F4C"/>
    <w:rsid w:val="3FD189E8"/>
    <w:rsid w:val="3FD24C04"/>
    <w:rsid w:val="3FDC52E8"/>
    <w:rsid w:val="3FDDEABD"/>
    <w:rsid w:val="3FEB0B65"/>
    <w:rsid w:val="3FEB526C"/>
    <w:rsid w:val="3FED5B7E"/>
    <w:rsid w:val="3FF32FC2"/>
    <w:rsid w:val="3FF5D9FD"/>
    <w:rsid w:val="40026497"/>
    <w:rsid w:val="40060F2B"/>
    <w:rsid w:val="4007A85D"/>
    <w:rsid w:val="40084398"/>
    <w:rsid w:val="400F97FF"/>
    <w:rsid w:val="4011B20A"/>
    <w:rsid w:val="4017B4C6"/>
    <w:rsid w:val="402FAF10"/>
    <w:rsid w:val="4032D510"/>
    <w:rsid w:val="40372CCD"/>
    <w:rsid w:val="403B9B98"/>
    <w:rsid w:val="403BEA05"/>
    <w:rsid w:val="403D2793"/>
    <w:rsid w:val="40415446"/>
    <w:rsid w:val="40433215"/>
    <w:rsid w:val="4045B284"/>
    <w:rsid w:val="404B79A0"/>
    <w:rsid w:val="40503813"/>
    <w:rsid w:val="405BF939"/>
    <w:rsid w:val="4062F454"/>
    <w:rsid w:val="4067B664"/>
    <w:rsid w:val="406BA4CF"/>
    <w:rsid w:val="40705903"/>
    <w:rsid w:val="40745534"/>
    <w:rsid w:val="4074B3B4"/>
    <w:rsid w:val="4076EBF5"/>
    <w:rsid w:val="407B025E"/>
    <w:rsid w:val="407FA24F"/>
    <w:rsid w:val="40882770"/>
    <w:rsid w:val="408FF26F"/>
    <w:rsid w:val="40904987"/>
    <w:rsid w:val="4090B46B"/>
    <w:rsid w:val="40916A7E"/>
    <w:rsid w:val="40943A52"/>
    <w:rsid w:val="40A5CF48"/>
    <w:rsid w:val="40A74B44"/>
    <w:rsid w:val="40AADED8"/>
    <w:rsid w:val="40AF1895"/>
    <w:rsid w:val="40B19A38"/>
    <w:rsid w:val="40B37A9D"/>
    <w:rsid w:val="40C2EB3A"/>
    <w:rsid w:val="40C605E7"/>
    <w:rsid w:val="40C82EEC"/>
    <w:rsid w:val="40CEF100"/>
    <w:rsid w:val="40CF2453"/>
    <w:rsid w:val="40DD2241"/>
    <w:rsid w:val="40E3E9F4"/>
    <w:rsid w:val="40E4B549"/>
    <w:rsid w:val="40E50469"/>
    <w:rsid w:val="40E607B4"/>
    <w:rsid w:val="40E6C20C"/>
    <w:rsid w:val="40E8999B"/>
    <w:rsid w:val="40F0F134"/>
    <w:rsid w:val="40F3EAC5"/>
    <w:rsid w:val="41032EE8"/>
    <w:rsid w:val="41051E57"/>
    <w:rsid w:val="4109D67B"/>
    <w:rsid w:val="410E65C4"/>
    <w:rsid w:val="41305C32"/>
    <w:rsid w:val="4133433E"/>
    <w:rsid w:val="41365028"/>
    <w:rsid w:val="413E58CC"/>
    <w:rsid w:val="4140059C"/>
    <w:rsid w:val="41480A33"/>
    <w:rsid w:val="414902EF"/>
    <w:rsid w:val="414999A9"/>
    <w:rsid w:val="41539B6F"/>
    <w:rsid w:val="41559013"/>
    <w:rsid w:val="415920E7"/>
    <w:rsid w:val="415C28EF"/>
    <w:rsid w:val="415C40CF"/>
    <w:rsid w:val="415D2410"/>
    <w:rsid w:val="415E02A3"/>
    <w:rsid w:val="4161361F"/>
    <w:rsid w:val="4162D1AA"/>
    <w:rsid w:val="41644A03"/>
    <w:rsid w:val="416A4FB8"/>
    <w:rsid w:val="4174DD91"/>
    <w:rsid w:val="4174F435"/>
    <w:rsid w:val="41797623"/>
    <w:rsid w:val="4182FF53"/>
    <w:rsid w:val="41A26C15"/>
    <w:rsid w:val="41A4E44B"/>
    <w:rsid w:val="41B1AD9C"/>
    <w:rsid w:val="41B3FDC2"/>
    <w:rsid w:val="41B40DA2"/>
    <w:rsid w:val="41B53EA4"/>
    <w:rsid w:val="41C47DB3"/>
    <w:rsid w:val="41D03E2C"/>
    <w:rsid w:val="41D9EE16"/>
    <w:rsid w:val="41DB9579"/>
    <w:rsid w:val="41E1733E"/>
    <w:rsid w:val="41E3E23E"/>
    <w:rsid w:val="41EEAA0E"/>
    <w:rsid w:val="420693AF"/>
    <w:rsid w:val="4212DD6E"/>
    <w:rsid w:val="421397DE"/>
    <w:rsid w:val="421734F6"/>
    <w:rsid w:val="42193B03"/>
    <w:rsid w:val="42254C66"/>
    <w:rsid w:val="422E1787"/>
    <w:rsid w:val="423353D8"/>
    <w:rsid w:val="42371FAA"/>
    <w:rsid w:val="423A8B49"/>
    <w:rsid w:val="423D256B"/>
    <w:rsid w:val="42447C86"/>
    <w:rsid w:val="42461158"/>
    <w:rsid w:val="424CC901"/>
    <w:rsid w:val="424F57C1"/>
    <w:rsid w:val="424FEBE2"/>
    <w:rsid w:val="425E9564"/>
    <w:rsid w:val="427EB4EE"/>
    <w:rsid w:val="4281D815"/>
    <w:rsid w:val="4284E3C6"/>
    <w:rsid w:val="42868C92"/>
    <w:rsid w:val="428D6340"/>
    <w:rsid w:val="428EBF07"/>
    <w:rsid w:val="42A3DF62"/>
    <w:rsid w:val="42A65538"/>
    <w:rsid w:val="42ACCB3A"/>
    <w:rsid w:val="42BC0FF0"/>
    <w:rsid w:val="42BF5FDC"/>
    <w:rsid w:val="42C49B94"/>
    <w:rsid w:val="42C6731D"/>
    <w:rsid w:val="42CCD43B"/>
    <w:rsid w:val="42CF613B"/>
    <w:rsid w:val="42D35715"/>
    <w:rsid w:val="42E548A3"/>
    <w:rsid w:val="42EF6BD0"/>
    <w:rsid w:val="42F4F148"/>
    <w:rsid w:val="42F61DB8"/>
    <w:rsid w:val="431A0DC2"/>
    <w:rsid w:val="431C0A87"/>
    <w:rsid w:val="432FB6AF"/>
    <w:rsid w:val="433AD376"/>
    <w:rsid w:val="433B1558"/>
    <w:rsid w:val="43446DD5"/>
    <w:rsid w:val="434CF2A9"/>
    <w:rsid w:val="434F2735"/>
    <w:rsid w:val="436643A9"/>
    <w:rsid w:val="4370FBF1"/>
    <w:rsid w:val="43727D45"/>
    <w:rsid w:val="437E6402"/>
    <w:rsid w:val="438679E6"/>
    <w:rsid w:val="43882F9B"/>
    <w:rsid w:val="438A6319"/>
    <w:rsid w:val="4397B633"/>
    <w:rsid w:val="439EB8F7"/>
    <w:rsid w:val="43A3F386"/>
    <w:rsid w:val="43A767F0"/>
    <w:rsid w:val="43B1D2B9"/>
    <w:rsid w:val="43B304A1"/>
    <w:rsid w:val="43B5623C"/>
    <w:rsid w:val="43B6B78A"/>
    <w:rsid w:val="43B751D8"/>
    <w:rsid w:val="43BBCEAE"/>
    <w:rsid w:val="43BF87EE"/>
    <w:rsid w:val="43D293E6"/>
    <w:rsid w:val="43D31792"/>
    <w:rsid w:val="43D377BA"/>
    <w:rsid w:val="43D8476E"/>
    <w:rsid w:val="43D92CFD"/>
    <w:rsid w:val="43DBF125"/>
    <w:rsid w:val="43DE4FBB"/>
    <w:rsid w:val="43E96805"/>
    <w:rsid w:val="43E9B0E0"/>
    <w:rsid w:val="43F357F7"/>
    <w:rsid w:val="43F91A31"/>
    <w:rsid w:val="43FD0B81"/>
    <w:rsid w:val="4401CEBE"/>
    <w:rsid w:val="4408CECF"/>
    <w:rsid w:val="440C5A00"/>
    <w:rsid w:val="441FE9AD"/>
    <w:rsid w:val="4422AA68"/>
    <w:rsid w:val="443D5105"/>
    <w:rsid w:val="445687E9"/>
    <w:rsid w:val="4459C1B4"/>
    <w:rsid w:val="4464FB2F"/>
    <w:rsid w:val="446BB248"/>
    <w:rsid w:val="446BC963"/>
    <w:rsid w:val="446D2561"/>
    <w:rsid w:val="44709768"/>
    <w:rsid w:val="4470FF6B"/>
    <w:rsid w:val="448754B7"/>
    <w:rsid w:val="448CC01B"/>
    <w:rsid w:val="448F1490"/>
    <w:rsid w:val="44909CD3"/>
    <w:rsid w:val="4494E942"/>
    <w:rsid w:val="449D8C57"/>
    <w:rsid w:val="449ED331"/>
    <w:rsid w:val="44A4FB0B"/>
    <w:rsid w:val="44A72C95"/>
    <w:rsid w:val="44A7E40B"/>
    <w:rsid w:val="44A9FB9F"/>
    <w:rsid w:val="44ACFBAF"/>
    <w:rsid w:val="44ADA16A"/>
    <w:rsid w:val="44B116E5"/>
    <w:rsid w:val="44BDDDAC"/>
    <w:rsid w:val="44BE032A"/>
    <w:rsid w:val="44BF30D3"/>
    <w:rsid w:val="44CC1313"/>
    <w:rsid w:val="44D3C872"/>
    <w:rsid w:val="44D7B5DD"/>
    <w:rsid w:val="44DA8A5C"/>
    <w:rsid w:val="44E49329"/>
    <w:rsid w:val="44E52F6D"/>
    <w:rsid w:val="44EE3352"/>
    <w:rsid w:val="44F34464"/>
    <w:rsid w:val="44F6B776"/>
    <w:rsid w:val="44F87533"/>
    <w:rsid w:val="44F8ED6D"/>
    <w:rsid w:val="44F9F6F4"/>
    <w:rsid w:val="44FA1C30"/>
    <w:rsid w:val="44FBC99B"/>
    <w:rsid w:val="44FC46F5"/>
    <w:rsid w:val="44FF54CC"/>
    <w:rsid w:val="45124A27"/>
    <w:rsid w:val="451B025A"/>
    <w:rsid w:val="451B2C2A"/>
    <w:rsid w:val="45261B75"/>
    <w:rsid w:val="4528B91E"/>
    <w:rsid w:val="452F66F7"/>
    <w:rsid w:val="45326673"/>
    <w:rsid w:val="45344D6B"/>
    <w:rsid w:val="453AE3FF"/>
    <w:rsid w:val="454517D0"/>
    <w:rsid w:val="454575BF"/>
    <w:rsid w:val="454BED36"/>
    <w:rsid w:val="454DA31A"/>
    <w:rsid w:val="45558EEA"/>
    <w:rsid w:val="45572508"/>
    <w:rsid w:val="455AF973"/>
    <w:rsid w:val="45625A9D"/>
    <w:rsid w:val="456D2D80"/>
    <w:rsid w:val="456DB779"/>
    <w:rsid w:val="456FF5D4"/>
    <w:rsid w:val="45737DDF"/>
    <w:rsid w:val="4573D555"/>
    <w:rsid w:val="45759273"/>
    <w:rsid w:val="4577C186"/>
    <w:rsid w:val="4584D2F7"/>
    <w:rsid w:val="45858141"/>
    <w:rsid w:val="45871DA8"/>
    <w:rsid w:val="45887078"/>
    <w:rsid w:val="458C542B"/>
    <w:rsid w:val="458E3CE2"/>
    <w:rsid w:val="4596765A"/>
    <w:rsid w:val="4597F66F"/>
    <w:rsid w:val="45A8B6D1"/>
    <w:rsid w:val="45BC2E7E"/>
    <w:rsid w:val="45BD318A"/>
    <w:rsid w:val="45C2FC22"/>
    <w:rsid w:val="45C65FC9"/>
    <w:rsid w:val="45CE26A0"/>
    <w:rsid w:val="45D92166"/>
    <w:rsid w:val="45E4BE4C"/>
    <w:rsid w:val="45E91179"/>
    <w:rsid w:val="45E9CE5D"/>
    <w:rsid w:val="45EEB5F4"/>
    <w:rsid w:val="46010B70"/>
    <w:rsid w:val="4604365D"/>
    <w:rsid w:val="460541CD"/>
    <w:rsid w:val="460A18A8"/>
    <w:rsid w:val="460A2FCB"/>
    <w:rsid w:val="4615CDF4"/>
    <w:rsid w:val="4618385B"/>
    <w:rsid w:val="462730E0"/>
    <w:rsid w:val="462835F4"/>
    <w:rsid w:val="46332E27"/>
    <w:rsid w:val="4636EB0E"/>
    <w:rsid w:val="46377443"/>
    <w:rsid w:val="463799FC"/>
    <w:rsid w:val="463DD794"/>
    <w:rsid w:val="4642FCF6"/>
    <w:rsid w:val="4643CA1A"/>
    <w:rsid w:val="464A6F91"/>
    <w:rsid w:val="464B3A9C"/>
    <w:rsid w:val="4653AB49"/>
    <w:rsid w:val="4653AD50"/>
    <w:rsid w:val="46638713"/>
    <w:rsid w:val="466BA50D"/>
    <w:rsid w:val="466E9D3B"/>
    <w:rsid w:val="46727924"/>
    <w:rsid w:val="468C395A"/>
    <w:rsid w:val="468D6FE4"/>
    <w:rsid w:val="468F736C"/>
    <w:rsid w:val="4694EB15"/>
    <w:rsid w:val="469DBBC8"/>
    <w:rsid w:val="469F0DC0"/>
    <w:rsid w:val="46A1205F"/>
    <w:rsid w:val="46B0F743"/>
    <w:rsid w:val="46B4D998"/>
    <w:rsid w:val="46B75361"/>
    <w:rsid w:val="46C31757"/>
    <w:rsid w:val="46C94354"/>
    <w:rsid w:val="46CA60CE"/>
    <w:rsid w:val="46CEB718"/>
    <w:rsid w:val="46D16B86"/>
    <w:rsid w:val="46DDD8C1"/>
    <w:rsid w:val="46E14620"/>
    <w:rsid w:val="46E8340D"/>
    <w:rsid w:val="46ED2D20"/>
    <w:rsid w:val="46F4BCC2"/>
    <w:rsid w:val="47040DC8"/>
    <w:rsid w:val="47057066"/>
    <w:rsid w:val="47117EBE"/>
    <w:rsid w:val="471B7F6D"/>
    <w:rsid w:val="47226753"/>
    <w:rsid w:val="473161F9"/>
    <w:rsid w:val="47384F1A"/>
    <w:rsid w:val="473EBA11"/>
    <w:rsid w:val="4744BF99"/>
    <w:rsid w:val="47518736"/>
    <w:rsid w:val="47557E63"/>
    <w:rsid w:val="47759241"/>
    <w:rsid w:val="477A3C0A"/>
    <w:rsid w:val="477D45E6"/>
    <w:rsid w:val="47837328"/>
    <w:rsid w:val="478BB80E"/>
    <w:rsid w:val="478CAE3D"/>
    <w:rsid w:val="47905883"/>
    <w:rsid w:val="4797953D"/>
    <w:rsid w:val="4798E7E3"/>
    <w:rsid w:val="479C1BBE"/>
    <w:rsid w:val="479F42FC"/>
    <w:rsid w:val="47AF0D3E"/>
    <w:rsid w:val="47C1FA07"/>
    <w:rsid w:val="47D19467"/>
    <w:rsid w:val="47DBCD9E"/>
    <w:rsid w:val="47DC9BCD"/>
    <w:rsid w:val="47DF490E"/>
    <w:rsid w:val="47FBAAA2"/>
    <w:rsid w:val="47FED84F"/>
    <w:rsid w:val="4800D0F1"/>
    <w:rsid w:val="4805F666"/>
    <w:rsid w:val="4808A407"/>
    <w:rsid w:val="480A18E0"/>
    <w:rsid w:val="480A68FD"/>
    <w:rsid w:val="4810547F"/>
    <w:rsid w:val="4810B1DF"/>
    <w:rsid w:val="48134703"/>
    <w:rsid w:val="48168CDB"/>
    <w:rsid w:val="4818581F"/>
    <w:rsid w:val="481BD1D8"/>
    <w:rsid w:val="482385A5"/>
    <w:rsid w:val="4825D414"/>
    <w:rsid w:val="482EEAE3"/>
    <w:rsid w:val="483388EE"/>
    <w:rsid w:val="48398C29"/>
    <w:rsid w:val="483A9C9B"/>
    <w:rsid w:val="483DFF62"/>
    <w:rsid w:val="484B5275"/>
    <w:rsid w:val="48556A19"/>
    <w:rsid w:val="4856C3B5"/>
    <w:rsid w:val="485DE048"/>
    <w:rsid w:val="486D8585"/>
    <w:rsid w:val="4875882C"/>
    <w:rsid w:val="48768B1A"/>
    <w:rsid w:val="4879CFB2"/>
    <w:rsid w:val="4886767A"/>
    <w:rsid w:val="4890EB07"/>
    <w:rsid w:val="4891C7F8"/>
    <w:rsid w:val="48A60509"/>
    <w:rsid w:val="48A96601"/>
    <w:rsid w:val="48AD3801"/>
    <w:rsid w:val="48B3A973"/>
    <w:rsid w:val="48B74FCE"/>
    <w:rsid w:val="48BA3076"/>
    <w:rsid w:val="48BDD8F7"/>
    <w:rsid w:val="48BE9A49"/>
    <w:rsid w:val="48BFFE17"/>
    <w:rsid w:val="48D37B5F"/>
    <w:rsid w:val="48E1602A"/>
    <w:rsid w:val="48E4B32F"/>
    <w:rsid w:val="48F2149D"/>
    <w:rsid w:val="48F5E4D8"/>
    <w:rsid w:val="48FA9CE4"/>
    <w:rsid w:val="48FBA4FD"/>
    <w:rsid w:val="49031B6B"/>
    <w:rsid w:val="49033C80"/>
    <w:rsid w:val="4909ACAC"/>
    <w:rsid w:val="490A22BD"/>
    <w:rsid w:val="490BDFEB"/>
    <w:rsid w:val="490C2DE0"/>
    <w:rsid w:val="4910C228"/>
    <w:rsid w:val="491C03B3"/>
    <w:rsid w:val="491F7AFE"/>
    <w:rsid w:val="492B0F47"/>
    <w:rsid w:val="492F5337"/>
    <w:rsid w:val="4933C3D2"/>
    <w:rsid w:val="49393A5C"/>
    <w:rsid w:val="4943A0B6"/>
    <w:rsid w:val="494457F2"/>
    <w:rsid w:val="49504AF3"/>
    <w:rsid w:val="495C4094"/>
    <w:rsid w:val="495EF0E8"/>
    <w:rsid w:val="4964AD53"/>
    <w:rsid w:val="4966F160"/>
    <w:rsid w:val="497A1420"/>
    <w:rsid w:val="497A7AF8"/>
    <w:rsid w:val="497C127C"/>
    <w:rsid w:val="497DE5ED"/>
    <w:rsid w:val="4983B5E8"/>
    <w:rsid w:val="4984817E"/>
    <w:rsid w:val="498B58C8"/>
    <w:rsid w:val="498E3536"/>
    <w:rsid w:val="4996DD9F"/>
    <w:rsid w:val="499B0F11"/>
    <w:rsid w:val="499F4016"/>
    <w:rsid w:val="49A830C0"/>
    <w:rsid w:val="49B19BEA"/>
    <w:rsid w:val="49B3D42D"/>
    <w:rsid w:val="49B8E6AE"/>
    <w:rsid w:val="49BA5920"/>
    <w:rsid w:val="49BF7D60"/>
    <w:rsid w:val="49C2743E"/>
    <w:rsid w:val="49CAE2B2"/>
    <w:rsid w:val="49CF1C62"/>
    <w:rsid w:val="49D255A8"/>
    <w:rsid w:val="49D4065C"/>
    <w:rsid w:val="49D6AE82"/>
    <w:rsid w:val="49E43300"/>
    <w:rsid w:val="49E7CDCD"/>
    <w:rsid w:val="49E94B8D"/>
    <w:rsid w:val="49ED74BB"/>
    <w:rsid w:val="49F57B46"/>
    <w:rsid w:val="49FAF133"/>
    <w:rsid w:val="49FE8956"/>
    <w:rsid w:val="4A009E60"/>
    <w:rsid w:val="4A055C2E"/>
    <w:rsid w:val="4A14A988"/>
    <w:rsid w:val="4A29DF08"/>
    <w:rsid w:val="4A3358CE"/>
    <w:rsid w:val="4A398C7B"/>
    <w:rsid w:val="4A3CFCE3"/>
    <w:rsid w:val="4A41D56A"/>
    <w:rsid w:val="4A49683D"/>
    <w:rsid w:val="4A4A4B73"/>
    <w:rsid w:val="4A53202F"/>
    <w:rsid w:val="4A577B69"/>
    <w:rsid w:val="4A59095D"/>
    <w:rsid w:val="4A5F49BF"/>
    <w:rsid w:val="4A606EF3"/>
    <w:rsid w:val="4A6268F1"/>
    <w:rsid w:val="4A68D882"/>
    <w:rsid w:val="4A72AD2F"/>
    <w:rsid w:val="4A84FEAD"/>
    <w:rsid w:val="4A895612"/>
    <w:rsid w:val="4A9C776F"/>
    <w:rsid w:val="4A9CD45C"/>
    <w:rsid w:val="4AA6F748"/>
    <w:rsid w:val="4AABD32D"/>
    <w:rsid w:val="4AAE9F26"/>
    <w:rsid w:val="4AB138E0"/>
    <w:rsid w:val="4AB26003"/>
    <w:rsid w:val="4ABC3E4A"/>
    <w:rsid w:val="4AD2490F"/>
    <w:rsid w:val="4AD97365"/>
    <w:rsid w:val="4AE277D8"/>
    <w:rsid w:val="4AE58E80"/>
    <w:rsid w:val="4AEC66F7"/>
    <w:rsid w:val="4AF50281"/>
    <w:rsid w:val="4AF56AA4"/>
    <w:rsid w:val="4AF791A7"/>
    <w:rsid w:val="4B0DD0AD"/>
    <w:rsid w:val="4B12998A"/>
    <w:rsid w:val="4B166E19"/>
    <w:rsid w:val="4B19BCE9"/>
    <w:rsid w:val="4B228C86"/>
    <w:rsid w:val="4B271C6C"/>
    <w:rsid w:val="4B31264B"/>
    <w:rsid w:val="4B323A6B"/>
    <w:rsid w:val="4B333500"/>
    <w:rsid w:val="4B33A470"/>
    <w:rsid w:val="4B33F62B"/>
    <w:rsid w:val="4B3558C0"/>
    <w:rsid w:val="4B376493"/>
    <w:rsid w:val="4B49ABC8"/>
    <w:rsid w:val="4B4E68AB"/>
    <w:rsid w:val="4B52C0AC"/>
    <w:rsid w:val="4B546820"/>
    <w:rsid w:val="4B54EDA1"/>
    <w:rsid w:val="4B5B823A"/>
    <w:rsid w:val="4B5F3E35"/>
    <w:rsid w:val="4B60C871"/>
    <w:rsid w:val="4B63226D"/>
    <w:rsid w:val="4B6AECC3"/>
    <w:rsid w:val="4B6AF128"/>
    <w:rsid w:val="4B7A67A6"/>
    <w:rsid w:val="4B7FD2E0"/>
    <w:rsid w:val="4B818AF9"/>
    <w:rsid w:val="4B8B16A4"/>
    <w:rsid w:val="4B9C1050"/>
    <w:rsid w:val="4BA5C32B"/>
    <w:rsid w:val="4BA93B60"/>
    <w:rsid w:val="4BBD85BE"/>
    <w:rsid w:val="4BC5BAA3"/>
    <w:rsid w:val="4BD72C02"/>
    <w:rsid w:val="4BD8E403"/>
    <w:rsid w:val="4BDB664D"/>
    <w:rsid w:val="4BDDA5CB"/>
    <w:rsid w:val="4BE4D3F7"/>
    <w:rsid w:val="4BF42C46"/>
    <w:rsid w:val="4BF5C69E"/>
    <w:rsid w:val="4BF63B0B"/>
    <w:rsid w:val="4BF791C6"/>
    <w:rsid w:val="4C05D6AE"/>
    <w:rsid w:val="4C11AB66"/>
    <w:rsid w:val="4C12A17F"/>
    <w:rsid w:val="4C1856A3"/>
    <w:rsid w:val="4C21EAC7"/>
    <w:rsid w:val="4C315F89"/>
    <w:rsid w:val="4C38B587"/>
    <w:rsid w:val="4C413C72"/>
    <w:rsid w:val="4C414D6E"/>
    <w:rsid w:val="4C4228FA"/>
    <w:rsid w:val="4C4862EA"/>
    <w:rsid w:val="4C5064C1"/>
    <w:rsid w:val="4C65C87C"/>
    <w:rsid w:val="4C6920F4"/>
    <w:rsid w:val="4C71DC55"/>
    <w:rsid w:val="4C768B95"/>
    <w:rsid w:val="4C780D2F"/>
    <w:rsid w:val="4C782B59"/>
    <w:rsid w:val="4C7866C8"/>
    <w:rsid w:val="4C7BC3E8"/>
    <w:rsid w:val="4C8465CE"/>
    <w:rsid w:val="4C8E9C14"/>
    <w:rsid w:val="4C8FF51F"/>
    <w:rsid w:val="4C90A071"/>
    <w:rsid w:val="4C9439D6"/>
    <w:rsid w:val="4C95DD88"/>
    <w:rsid w:val="4C9789BB"/>
    <w:rsid w:val="4C9DFF23"/>
    <w:rsid w:val="4CAEF120"/>
    <w:rsid w:val="4CBA628C"/>
    <w:rsid w:val="4CBD236F"/>
    <w:rsid w:val="4CC1EA3D"/>
    <w:rsid w:val="4CC2ECCD"/>
    <w:rsid w:val="4CC5B1FA"/>
    <w:rsid w:val="4CD0ABFB"/>
    <w:rsid w:val="4CD23B71"/>
    <w:rsid w:val="4CD41590"/>
    <w:rsid w:val="4CE1D258"/>
    <w:rsid w:val="4CE29A18"/>
    <w:rsid w:val="4CF00B86"/>
    <w:rsid w:val="4CF0B2C5"/>
    <w:rsid w:val="4CF95DE3"/>
    <w:rsid w:val="4D159641"/>
    <w:rsid w:val="4D160009"/>
    <w:rsid w:val="4D178EBF"/>
    <w:rsid w:val="4D1E23E7"/>
    <w:rsid w:val="4D29D02B"/>
    <w:rsid w:val="4D2DDE31"/>
    <w:rsid w:val="4D2E826B"/>
    <w:rsid w:val="4D374BB3"/>
    <w:rsid w:val="4D37EBF5"/>
    <w:rsid w:val="4D392A66"/>
    <w:rsid w:val="4D459FC7"/>
    <w:rsid w:val="4D4E9822"/>
    <w:rsid w:val="4D4FE456"/>
    <w:rsid w:val="4D6DBE3D"/>
    <w:rsid w:val="4D7162BA"/>
    <w:rsid w:val="4D848F76"/>
    <w:rsid w:val="4D8B1064"/>
    <w:rsid w:val="4D8DD818"/>
    <w:rsid w:val="4D9E024A"/>
    <w:rsid w:val="4D9FBF19"/>
    <w:rsid w:val="4DA8DC26"/>
    <w:rsid w:val="4DA9BA1F"/>
    <w:rsid w:val="4DAD0D0B"/>
    <w:rsid w:val="4DADA396"/>
    <w:rsid w:val="4DB498CF"/>
    <w:rsid w:val="4DB70B5E"/>
    <w:rsid w:val="4DB73710"/>
    <w:rsid w:val="4DB9C7F5"/>
    <w:rsid w:val="4DBCD274"/>
    <w:rsid w:val="4DBCEBCF"/>
    <w:rsid w:val="4DBEC3ED"/>
    <w:rsid w:val="4DC0B386"/>
    <w:rsid w:val="4DD9B288"/>
    <w:rsid w:val="4DDC75A5"/>
    <w:rsid w:val="4DE5B4AD"/>
    <w:rsid w:val="4DF6C62C"/>
    <w:rsid w:val="4DFA6031"/>
    <w:rsid w:val="4E0340A6"/>
    <w:rsid w:val="4E0C6F34"/>
    <w:rsid w:val="4E10A4E8"/>
    <w:rsid w:val="4E140B76"/>
    <w:rsid w:val="4E219923"/>
    <w:rsid w:val="4E294383"/>
    <w:rsid w:val="4E321E77"/>
    <w:rsid w:val="4E37CE5B"/>
    <w:rsid w:val="4E3E4F93"/>
    <w:rsid w:val="4E41E153"/>
    <w:rsid w:val="4E59BA26"/>
    <w:rsid w:val="4E5A08BB"/>
    <w:rsid w:val="4E5CB74B"/>
    <w:rsid w:val="4E5CC9AC"/>
    <w:rsid w:val="4E5D7A2E"/>
    <w:rsid w:val="4E600796"/>
    <w:rsid w:val="4E622072"/>
    <w:rsid w:val="4E629329"/>
    <w:rsid w:val="4E6D9B20"/>
    <w:rsid w:val="4E6E933A"/>
    <w:rsid w:val="4E73BFFA"/>
    <w:rsid w:val="4E757C37"/>
    <w:rsid w:val="4E757F1D"/>
    <w:rsid w:val="4E758F4B"/>
    <w:rsid w:val="4E7C5E55"/>
    <w:rsid w:val="4E7D9826"/>
    <w:rsid w:val="4E835D28"/>
    <w:rsid w:val="4E94B528"/>
    <w:rsid w:val="4E9AF517"/>
    <w:rsid w:val="4E9EA650"/>
    <w:rsid w:val="4EA23578"/>
    <w:rsid w:val="4EA4D7DF"/>
    <w:rsid w:val="4EA9854E"/>
    <w:rsid w:val="4EADF99C"/>
    <w:rsid w:val="4EAFEF70"/>
    <w:rsid w:val="4EB6C7F2"/>
    <w:rsid w:val="4EBC4BB3"/>
    <w:rsid w:val="4EBDFF90"/>
    <w:rsid w:val="4EC0E887"/>
    <w:rsid w:val="4EC5875D"/>
    <w:rsid w:val="4ED33C5F"/>
    <w:rsid w:val="4EED42E8"/>
    <w:rsid w:val="4EF019D3"/>
    <w:rsid w:val="4EFD4D5E"/>
    <w:rsid w:val="4F11037B"/>
    <w:rsid w:val="4F15468D"/>
    <w:rsid w:val="4F20518F"/>
    <w:rsid w:val="4F22E644"/>
    <w:rsid w:val="4F2DECAB"/>
    <w:rsid w:val="4F345814"/>
    <w:rsid w:val="4F36C855"/>
    <w:rsid w:val="4F3DD927"/>
    <w:rsid w:val="4F459288"/>
    <w:rsid w:val="4F4730E9"/>
    <w:rsid w:val="4F5372B3"/>
    <w:rsid w:val="4F5F088B"/>
    <w:rsid w:val="4F5F7071"/>
    <w:rsid w:val="4F608B8F"/>
    <w:rsid w:val="4F6CECAF"/>
    <w:rsid w:val="4F6FEC68"/>
    <w:rsid w:val="4F71F301"/>
    <w:rsid w:val="4F72D9EE"/>
    <w:rsid w:val="4F790BCD"/>
    <w:rsid w:val="4F79980A"/>
    <w:rsid w:val="4F8003AC"/>
    <w:rsid w:val="4F85B947"/>
    <w:rsid w:val="4F8C3218"/>
    <w:rsid w:val="4F9F52D7"/>
    <w:rsid w:val="4FA5E481"/>
    <w:rsid w:val="4FA8DB7E"/>
    <w:rsid w:val="4FA9F82C"/>
    <w:rsid w:val="4FAD67A2"/>
    <w:rsid w:val="4FB33ACB"/>
    <w:rsid w:val="4FB38BE5"/>
    <w:rsid w:val="4FB4149A"/>
    <w:rsid w:val="4FB461D4"/>
    <w:rsid w:val="4FBF91C3"/>
    <w:rsid w:val="4FC23979"/>
    <w:rsid w:val="4FC3D3BF"/>
    <w:rsid w:val="4FC879A7"/>
    <w:rsid w:val="4FCE8C41"/>
    <w:rsid w:val="4FDFA18F"/>
    <w:rsid w:val="4FE51326"/>
    <w:rsid w:val="4FE7ADB2"/>
    <w:rsid w:val="4FEA0C29"/>
    <w:rsid w:val="4FED8150"/>
    <w:rsid w:val="4FF150CA"/>
    <w:rsid w:val="4FF3157F"/>
    <w:rsid w:val="4FF96833"/>
    <w:rsid w:val="4FFAF27C"/>
    <w:rsid w:val="4FFDEC4A"/>
    <w:rsid w:val="4FFE6A16"/>
    <w:rsid w:val="50064234"/>
    <w:rsid w:val="50096B81"/>
    <w:rsid w:val="500A4AFA"/>
    <w:rsid w:val="50115579"/>
    <w:rsid w:val="50115FAC"/>
    <w:rsid w:val="501162B5"/>
    <w:rsid w:val="5012B5B0"/>
    <w:rsid w:val="501559AE"/>
    <w:rsid w:val="501751DF"/>
    <w:rsid w:val="50189DCB"/>
    <w:rsid w:val="501CB7B8"/>
    <w:rsid w:val="50205BE8"/>
    <w:rsid w:val="5029C804"/>
    <w:rsid w:val="50309682"/>
    <w:rsid w:val="50342EE3"/>
    <w:rsid w:val="504065FB"/>
    <w:rsid w:val="50448377"/>
    <w:rsid w:val="50516462"/>
    <w:rsid w:val="5055E476"/>
    <w:rsid w:val="505AC1E3"/>
    <w:rsid w:val="5065D4BA"/>
    <w:rsid w:val="5074ADF8"/>
    <w:rsid w:val="507AACDD"/>
    <w:rsid w:val="507CAC83"/>
    <w:rsid w:val="50804197"/>
    <w:rsid w:val="50809A87"/>
    <w:rsid w:val="50859AAC"/>
    <w:rsid w:val="50899AD9"/>
    <w:rsid w:val="508BCAA4"/>
    <w:rsid w:val="508CDE90"/>
    <w:rsid w:val="509D72B7"/>
    <w:rsid w:val="50A5E815"/>
    <w:rsid w:val="50B3E1B7"/>
    <w:rsid w:val="50B7FED5"/>
    <w:rsid w:val="50C65A57"/>
    <w:rsid w:val="50CB231F"/>
    <w:rsid w:val="50E4855E"/>
    <w:rsid w:val="50E5EBE2"/>
    <w:rsid w:val="50E7E405"/>
    <w:rsid w:val="50EE1394"/>
    <w:rsid w:val="50F2DDEB"/>
    <w:rsid w:val="50F89357"/>
    <w:rsid w:val="50FE8415"/>
    <w:rsid w:val="50FE8F99"/>
    <w:rsid w:val="5104317C"/>
    <w:rsid w:val="5111DE39"/>
    <w:rsid w:val="51163D33"/>
    <w:rsid w:val="5116B25A"/>
    <w:rsid w:val="5117BD02"/>
    <w:rsid w:val="511C649E"/>
    <w:rsid w:val="511FE949"/>
    <w:rsid w:val="51204AEE"/>
    <w:rsid w:val="5120B6A3"/>
    <w:rsid w:val="5123C37C"/>
    <w:rsid w:val="5123E13B"/>
    <w:rsid w:val="512F1D4D"/>
    <w:rsid w:val="5132FF97"/>
    <w:rsid w:val="513E7776"/>
    <w:rsid w:val="5140F6DF"/>
    <w:rsid w:val="51435358"/>
    <w:rsid w:val="5144896C"/>
    <w:rsid w:val="5146CB6A"/>
    <w:rsid w:val="514A1A87"/>
    <w:rsid w:val="51508E93"/>
    <w:rsid w:val="51524BA8"/>
    <w:rsid w:val="51535344"/>
    <w:rsid w:val="51558056"/>
    <w:rsid w:val="51593CED"/>
    <w:rsid w:val="515AEB02"/>
    <w:rsid w:val="5161A50B"/>
    <w:rsid w:val="516A3151"/>
    <w:rsid w:val="5176D6C3"/>
    <w:rsid w:val="5177E884"/>
    <w:rsid w:val="517C26F5"/>
    <w:rsid w:val="517EEEB9"/>
    <w:rsid w:val="51813C42"/>
    <w:rsid w:val="51885CB1"/>
    <w:rsid w:val="5198653B"/>
    <w:rsid w:val="5198838D"/>
    <w:rsid w:val="51989F8B"/>
    <w:rsid w:val="51A099B8"/>
    <w:rsid w:val="51A57E04"/>
    <w:rsid w:val="51A6AD20"/>
    <w:rsid w:val="51BDF523"/>
    <w:rsid w:val="51BE1404"/>
    <w:rsid w:val="51C43CE9"/>
    <w:rsid w:val="51C802D1"/>
    <w:rsid w:val="51CAAB66"/>
    <w:rsid w:val="51CB9A58"/>
    <w:rsid w:val="51CC35F0"/>
    <w:rsid w:val="51D2C9D9"/>
    <w:rsid w:val="51D3BCF1"/>
    <w:rsid w:val="51D48B3F"/>
    <w:rsid w:val="51E3A767"/>
    <w:rsid w:val="51E9B7B4"/>
    <w:rsid w:val="51E9F8CD"/>
    <w:rsid w:val="51F01530"/>
    <w:rsid w:val="51F04366"/>
    <w:rsid w:val="51F9591C"/>
    <w:rsid w:val="51FEC1C0"/>
    <w:rsid w:val="51FEDF64"/>
    <w:rsid w:val="52016E25"/>
    <w:rsid w:val="5201F150"/>
    <w:rsid w:val="52110A14"/>
    <w:rsid w:val="521676F1"/>
    <w:rsid w:val="5218F51B"/>
    <w:rsid w:val="521F73CE"/>
    <w:rsid w:val="5229DA67"/>
    <w:rsid w:val="522C5EA1"/>
    <w:rsid w:val="522EFC45"/>
    <w:rsid w:val="522F877D"/>
    <w:rsid w:val="5232D70B"/>
    <w:rsid w:val="5233619C"/>
    <w:rsid w:val="5240A469"/>
    <w:rsid w:val="52415209"/>
    <w:rsid w:val="52487E81"/>
    <w:rsid w:val="52504DDC"/>
    <w:rsid w:val="525144C7"/>
    <w:rsid w:val="5251A3B3"/>
    <w:rsid w:val="5258173F"/>
    <w:rsid w:val="5259DB05"/>
    <w:rsid w:val="525A15CE"/>
    <w:rsid w:val="525D4F31"/>
    <w:rsid w:val="5266869A"/>
    <w:rsid w:val="526ABCAB"/>
    <w:rsid w:val="527937D7"/>
    <w:rsid w:val="527DCE2C"/>
    <w:rsid w:val="528FE448"/>
    <w:rsid w:val="5296EF70"/>
    <w:rsid w:val="52975599"/>
    <w:rsid w:val="529BF70F"/>
    <w:rsid w:val="529CA320"/>
    <w:rsid w:val="52A105B7"/>
    <w:rsid w:val="52A4CCDB"/>
    <w:rsid w:val="52A95A63"/>
    <w:rsid w:val="52A9EC9F"/>
    <w:rsid w:val="52BA4093"/>
    <w:rsid w:val="52BA68BE"/>
    <w:rsid w:val="52BFAE3D"/>
    <w:rsid w:val="52C5D55D"/>
    <w:rsid w:val="52C5F81A"/>
    <w:rsid w:val="52C71953"/>
    <w:rsid w:val="52C7CE3B"/>
    <w:rsid w:val="52D4A09E"/>
    <w:rsid w:val="52DD9306"/>
    <w:rsid w:val="52DDEBCB"/>
    <w:rsid w:val="52DF23B9"/>
    <w:rsid w:val="52E1A123"/>
    <w:rsid w:val="52E38810"/>
    <w:rsid w:val="52E3D8A3"/>
    <w:rsid w:val="52E4EC2A"/>
    <w:rsid w:val="52F29203"/>
    <w:rsid w:val="52FB80C0"/>
    <w:rsid w:val="52FD6D9D"/>
    <w:rsid w:val="52FDB924"/>
    <w:rsid w:val="52FE8196"/>
    <w:rsid w:val="5300FAFB"/>
    <w:rsid w:val="53037B5A"/>
    <w:rsid w:val="53074E67"/>
    <w:rsid w:val="530B2CA1"/>
    <w:rsid w:val="53219640"/>
    <w:rsid w:val="532F11DC"/>
    <w:rsid w:val="53344B59"/>
    <w:rsid w:val="53414D24"/>
    <w:rsid w:val="534C5B22"/>
    <w:rsid w:val="535730BD"/>
    <w:rsid w:val="53621D0E"/>
    <w:rsid w:val="536DDF73"/>
    <w:rsid w:val="5384178E"/>
    <w:rsid w:val="53957806"/>
    <w:rsid w:val="539AF10E"/>
    <w:rsid w:val="539C2C62"/>
    <w:rsid w:val="53A242DC"/>
    <w:rsid w:val="53A86BEA"/>
    <w:rsid w:val="53AE0F7B"/>
    <w:rsid w:val="53B44D45"/>
    <w:rsid w:val="53B497C1"/>
    <w:rsid w:val="53B62F82"/>
    <w:rsid w:val="53B690BB"/>
    <w:rsid w:val="53B777F6"/>
    <w:rsid w:val="53C1F5DA"/>
    <w:rsid w:val="53C4509E"/>
    <w:rsid w:val="53C491A7"/>
    <w:rsid w:val="53C6DDE1"/>
    <w:rsid w:val="53C71C61"/>
    <w:rsid w:val="53CD6E5B"/>
    <w:rsid w:val="53D1D9ED"/>
    <w:rsid w:val="53D2EB2E"/>
    <w:rsid w:val="53D7771F"/>
    <w:rsid w:val="53DAFC1A"/>
    <w:rsid w:val="53DBC9E9"/>
    <w:rsid w:val="53E6F2CF"/>
    <w:rsid w:val="53EF9F68"/>
    <w:rsid w:val="53F46E7C"/>
    <w:rsid w:val="53F4B21A"/>
    <w:rsid w:val="53FA0275"/>
    <w:rsid w:val="53FADECF"/>
    <w:rsid w:val="5402C3E1"/>
    <w:rsid w:val="540F3683"/>
    <w:rsid w:val="54133A0A"/>
    <w:rsid w:val="541AD331"/>
    <w:rsid w:val="541C85A0"/>
    <w:rsid w:val="541E527B"/>
    <w:rsid w:val="5423F20F"/>
    <w:rsid w:val="542D53C1"/>
    <w:rsid w:val="543604BD"/>
    <w:rsid w:val="544300EB"/>
    <w:rsid w:val="5447DDF1"/>
    <w:rsid w:val="544CE219"/>
    <w:rsid w:val="54565CCE"/>
    <w:rsid w:val="545784D5"/>
    <w:rsid w:val="545BE42B"/>
    <w:rsid w:val="545EDB30"/>
    <w:rsid w:val="54608B3E"/>
    <w:rsid w:val="546165DE"/>
    <w:rsid w:val="54666E77"/>
    <w:rsid w:val="5469E6A2"/>
    <w:rsid w:val="546D9515"/>
    <w:rsid w:val="5470AA26"/>
    <w:rsid w:val="54758D22"/>
    <w:rsid w:val="547684D9"/>
    <w:rsid w:val="54776E3E"/>
    <w:rsid w:val="547D8750"/>
    <w:rsid w:val="547E19F8"/>
    <w:rsid w:val="5485856C"/>
    <w:rsid w:val="548AF406"/>
    <w:rsid w:val="548FAD36"/>
    <w:rsid w:val="54940032"/>
    <w:rsid w:val="549BC554"/>
    <w:rsid w:val="549F8864"/>
    <w:rsid w:val="54C8C6F1"/>
    <w:rsid w:val="54D05368"/>
    <w:rsid w:val="54D1F49F"/>
    <w:rsid w:val="54D2C4FE"/>
    <w:rsid w:val="54D7AAB1"/>
    <w:rsid w:val="54D8A6F6"/>
    <w:rsid w:val="54DA9DC3"/>
    <w:rsid w:val="54DDFA24"/>
    <w:rsid w:val="54E9B136"/>
    <w:rsid w:val="54F43955"/>
    <w:rsid w:val="54F539A0"/>
    <w:rsid w:val="54FABFC6"/>
    <w:rsid w:val="54FFC568"/>
    <w:rsid w:val="54FFCF01"/>
    <w:rsid w:val="550DF1CE"/>
    <w:rsid w:val="5513742D"/>
    <w:rsid w:val="551C5262"/>
    <w:rsid w:val="55206BF3"/>
    <w:rsid w:val="55245F70"/>
    <w:rsid w:val="5530642A"/>
    <w:rsid w:val="5538ACE9"/>
    <w:rsid w:val="55412355"/>
    <w:rsid w:val="554391CF"/>
    <w:rsid w:val="554515DC"/>
    <w:rsid w:val="554A57ED"/>
    <w:rsid w:val="554E3914"/>
    <w:rsid w:val="555077C3"/>
    <w:rsid w:val="5552AB64"/>
    <w:rsid w:val="55534857"/>
    <w:rsid w:val="55550784"/>
    <w:rsid w:val="5560F1D6"/>
    <w:rsid w:val="5565C2CF"/>
    <w:rsid w:val="55712BC8"/>
    <w:rsid w:val="557BFA42"/>
    <w:rsid w:val="55832C2F"/>
    <w:rsid w:val="55870E2F"/>
    <w:rsid w:val="55984A57"/>
    <w:rsid w:val="559C4082"/>
    <w:rsid w:val="55A2FC12"/>
    <w:rsid w:val="55A3A7C5"/>
    <w:rsid w:val="55A44985"/>
    <w:rsid w:val="55A5BE8D"/>
    <w:rsid w:val="55A9DA91"/>
    <w:rsid w:val="55AADDE9"/>
    <w:rsid w:val="55B05A1A"/>
    <w:rsid w:val="55B278A6"/>
    <w:rsid w:val="55BABE05"/>
    <w:rsid w:val="55BB2CBF"/>
    <w:rsid w:val="55C03666"/>
    <w:rsid w:val="55C51D1A"/>
    <w:rsid w:val="55C52C29"/>
    <w:rsid w:val="55C7B2D3"/>
    <w:rsid w:val="55C87429"/>
    <w:rsid w:val="55D2F2C0"/>
    <w:rsid w:val="55DD56BE"/>
    <w:rsid w:val="55F81E0B"/>
    <w:rsid w:val="56085D97"/>
    <w:rsid w:val="56173DD8"/>
    <w:rsid w:val="561DAF08"/>
    <w:rsid w:val="56262876"/>
    <w:rsid w:val="56262F4D"/>
    <w:rsid w:val="562E4D85"/>
    <w:rsid w:val="562FAECF"/>
    <w:rsid w:val="5635DFD0"/>
    <w:rsid w:val="563CCD74"/>
    <w:rsid w:val="565E0E6B"/>
    <w:rsid w:val="5660EB86"/>
    <w:rsid w:val="566880E1"/>
    <w:rsid w:val="5674D083"/>
    <w:rsid w:val="567B78E4"/>
    <w:rsid w:val="567F8AEB"/>
    <w:rsid w:val="56908A08"/>
    <w:rsid w:val="5692191F"/>
    <w:rsid w:val="56969027"/>
    <w:rsid w:val="56AAA419"/>
    <w:rsid w:val="56ABA390"/>
    <w:rsid w:val="56AF01BC"/>
    <w:rsid w:val="56B399D6"/>
    <w:rsid w:val="56C37684"/>
    <w:rsid w:val="56C4EF8C"/>
    <w:rsid w:val="56D3A706"/>
    <w:rsid w:val="56D7A466"/>
    <w:rsid w:val="56D827A5"/>
    <w:rsid w:val="56DA00BD"/>
    <w:rsid w:val="56DDF654"/>
    <w:rsid w:val="56DED033"/>
    <w:rsid w:val="56E00CAC"/>
    <w:rsid w:val="56E1C556"/>
    <w:rsid w:val="56E69A7C"/>
    <w:rsid w:val="56F0D849"/>
    <w:rsid w:val="56F1944B"/>
    <w:rsid w:val="56F31DC5"/>
    <w:rsid w:val="56F40875"/>
    <w:rsid w:val="56F46F10"/>
    <w:rsid w:val="56FA2144"/>
    <w:rsid w:val="56FACB0F"/>
    <w:rsid w:val="5705F6FB"/>
    <w:rsid w:val="57085A5E"/>
    <w:rsid w:val="570CA151"/>
    <w:rsid w:val="57136AAB"/>
    <w:rsid w:val="571766CD"/>
    <w:rsid w:val="5718A28E"/>
    <w:rsid w:val="5718D05C"/>
    <w:rsid w:val="571D81D3"/>
    <w:rsid w:val="5726F189"/>
    <w:rsid w:val="57272883"/>
    <w:rsid w:val="572AC295"/>
    <w:rsid w:val="572DC998"/>
    <w:rsid w:val="57301D27"/>
    <w:rsid w:val="5733FB79"/>
    <w:rsid w:val="57391D98"/>
    <w:rsid w:val="573E1AB7"/>
    <w:rsid w:val="574C27F1"/>
    <w:rsid w:val="57503846"/>
    <w:rsid w:val="5750D5D5"/>
    <w:rsid w:val="5750EB58"/>
    <w:rsid w:val="57553476"/>
    <w:rsid w:val="5757154D"/>
    <w:rsid w:val="57574F7A"/>
    <w:rsid w:val="5758DA7B"/>
    <w:rsid w:val="575DB23F"/>
    <w:rsid w:val="5767BB80"/>
    <w:rsid w:val="576E1D74"/>
    <w:rsid w:val="57771601"/>
    <w:rsid w:val="577D69F4"/>
    <w:rsid w:val="57839994"/>
    <w:rsid w:val="578DAB56"/>
    <w:rsid w:val="5791B959"/>
    <w:rsid w:val="57939744"/>
    <w:rsid w:val="57A2C046"/>
    <w:rsid w:val="57A46FE3"/>
    <w:rsid w:val="57A5BFD8"/>
    <w:rsid w:val="57A7D1DE"/>
    <w:rsid w:val="57A8B239"/>
    <w:rsid w:val="57AB11E5"/>
    <w:rsid w:val="57AB6CDB"/>
    <w:rsid w:val="57B6F933"/>
    <w:rsid w:val="57BB6FF6"/>
    <w:rsid w:val="57BBA629"/>
    <w:rsid w:val="57BCC75A"/>
    <w:rsid w:val="57BE393B"/>
    <w:rsid w:val="57C13A1E"/>
    <w:rsid w:val="57D45E07"/>
    <w:rsid w:val="57DCA494"/>
    <w:rsid w:val="57DD6AC7"/>
    <w:rsid w:val="57E6B821"/>
    <w:rsid w:val="57EA1E8C"/>
    <w:rsid w:val="57F0870F"/>
    <w:rsid w:val="57F22A29"/>
    <w:rsid w:val="57F279DB"/>
    <w:rsid w:val="57F55AE0"/>
    <w:rsid w:val="57F683FC"/>
    <w:rsid w:val="57FE29E6"/>
    <w:rsid w:val="5801721A"/>
    <w:rsid w:val="581193D0"/>
    <w:rsid w:val="58152D45"/>
    <w:rsid w:val="581668C2"/>
    <w:rsid w:val="581F9662"/>
    <w:rsid w:val="58369C26"/>
    <w:rsid w:val="584108C5"/>
    <w:rsid w:val="58460798"/>
    <w:rsid w:val="5852F57E"/>
    <w:rsid w:val="5856C795"/>
    <w:rsid w:val="5858181D"/>
    <w:rsid w:val="5858EF71"/>
    <w:rsid w:val="585A9603"/>
    <w:rsid w:val="585F3962"/>
    <w:rsid w:val="5862E070"/>
    <w:rsid w:val="58632ECC"/>
    <w:rsid w:val="5863FBA0"/>
    <w:rsid w:val="58664AC8"/>
    <w:rsid w:val="5866945C"/>
    <w:rsid w:val="586E482B"/>
    <w:rsid w:val="5875F461"/>
    <w:rsid w:val="587DCE72"/>
    <w:rsid w:val="587EECD7"/>
    <w:rsid w:val="58801F06"/>
    <w:rsid w:val="5881D68B"/>
    <w:rsid w:val="58839850"/>
    <w:rsid w:val="588DE674"/>
    <w:rsid w:val="58931461"/>
    <w:rsid w:val="589AD249"/>
    <w:rsid w:val="589B27D1"/>
    <w:rsid w:val="589EE4F5"/>
    <w:rsid w:val="589FD524"/>
    <w:rsid w:val="58A188D8"/>
    <w:rsid w:val="58B265EF"/>
    <w:rsid w:val="58B72463"/>
    <w:rsid w:val="58BA66ED"/>
    <w:rsid w:val="58BB6A5B"/>
    <w:rsid w:val="58C2C1EA"/>
    <w:rsid w:val="58C324C8"/>
    <w:rsid w:val="58C882A5"/>
    <w:rsid w:val="58CA438F"/>
    <w:rsid w:val="58D00702"/>
    <w:rsid w:val="58D92EFC"/>
    <w:rsid w:val="58DA219F"/>
    <w:rsid w:val="58DCD711"/>
    <w:rsid w:val="58DEEBD8"/>
    <w:rsid w:val="58DF8CF2"/>
    <w:rsid w:val="58E7054D"/>
    <w:rsid w:val="58F16553"/>
    <w:rsid w:val="590E683A"/>
    <w:rsid w:val="591B567A"/>
    <w:rsid w:val="591BAD49"/>
    <w:rsid w:val="5922F669"/>
    <w:rsid w:val="592C418B"/>
    <w:rsid w:val="5933FC61"/>
    <w:rsid w:val="59341522"/>
    <w:rsid w:val="5934A6AB"/>
    <w:rsid w:val="593AA153"/>
    <w:rsid w:val="5943E222"/>
    <w:rsid w:val="5943E58B"/>
    <w:rsid w:val="59461CC2"/>
    <w:rsid w:val="594E8E44"/>
    <w:rsid w:val="594E928C"/>
    <w:rsid w:val="59522BED"/>
    <w:rsid w:val="595677A3"/>
    <w:rsid w:val="595A7608"/>
    <w:rsid w:val="5967915F"/>
    <w:rsid w:val="596A49BD"/>
    <w:rsid w:val="596C3C1D"/>
    <w:rsid w:val="596FEAAA"/>
    <w:rsid w:val="597D4040"/>
    <w:rsid w:val="59864E26"/>
    <w:rsid w:val="598AEDAD"/>
    <w:rsid w:val="598F74EF"/>
    <w:rsid w:val="5990625D"/>
    <w:rsid w:val="5991577B"/>
    <w:rsid w:val="599788FB"/>
    <w:rsid w:val="5998DC6A"/>
    <w:rsid w:val="59A32E4B"/>
    <w:rsid w:val="59A6B034"/>
    <w:rsid w:val="59A95D5B"/>
    <w:rsid w:val="59B2E54F"/>
    <w:rsid w:val="59BEC9A2"/>
    <w:rsid w:val="59C4A307"/>
    <w:rsid w:val="59C54165"/>
    <w:rsid w:val="59CF3EE9"/>
    <w:rsid w:val="59D5CE16"/>
    <w:rsid w:val="59DC7A09"/>
    <w:rsid w:val="59E102C9"/>
    <w:rsid w:val="59E2D32F"/>
    <w:rsid w:val="59E531B4"/>
    <w:rsid w:val="59E652C4"/>
    <w:rsid w:val="59E7FD4C"/>
    <w:rsid w:val="59EFA786"/>
    <w:rsid w:val="59EFD5FC"/>
    <w:rsid w:val="59F2B925"/>
    <w:rsid w:val="5A041E4D"/>
    <w:rsid w:val="5A07220D"/>
    <w:rsid w:val="5A08B4B9"/>
    <w:rsid w:val="5A0CAE7A"/>
    <w:rsid w:val="5A0D48B6"/>
    <w:rsid w:val="5A0E96F7"/>
    <w:rsid w:val="5A151D87"/>
    <w:rsid w:val="5A17AD6E"/>
    <w:rsid w:val="5A1846F9"/>
    <w:rsid w:val="5A1B8737"/>
    <w:rsid w:val="5A1D0F38"/>
    <w:rsid w:val="5A2E8235"/>
    <w:rsid w:val="5A3E4530"/>
    <w:rsid w:val="5A54A656"/>
    <w:rsid w:val="5A5A668F"/>
    <w:rsid w:val="5A6063CC"/>
    <w:rsid w:val="5A6787EB"/>
    <w:rsid w:val="5A69866B"/>
    <w:rsid w:val="5A6AABE2"/>
    <w:rsid w:val="5A6AC367"/>
    <w:rsid w:val="5A6D6406"/>
    <w:rsid w:val="5A8FA7A8"/>
    <w:rsid w:val="5A9BCFE8"/>
    <w:rsid w:val="5AA44880"/>
    <w:rsid w:val="5AA4DC37"/>
    <w:rsid w:val="5AAB3525"/>
    <w:rsid w:val="5ABC63F3"/>
    <w:rsid w:val="5ABE6727"/>
    <w:rsid w:val="5AC8DF6D"/>
    <w:rsid w:val="5ACBF654"/>
    <w:rsid w:val="5AD9CF1F"/>
    <w:rsid w:val="5AD9DDC3"/>
    <w:rsid w:val="5AECC64B"/>
    <w:rsid w:val="5AEE7B7E"/>
    <w:rsid w:val="5AF1202B"/>
    <w:rsid w:val="5AF4E28C"/>
    <w:rsid w:val="5AF6C209"/>
    <w:rsid w:val="5AFEEEBA"/>
    <w:rsid w:val="5AFF23EF"/>
    <w:rsid w:val="5B00642C"/>
    <w:rsid w:val="5B051D89"/>
    <w:rsid w:val="5B076904"/>
    <w:rsid w:val="5B0DF123"/>
    <w:rsid w:val="5B111D78"/>
    <w:rsid w:val="5B125E6F"/>
    <w:rsid w:val="5B1B6FCC"/>
    <w:rsid w:val="5B241487"/>
    <w:rsid w:val="5B34C604"/>
    <w:rsid w:val="5B35570E"/>
    <w:rsid w:val="5B3E0AE8"/>
    <w:rsid w:val="5B454E3F"/>
    <w:rsid w:val="5B49D3F7"/>
    <w:rsid w:val="5B4F58C7"/>
    <w:rsid w:val="5B508788"/>
    <w:rsid w:val="5B55C610"/>
    <w:rsid w:val="5B5A181D"/>
    <w:rsid w:val="5B5DCF86"/>
    <w:rsid w:val="5B62D921"/>
    <w:rsid w:val="5B6669D3"/>
    <w:rsid w:val="5B67B352"/>
    <w:rsid w:val="5B6A37DC"/>
    <w:rsid w:val="5B6C7D92"/>
    <w:rsid w:val="5B6CBB11"/>
    <w:rsid w:val="5B7AA0B6"/>
    <w:rsid w:val="5B7CA41C"/>
    <w:rsid w:val="5B856E9C"/>
    <w:rsid w:val="5B8F9461"/>
    <w:rsid w:val="5B8FABBA"/>
    <w:rsid w:val="5B91AB0A"/>
    <w:rsid w:val="5B97F9D5"/>
    <w:rsid w:val="5BA1A8D4"/>
    <w:rsid w:val="5BA32121"/>
    <w:rsid w:val="5BA9BEC5"/>
    <w:rsid w:val="5BAD7B3D"/>
    <w:rsid w:val="5BAE52AC"/>
    <w:rsid w:val="5BB15C1A"/>
    <w:rsid w:val="5BB1DE52"/>
    <w:rsid w:val="5BB33551"/>
    <w:rsid w:val="5BB40F42"/>
    <w:rsid w:val="5BB98538"/>
    <w:rsid w:val="5BBC29A9"/>
    <w:rsid w:val="5BBF57E3"/>
    <w:rsid w:val="5BC148EF"/>
    <w:rsid w:val="5BC4B013"/>
    <w:rsid w:val="5BD1DBB9"/>
    <w:rsid w:val="5BD5D62F"/>
    <w:rsid w:val="5BD924A9"/>
    <w:rsid w:val="5BDA9E04"/>
    <w:rsid w:val="5BE3C774"/>
    <w:rsid w:val="5BEEABB4"/>
    <w:rsid w:val="5BF0BE13"/>
    <w:rsid w:val="5BF8AF13"/>
    <w:rsid w:val="5BFEE570"/>
    <w:rsid w:val="5C04FAD8"/>
    <w:rsid w:val="5C052392"/>
    <w:rsid w:val="5C0E9F14"/>
    <w:rsid w:val="5C12B870"/>
    <w:rsid w:val="5C1B6C4E"/>
    <w:rsid w:val="5C1F96FC"/>
    <w:rsid w:val="5C2395B6"/>
    <w:rsid w:val="5C259763"/>
    <w:rsid w:val="5C2AD580"/>
    <w:rsid w:val="5C2D0AB9"/>
    <w:rsid w:val="5C347C71"/>
    <w:rsid w:val="5C3A8A40"/>
    <w:rsid w:val="5C480671"/>
    <w:rsid w:val="5C4AB1FB"/>
    <w:rsid w:val="5C506215"/>
    <w:rsid w:val="5C5B2A97"/>
    <w:rsid w:val="5C5E0664"/>
    <w:rsid w:val="5C60D550"/>
    <w:rsid w:val="5C670C1C"/>
    <w:rsid w:val="5C7E3DBA"/>
    <w:rsid w:val="5C8314AE"/>
    <w:rsid w:val="5C850A80"/>
    <w:rsid w:val="5C8CD9F4"/>
    <w:rsid w:val="5C913543"/>
    <w:rsid w:val="5C9C16A2"/>
    <w:rsid w:val="5C9C348D"/>
    <w:rsid w:val="5C9D27B6"/>
    <w:rsid w:val="5C9EAF97"/>
    <w:rsid w:val="5C9F5BBB"/>
    <w:rsid w:val="5CAB270C"/>
    <w:rsid w:val="5CAEB72E"/>
    <w:rsid w:val="5CB263C6"/>
    <w:rsid w:val="5CBA17D5"/>
    <w:rsid w:val="5CD48C6C"/>
    <w:rsid w:val="5CD59257"/>
    <w:rsid w:val="5CD8BD75"/>
    <w:rsid w:val="5CDEA9BF"/>
    <w:rsid w:val="5CE8705C"/>
    <w:rsid w:val="5CE9F5D8"/>
    <w:rsid w:val="5CF2EE59"/>
    <w:rsid w:val="5CF79226"/>
    <w:rsid w:val="5CFE1303"/>
    <w:rsid w:val="5D00E093"/>
    <w:rsid w:val="5D0616F7"/>
    <w:rsid w:val="5D0ABC8B"/>
    <w:rsid w:val="5D0EFFD8"/>
    <w:rsid w:val="5D11E63F"/>
    <w:rsid w:val="5D18F3DC"/>
    <w:rsid w:val="5D3500B7"/>
    <w:rsid w:val="5D379C09"/>
    <w:rsid w:val="5D379C2A"/>
    <w:rsid w:val="5D3D67EF"/>
    <w:rsid w:val="5D3D9A74"/>
    <w:rsid w:val="5D3FD1E1"/>
    <w:rsid w:val="5D513B0F"/>
    <w:rsid w:val="5D51D11A"/>
    <w:rsid w:val="5D54DCA9"/>
    <w:rsid w:val="5D55C887"/>
    <w:rsid w:val="5D55F060"/>
    <w:rsid w:val="5D567EF5"/>
    <w:rsid w:val="5D568718"/>
    <w:rsid w:val="5D5B2844"/>
    <w:rsid w:val="5D5D4C37"/>
    <w:rsid w:val="5D5E13C3"/>
    <w:rsid w:val="5D631D11"/>
    <w:rsid w:val="5D66B867"/>
    <w:rsid w:val="5D71FE1D"/>
    <w:rsid w:val="5D74F50A"/>
    <w:rsid w:val="5D7AF169"/>
    <w:rsid w:val="5D7D5980"/>
    <w:rsid w:val="5D814082"/>
    <w:rsid w:val="5D840DBF"/>
    <w:rsid w:val="5D8AC424"/>
    <w:rsid w:val="5D8D3BA7"/>
    <w:rsid w:val="5D9E2642"/>
    <w:rsid w:val="5DA1554B"/>
    <w:rsid w:val="5DA4B11B"/>
    <w:rsid w:val="5DAA24F6"/>
    <w:rsid w:val="5DAA34D0"/>
    <w:rsid w:val="5DAE0DF7"/>
    <w:rsid w:val="5DBC8499"/>
    <w:rsid w:val="5DCA2BD2"/>
    <w:rsid w:val="5DCAC454"/>
    <w:rsid w:val="5DD047EB"/>
    <w:rsid w:val="5DDAB93A"/>
    <w:rsid w:val="5DE69AE3"/>
    <w:rsid w:val="5DE7F309"/>
    <w:rsid w:val="5DE9B37B"/>
    <w:rsid w:val="5DEEC322"/>
    <w:rsid w:val="5DF0B445"/>
    <w:rsid w:val="5DF52CD3"/>
    <w:rsid w:val="5DFA8E8C"/>
    <w:rsid w:val="5DFF879B"/>
    <w:rsid w:val="5E0247B3"/>
    <w:rsid w:val="5E045B32"/>
    <w:rsid w:val="5E07905E"/>
    <w:rsid w:val="5E0B71E3"/>
    <w:rsid w:val="5E152BFC"/>
    <w:rsid w:val="5E190AE2"/>
    <w:rsid w:val="5E1A0E1B"/>
    <w:rsid w:val="5E1DBD24"/>
    <w:rsid w:val="5E39727B"/>
    <w:rsid w:val="5E3B8530"/>
    <w:rsid w:val="5E3E4CBC"/>
    <w:rsid w:val="5E4B7407"/>
    <w:rsid w:val="5E4B885A"/>
    <w:rsid w:val="5E4F4756"/>
    <w:rsid w:val="5E4F7817"/>
    <w:rsid w:val="5E4F899C"/>
    <w:rsid w:val="5E50A0B2"/>
    <w:rsid w:val="5E56E004"/>
    <w:rsid w:val="5E586C33"/>
    <w:rsid w:val="5E58FD85"/>
    <w:rsid w:val="5E5FB715"/>
    <w:rsid w:val="5E65C17C"/>
    <w:rsid w:val="5E69EEA1"/>
    <w:rsid w:val="5E6BAE76"/>
    <w:rsid w:val="5E6E42E7"/>
    <w:rsid w:val="5E705C12"/>
    <w:rsid w:val="5E7C814C"/>
    <w:rsid w:val="5E7DAB6F"/>
    <w:rsid w:val="5E87A151"/>
    <w:rsid w:val="5E8879AF"/>
    <w:rsid w:val="5E8F40D1"/>
    <w:rsid w:val="5E920912"/>
    <w:rsid w:val="5E922B2E"/>
    <w:rsid w:val="5E929AD8"/>
    <w:rsid w:val="5E9F30E5"/>
    <w:rsid w:val="5EA2DF55"/>
    <w:rsid w:val="5EAA7CF1"/>
    <w:rsid w:val="5EAE72BF"/>
    <w:rsid w:val="5EB1F88A"/>
    <w:rsid w:val="5EB4C43D"/>
    <w:rsid w:val="5EBED2E6"/>
    <w:rsid w:val="5EC468DE"/>
    <w:rsid w:val="5ECA0184"/>
    <w:rsid w:val="5ECAAF3E"/>
    <w:rsid w:val="5ED642A9"/>
    <w:rsid w:val="5EDCCB4B"/>
    <w:rsid w:val="5EDEF6F9"/>
    <w:rsid w:val="5EE35DCC"/>
    <w:rsid w:val="5EE533DB"/>
    <w:rsid w:val="5EECB93F"/>
    <w:rsid w:val="5EF1A006"/>
    <w:rsid w:val="5EFEED72"/>
    <w:rsid w:val="5F0576E5"/>
    <w:rsid w:val="5F16BA35"/>
    <w:rsid w:val="5F27D52D"/>
    <w:rsid w:val="5F28644C"/>
    <w:rsid w:val="5F33CDCF"/>
    <w:rsid w:val="5F4099A6"/>
    <w:rsid w:val="5F42ECE5"/>
    <w:rsid w:val="5F48FC86"/>
    <w:rsid w:val="5F4A5ACD"/>
    <w:rsid w:val="5F4BDC0C"/>
    <w:rsid w:val="5F55ECB1"/>
    <w:rsid w:val="5F5BFFB7"/>
    <w:rsid w:val="5F6D788E"/>
    <w:rsid w:val="5F7081CD"/>
    <w:rsid w:val="5F731E28"/>
    <w:rsid w:val="5F7533B4"/>
    <w:rsid w:val="5F7B58C6"/>
    <w:rsid w:val="5F7BD965"/>
    <w:rsid w:val="5F85D921"/>
    <w:rsid w:val="5F92FD44"/>
    <w:rsid w:val="5F9E1BAD"/>
    <w:rsid w:val="5F9EFC55"/>
    <w:rsid w:val="5FA9DF56"/>
    <w:rsid w:val="5FAA2327"/>
    <w:rsid w:val="5FAB8EAA"/>
    <w:rsid w:val="5FAD6FEE"/>
    <w:rsid w:val="5FB6003E"/>
    <w:rsid w:val="5FBAA99F"/>
    <w:rsid w:val="5FC70017"/>
    <w:rsid w:val="5FC90572"/>
    <w:rsid w:val="5FCEC654"/>
    <w:rsid w:val="5FCFDC8C"/>
    <w:rsid w:val="5FD0060A"/>
    <w:rsid w:val="5FD5936D"/>
    <w:rsid w:val="5FDDEF26"/>
    <w:rsid w:val="5FE4E7B3"/>
    <w:rsid w:val="5FE543C0"/>
    <w:rsid w:val="5FEEA56F"/>
    <w:rsid w:val="5FFA8E4C"/>
    <w:rsid w:val="5FFE2C48"/>
    <w:rsid w:val="6003902C"/>
    <w:rsid w:val="601B663F"/>
    <w:rsid w:val="6020111E"/>
    <w:rsid w:val="60215E22"/>
    <w:rsid w:val="60227DE0"/>
    <w:rsid w:val="602AC5DC"/>
    <w:rsid w:val="602EAC57"/>
    <w:rsid w:val="6034625D"/>
    <w:rsid w:val="6036905A"/>
    <w:rsid w:val="6039397B"/>
    <w:rsid w:val="604AAD09"/>
    <w:rsid w:val="604D9739"/>
    <w:rsid w:val="6055E528"/>
    <w:rsid w:val="605E519C"/>
    <w:rsid w:val="605F7C52"/>
    <w:rsid w:val="606703B2"/>
    <w:rsid w:val="60688D6F"/>
    <w:rsid w:val="6069D4C9"/>
    <w:rsid w:val="60748C42"/>
    <w:rsid w:val="607A1EC1"/>
    <w:rsid w:val="607C3B90"/>
    <w:rsid w:val="608CA3BB"/>
    <w:rsid w:val="60971867"/>
    <w:rsid w:val="60973AFC"/>
    <w:rsid w:val="60A71F49"/>
    <w:rsid w:val="60A9C58B"/>
    <w:rsid w:val="60B9AB94"/>
    <w:rsid w:val="60C148E1"/>
    <w:rsid w:val="60C9D704"/>
    <w:rsid w:val="60CF95D9"/>
    <w:rsid w:val="60DCF933"/>
    <w:rsid w:val="60E06277"/>
    <w:rsid w:val="60E33512"/>
    <w:rsid w:val="60E5000C"/>
    <w:rsid w:val="60F1BD12"/>
    <w:rsid w:val="60F2FC99"/>
    <w:rsid w:val="60F89039"/>
    <w:rsid w:val="60F9F9B7"/>
    <w:rsid w:val="61017D46"/>
    <w:rsid w:val="6103F587"/>
    <w:rsid w:val="610F98A0"/>
    <w:rsid w:val="61139460"/>
    <w:rsid w:val="611FE238"/>
    <w:rsid w:val="61220F7B"/>
    <w:rsid w:val="612AF08A"/>
    <w:rsid w:val="6130FE3E"/>
    <w:rsid w:val="61340293"/>
    <w:rsid w:val="6137E680"/>
    <w:rsid w:val="61417B6A"/>
    <w:rsid w:val="614E9D97"/>
    <w:rsid w:val="61527212"/>
    <w:rsid w:val="61535CAF"/>
    <w:rsid w:val="61572F55"/>
    <w:rsid w:val="615D586D"/>
    <w:rsid w:val="6161AD4D"/>
    <w:rsid w:val="616484FF"/>
    <w:rsid w:val="616A170C"/>
    <w:rsid w:val="617B61A5"/>
    <w:rsid w:val="617BF759"/>
    <w:rsid w:val="617CC5A9"/>
    <w:rsid w:val="617FC1D1"/>
    <w:rsid w:val="61802EE9"/>
    <w:rsid w:val="61811421"/>
    <w:rsid w:val="6183BDEE"/>
    <w:rsid w:val="618614E4"/>
    <w:rsid w:val="61863B07"/>
    <w:rsid w:val="6189BB17"/>
    <w:rsid w:val="6190BAC9"/>
    <w:rsid w:val="619A578E"/>
    <w:rsid w:val="619B53A0"/>
    <w:rsid w:val="619C6E57"/>
    <w:rsid w:val="61A3C0ED"/>
    <w:rsid w:val="61AF52DF"/>
    <w:rsid w:val="61B2227D"/>
    <w:rsid w:val="61BD909A"/>
    <w:rsid w:val="61BFC45A"/>
    <w:rsid w:val="61C037FB"/>
    <w:rsid w:val="61C84C61"/>
    <w:rsid w:val="61C90DD0"/>
    <w:rsid w:val="61C9FCB3"/>
    <w:rsid w:val="61D241FD"/>
    <w:rsid w:val="61D392EB"/>
    <w:rsid w:val="61D8A5E4"/>
    <w:rsid w:val="61D9A7F9"/>
    <w:rsid w:val="61DF2F29"/>
    <w:rsid w:val="61E125B3"/>
    <w:rsid w:val="61E52050"/>
    <w:rsid w:val="61EC1A87"/>
    <w:rsid w:val="61F40A2C"/>
    <w:rsid w:val="61F5CD3B"/>
    <w:rsid w:val="61F6421E"/>
    <w:rsid w:val="61F6B8E5"/>
    <w:rsid w:val="620211A9"/>
    <w:rsid w:val="620C6AEB"/>
    <w:rsid w:val="62124B22"/>
    <w:rsid w:val="62159B16"/>
    <w:rsid w:val="6218A302"/>
    <w:rsid w:val="62263E88"/>
    <w:rsid w:val="62284A74"/>
    <w:rsid w:val="6229D1BF"/>
    <w:rsid w:val="623CB640"/>
    <w:rsid w:val="62451F16"/>
    <w:rsid w:val="6249DCA4"/>
    <w:rsid w:val="6251970C"/>
    <w:rsid w:val="625EA24B"/>
    <w:rsid w:val="6263ED33"/>
    <w:rsid w:val="6265E3AD"/>
    <w:rsid w:val="626C4CF9"/>
    <w:rsid w:val="627949E5"/>
    <w:rsid w:val="628286E0"/>
    <w:rsid w:val="628C0F25"/>
    <w:rsid w:val="62994C9F"/>
    <w:rsid w:val="629FC5E8"/>
    <w:rsid w:val="62A014E9"/>
    <w:rsid w:val="62B28044"/>
    <w:rsid w:val="62B64F52"/>
    <w:rsid w:val="62BF4E36"/>
    <w:rsid w:val="62C2CD72"/>
    <w:rsid w:val="62C61A26"/>
    <w:rsid w:val="62CBDA92"/>
    <w:rsid w:val="62CC174D"/>
    <w:rsid w:val="62CD22E2"/>
    <w:rsid w:val="62DB22EE"/>
    <w:rsid w:val="62E318E5"/>
    <w:rsid w:val="62E620B0"/>
    <w:rsid w:val="62F2612A"/>
    <w:rsid w:val="62F37EDF"/>
    <w:rsid w:val="6303CB65"/>
    <w:rsid w:val="630B2DF5"/>
    <w:rsid w:val="631128CA"/>
    <w:rsid w:val="6314F0E3"/>
    <w:rsid w:val="63179D23"/>
    <w:rsid w:val="631AA8EC"/>
    <w:rsid w:val="631D05EC"/>
    <w:rsid w:val="632048AA"/>
    <w:rsid w:val="6325CD00"/>
    <w:rsid w:val="632A5127"/>
    <w:rsid w:val="632ABD83"/>
    <w:rsid w:val="632E7CC4"/>
    <w:rsid w:val="6330D077"/>
    <w:rsid w:val="634216E5"/>
    <w:rsid w:val="634311DF"/>
    <w:rsid w:val="6354C2A9"/>
    <w:rsid w:val="63563AEF"/>
    <w:rsid w:val="6356C48F"/>
    <w:rsid w:val="6363FE98"/>
    <w:rsid w:val="636440CD"/>
    <w:rsid w:val="636D7ABD"/>
    <w:rsid w:val="63765078"/>
    <w:rsid w:val="6377F6BD"/>
    <w:rsid w:val="637A0443"/>
    <w:rsid w:val="63867A0E"/>
    <w:rsid w:val="63993FBF"/>
    <w:rsid w:val="63A14D52"/>
    <w:rsid w:val="63A2DAF1"/>
    <w:rsid w:val="63A91B5F"/>
    <w:rsid w:val="63AC2D04"/>
    <w:rsid w:val="63B201DC"/>
    <w:rsid w:val="63B4601A"/>
    <w:rsid w:val="63B49C25"/>
    <w:rsid w:val="63BE8FB4"/>
    <w:rsid w:val="63CAE0E4"/>
    <w:rsid w:val="63CC5585"/>
    <w:rsid w:val="63CEA7C0"/>
    <w:rsid w:val="63D73035"/>
    <w:rsid w:val="63D886A1"/>
    <w:rsid w:val="63DA5C41"/>
    <w:rsid w:val="63E52776"/>
    <w:rsid w:val="63EFD692"/>
    <w:rsid w:val="63F0DAA0"/>
    <w:rsid w:val="63F305C8"/>
    <w:rsid w:val="63FB2D80"/>
    <w:rsid w:val="63FC0B2D"/>
    <w:rsid w:val="6403C0F8"/>
    <w:rsid w:val="640933E1"/>
    <w:rsid w:val="640C9C04"/>
    <w:rsid w:val="64138E0A"/>
    <w:rsid w:val="64264B6C"/>
    <w:rsid w:val="642BF169"/>
    <w:rsid w:val="64375A4D"/>
    <w:rsid w:val="643DACB3"/>
    <w:rsid w:val="6441BCA6"/>
    <w:rsid w:val="6445819C"/>
    <w:rsid w:val="6457BD89"/>
    <w:rsid w:val="6459B03D"/>
    <w:rsid w:val="645F398C"/>
    <w:rsid w:val="64600FB1"/>
    <w:rsid w:val="646A70A3"/>
    <w:rsid w:val="6474A3F4"/>
    <w:rsid w:val="6480CAA1"/>
    <w:rsid w:val="648447FD"/>
    <w:rsid w:val="648885B4"/>
    <w:rsid w:val="64916D20"/>
    <w:rsid w:val="64936997"/>
    <w:rsid w:val="649447E6"/>
    <w:rsid w:val="6497EBD9"/>
    <w:rsid w:val="6499A2DC"/>
    <w:rsid w:val="649C9271"/>
    <w:rsid w:val="64A8913A"/>
    <w:rsid w:val="64B2F141"/>
    <w:rsid w:val="64B429C6"/>
    <w:rsid w:val="64B9C8EE"/>
    <w:rsid w:val="64BFEB0A"/>
    <w:rsid w:val="64C09B1E"/>
    <w:rsid w:val="64C0C679"/>
    <w:rsid w:val="64C61C30"/>
    <w:rsid w:val="64CA1533"/>
    <w:rsid w:val="64D3CF50"/>
    <w:rsid w:val="64D3D6DD"/>
    <w:rsid w:val="64DB61AF"/>
    <w:rsid w:val="64DCA093"/>
    <w:rsid w:val="64DF8BD7"/>
    <w:rsid w:val="64E25C2E"/>
    <w:rsid w:val="64E52D48"/>
    <w:rsid w:val="64F3E1C0"/>
    <w:rsid w:val="64F6DEF3"/>
    <w:rsid w:val="64FFED23"/>
    <w:rsid w:val="650511ED"/>
    <w:rsid w:val="6508CA78"/>
    <w:rsid w:val="65092B73"/>
    <w:rsid w:val="65112DED"/>
    <w:rsid w:val="65131B9E"/>
    <w:rsid w:val="6523380E"/>
    <w:rsid w:val="652A388D"/>
    <w:rsid w:val="652B7E4D"/>
    <w:rsid w:val="652C5DE9"/>
    <w:rsid w:val="65351020"/>
    <w:rsid w:val="653D45EC"/>
    <w:rsid w:val="65418A13"/>
    <w:rsid w:val="6543E2C7"/>
    <w:rsid w:val="65444D50"/>
    <w:rsid w:val="65450EDD"/>
    <w:rsid w:val="65469404"/>
    <w:rsid w:val="654F854C"/>
    <w:rsid w:val="65568D5F"/>
    <w:rsid w:val="655EBE65"/>
    <w:rsid w:val="65634DF7"/>
    <w:rsid w:val="656466AB"/>
    <w:rsid w:val="65655224"/>
    <w:rsid w:val="656EA790"/>
    <w:rsid w:val="65730096"/>
    <w:rsid w:val="6574E219"/>
    <w:rsid w:val="6576F502"/>
    <w:rsid w:val="657B37B3"/>
    <w:rsid w:val="658A43A0"/>
    <w:rsid w:val="658E6B91"/>
    <w:rsid w:val="6594686E"/>
    <w:rsid w:val="65979258"/>
    <w:rsid w:val="65AB5E2B"/>
    <w:rsid w:val="65B08760"/>
    <w:rsid w:val="65B1B092"/>
    <w:rsid w:val="65BF8349"/>
    <w:rsid w:val="65C44066"/>
    <w:rsid w:val="65CB300B"/>
    <w:rsid w:val="65CC3364"/>
    <w:rsid w:val="65D8FA0B"/>
    <w:rsid w:val="65DB18C9"/>
    <w:rsid w:val="65DB305B"/>
    <w:rsid w:val="65F42B04"/>
    <w:rsid w:val="65F526A2"/>
    <w:rsid w:val="65FB2E74"/>
    <w:rsid w:val="65FF0216"/>
    <w:rsid w:val="6602045A"/>
    <w:rsid w:val="66031C51"/>
    <w:rsid w:val="66064104"/>
    <w:rsid w:val="660C021A"/>
    <w:rsid w:val="660D8B60"/>
    <w:rsid w:val="6617EC01"/>
    <w:rsid w:val="6618B3CA"/>
    <w:rsid w:val="661AAB4B"/>
    <w:rsid w:val="661B0A9F"/>
    <w:rsid w:val="661C090C"/>
    <w:rsid w:val="661DF447"/>
    <w:rsid w:val="661EA5C0"/>
    <w:rsid w:val="6629ADC9"/>
    <w:rsid w:val="662A2C55"/>
    <w:rsid w:val="662CCD97"/>
    <w:rsid w:val="663BD83F"/>
    <w:rsid w:val="6641641A"/>
    <w:rsid w:val="664406B7"/>
    <w:rsid w:val="6645ED98"/>
    <w:rsid w:val="66479EC7"/>
    <w:rsid w:val="66481D47"/>
    <w:rsid w:val="6649B7A5"/>
    <w:rsid w:val="664CA8E1"/>
    <w:rsid w:val="66522C22"/>
    <w:rsid w:val="66555C1A"/>
    <w:rsid w:val="665723D3"/>
    <w:rsid w:val="665DE6F3"/>
    <w:rsid w:val="66641689"/>
    <w:rsid w:val="666D68D9"/>
    <w:rsid w:val="6676A15F"/>
    <w:rsid w:val="667B1606"/>
    <w:rsid w:val="667D83A9"/>
    <w:rsid w:val="668F52A2"/>
    <w:rsid w:val="668FDB3E"/>
    <w:rsid w:val="66919812"/>
    <w:rsid w:val="6691CD5F"/>
    <w:rsid w:val="66991BE8"/>
    <w:rsid w:val="669ADDAF"/>
    <w:rsid w:val="669BCC52"/>
    <w:rsid w:val="669CA467"/>
    <w:rsid w:val="669EC719"/>
    <w:rsid w:val="66A0D9C0"/>
    <w:rsid w:val="66A2BE3A"/>
    <w:rsid w:val="66A3396C"/>
    <w:rsid w:val="66A57130"/>
    <w:rsid w:val="66AA8FD6"/>
    <w:rsid w:val="66AAC16D"/>
    <w:rsid w:val="66AB8978"/>
    <w:rsid w:val="66AC3B46"/>
    <w:rsid w:val="66B06BC3"/>
    <w:rsid w:val="66C1EDDC"/>
    <w:rsid w:val="66C31C9E"/>
    <w:rsid w:val="66C669B8"/>
    <w:rsid w:val="66CCDFE2"/>
    <w:rsid w:val="66CF5A3F"/>
    <w:rsid w:val="66D8EE14"/>
    <w:rsid w:val="66DBE8CF"/>
    <w:rsid w:val="66E643A1"/>
    <w:rsid w:val="66F232E9"/>
    <w:rsid w:val="66F867EB"/>
    <w:rsid w:val="66FA7C84"/>
    <w:rsid w:val="67045424"/>
    <w:rsid w:val="670509EF"/>
    <w:rsid w:val="6709F810"/>
    <w:rsid w:val="670C0C8C"/>
    <w:rsid w:val="67142CB5"/>
    <w:rsid w:val="6717631B"/>
    <w:rsid w:val="6718EB11"/>
    <w:rsid w:val="67197CBD"/>
    <w:rsid w:val="671DE295"/>
    <w:rsid w:val="671ED223"/>
    <w:rsid w:val="67359FC9"/>
    <w:rsid w:val="6735C976"/>
    <w:rsid w:val="6735D8D3"/>
    <w:rsid w:val="673C0984"/>
    <w:rsid w:val="673D1553"/>
    <w:rsid w:val="6747D715"/>
    <w:rsid w:val="674E12E6"/>
    <w:rsid w:val="675CA4CC"/>
    <w:rsid w:val="676C91D3"/>
    <w:rsid w:val="6770E950"/>
    <w:rsid w:val="67741635"/>
    <w:rsid w:val="677BFF90"/>
    <w:rsid w:val="677E8B64"/>
    <w:rsid w:val="678E19B9"/>
    <w:rsid w:val="6793E7C8"/>
    <w:rsid w:val="679E460E"/>
    <w:rsid w:val="67A0E466"/>
    <w:rsid w:val="67A21165"/>
    <w:rsid w:val="67AB8C41"/>
    <w:rsid w:val="67AEB903"/>
    <w:rsid w:val="67B11650"/>
    <w:rsid w:val="67C61E58"/>
    <w:rsid w:val="67CE29AE"/>
    <w:rsid w:val="67D476AC"/>
    <w:rsid w:val="67D81CA1"/>
    <w:rsid w:val="67DFD718"/>
    <w:rsid w:val="67E412B4"/>
    <w:rsid w:val="67E43089"/>
    <w:rsid w:val="67E6261C"/>
    <w:rsid w:val="67F16CC7"/>
    <w:rsid w:val="67FBC2A4"/>
    <w:rsid w:val="67FBFCD0"/>
    <w:rsid w:val="67FE74D0"/>
    <w:rsid w:val="68100EE2"/>
    <w:rsid w:val="681845AF"/>
    <w:rsid w:val="6818A9A5"/>
    <w:rsid w:val="68190458"/>
    <w:rsid w:val="6819C0FC"/>
    <w:rsid w:val="681B73CE"/>
    <w:rsid w:val="681DD471"/>
    <w:rsid w:val="6820736D"/>
    <w:rsid w:val="6823B457"/>
    <w:rsid w:val="682980B7"/>
    <w:rsid w:val="682D112C"/>
    <w:rsid w:val="68331089"/>
    <w:rsid w:val="6836AE10"/>
    <w:rsid w:val="68376F96"/>
    <w:rsid w:val="683808EE"/>
    <w:rsid w:val="6839611B"/>
    <w:rsid w:val="683C26C2"/>
    <w:rsid w:val="683DCAD8"/>
    <w:rsid w:val="68409054"/>
    <w:rsid w:val="6847524D"/>
    <w:rsid w:val="684A81FC"/>
    <w:rsid w:val="68509244"/>
    <w:rsid w:val="6853AD54"/>
    <w:rsid w:val="6854B3B4"/>
    <w:rsid w:val="6854C189"/>
    <w:rsid w:val="685502EE"/>
    <w:rsid w:val="685A3F1F"/>
    <w:rsid w:val="6883EB99"/>
    <w:rsid w:val="688BF234"/>
    <w:rsid w:val="688D7B3A"/>
    <w:rsid w:val="689200D7"/>
    <w:rsid w:val="6892EA0D"/>
    <w:rsid w:val="68947008"/>
    <w:rsid w:val="689C14E4"/>
    <w:rsid w:val="68A40A3E"/>
    <w:rsid w:val="68A5D0A6"/>
    <w:rsid w:val="68B0A253"/>
    <w:rsid w:val="68B2BE0E"/>
    <w:rsid w:val="68BF651E"/>
    <w:rsid w:val="68BFB043"/>
    <w:rsid w:val="68C076EC"/>
    <w:rsid w:val="68C9BF1D"/>
    <w:rsid w:val="68D0B50F"/>
    <w:rsid w:val="68D1ACA3"/>
    <w:rsid w:val="68D52531"/>
    <w:rsid w:val="68D66765"/>
    <w:rsid w:val="68DCC64E"/>
    <w:rsid w:val="68EA5670"/>
    <w:rsid w:val="68EFF4D6"/>
    <w:rsid w:val="68FD9B88"/>
    <w:rsid w:val="6900859F"/>
    <w:rsid w:val="6901CDDB"/>
    <w:rsid w:val="690D78BC"/>
    <w:rsid w:val="6914D56F"/>
    <w:rsid w:val="6919EB0D"/>
    <w:rsid w:val="691F7105"/>
    <w:rsid w:val="69275D19"/>
    <w:rsid w:val="692CB187"/>
    <w:rsid w:val="692EB6AA"/>
    <w:rsid w:val="693289A7"/>
    <w:rsid w:val="693C67B1"/>
    <w:rsid w:val="693F09EE"/>
    <w:rsid w:val="694096F6"/>
    <w:rsid w:val="6940EA63"/>
    <w:rsid w:val="6948DDC7"/>
    <w:rsid w:val="694EAE63"/>
    <w:rsid w:val="694EB487"/>
    <w:rsid w:val="694F2E04"/>
    <w:rsid w:val="696465BA"/>
    <w:rsid w:val="6966A160"/>
    <w:rsid w:val="69678395"/>
    <w:rsid w:val="69683BF2"/>
    <w:rsid w:val="696AC456"/>
    <w:rsid w:val="696E140E"/>
    <w:rsid w:val="6973611A"/>
    <w:rsid w:val="6974001D"/>
    <w:rsid w:val="6978FC56"/>
    <w:rsid w:val="697D66A6"/>
    <w:rsid w:val="697FB06E"/>
    <w:rsid w:val="698546C4"/>
    <w:rsid w:val="698750C2"/>
    <w:rsid w:val="698DE2CA"/>
    <w:rsid w:val="6993332F"/>
    <w:rsid w:val="69934B33"/>
    <w:rsid w:val="699A74EA"/>
    <w:rsid w:val="699BFF8E"/>
    <w:rsid w:val="69A3F334"/>
    <w:rsid w:val="69B42212"/>
    <w:rsid w:val="69B65FAF"/>
    <w:rsid w:val="69B8C748"/>
    <w:rsid w:val="69C0CB64"/>
    <w:rsid w:val="69C20A4C"/>
    <w:rsid w:val="69C378FA"/>
    <w:rsid w:val="69C38A69"/>
    <w:rsid w:val="69C57C73"/>
    <w:rsid w:val="69CA94B3"/>
    <w:rsid w:val="69CF1F1E"/>
    <w:rsid w:val="69D3FF93"/>
    <w:rsid w:val="69D6719A"/>
    <w:rsid w:val="69DA2215"/>
    <w:rsid w:val="69DA6198"/>
    <w:rsid w:val="69E3D315"/>
    <w:rsid w:val="69E74213"/>
    <w:rsid w:val="69E8F0C9"/>
    <w:rsid w:val="69E90096"/>
    <w:rsid w:val="69EFB351"/>
    <w:rsid w:val="69F022C9"/>
    <w:rsid w:val="69FCC82B"/>
    <w:rsid w:val="69FE7B1C"/>
    <w:rsid w:val="6A01D2D2"/>
    <w:rsid w:val="6A03A4C2"/>
    <w:rsid w:val="6A0508B8"/>
    <w:rsid w:val="6A0C7E4F"/>
    <w:rsid w:val="6A0C9DF0"/>
    <w:rsid w:val="6A14B15A"/>
    <w:rsid w:val="6A161F32"/>
    <w:rsid w:val="6A1DD095"/>
    <w:rsid w:val="6A24BAC1"/>
    <w:rsid w:val="6A2B2EBE"/>
    <w:rsid w:val="6A2BBB56"/>
    <w:rsid w:val="6A326228"/>
    <w:rsid w:val="6A356612"/>
    <w:rsid w:val="6A4C72B4"/>
    <w:rsid w:val="6A4CA422"/>
    <w:rsid w:val="6A5F6D87"/>
    <w:rsid w:val="6A691CBD"/>
    <w:rsid w:val="6A69F6BE"/>
    <w:rsid w:val="6A6BBC4A"/>
    <w:rsid w:val="6A6D6004"/>
    <w:rsid w:val="6A73D939"/>
    <w:rsid w:val="6A74B615"/>
    <w:rsid w:val="6A752A1A"/>
    <w:rsid w:val="6A836872"/>
    <w:rsid w:val="6A9280A0"/>
    <w:rsid w:val="6A97B627"/>
    <w:rsid w:val="6A984118"/>
    <w:rsid w:val="6A9D898B"/>
    <w:rsid w:val="6AA27E57"/>
    <w:rsid w:val="6AB10E95"/>
    <w:rsid w:val="6AB19E2D"/>
    <w:rsid w:val="6AB2EB33"/>
    <w:rsid w:val="6AB8A63F"/>
    <w:rsid w:val="6AB9CF95"/>
    <w:rsid w:val="6ABFF4BF"/>
    <w:rsid w:val="6AC02925"/>
    <w:rsid w:val="6AD3F6D2"/>
    <w:rsid w:val="6AD9A4AB"/>
    <w:rsid w:val="6ADB3A6C"/>
    <w:rsid w:val="6ADBFA82"/>
    <w:rsid w:val="6ADE658D"/>
    <w:rsid w:val="6AE07DF1"/>
    <w:rsid w:val="6AECEE43"/>
    <w:rsid w:val="6AF9406E"/>
    <w:rsid w:val="6AFE976B"/>
    <w:rsid w:val="6B0347C3"/>
    <w:rsid w:val="6B04D505"/>
    <w:rsid w:val="6B06B63B"/>
    <w:rsid w:val="6B072D5D"/>
    <w:rsid w:val="6B0DB7EB"/>
    <w:rsid w:val="6B139A50"/>
    <w:rsid w:val="6B1491CB"/>
    <w:rsid w:val="6B1777DA"/>
    <w:rsid w:val="6B187DB4"/>
    <w:rsid w:val="6B1EA82B"/>
    <w:rsid w:val="6B36BD63"/>
    <w:rsid w:val="6B3A34AC"/>
    <w:rsid w:val="6B3BC9CD"/>
    <w:rsid w:val="6B40194A"/>
    <w:rsid w:val="6B47F91C"/>
    <w:rsid w:val="6B5011FD"/>
    <w:rsid w:val="6B50A51A"/>
    <w:rsid w:val="6B513A60"/>
    <w:rsid w:val="6B573E31"/>
    <w:rsid w:val="6B5AD2C1"/>
    <w:rsid w:val="6B614CD4"/>
    <w:rsid w:val="6B67FAE9"/>
    <w:rsid w:val="6B76E4F2"/>
    <w:rsid w:val="6B7DBD33"/>
    <w:rsid w:val="6B7DDA4B"/>
    <w:rsid w:val="6B802514"/>
    <w:rsid w:val="6B915A79"/>
    <w:rsid w:val="6B9643AE"/>
    <w:rsid w:val="6B96A685"/>
    <w:rsid w:val="6B9700A6"/>
    <w:rsid w:val="6BABB730"/>
    <w:rsid w:val="6BB53001"/>
    <w:rsid w:val="6BB68311"/>
    <w:rsid w:val="6BB7FB09"/>
    <w:rsid w:val="6BBB383A"/>
    <w:rsid w:val="6BC1666C"/>
    <w:rsid w:val="6BC96393"/>
    <w:rsid w:val="6BC9A199"/>
    <w:rsid w:val="6BD22260"/>
    <w:rsid w:val="6BD8179E"/>
    <w:rsid w:val="6BDD6933"/>
    <w:rsid w:val="6BDD707A"/>
    <w:rsid w:val="6BE0E81C"/>
    <w:rsid w:val="6BE39886"/>
    <w:rsid w:val="6BE58093"/>
    <w:rsid w:val="6BF24F3B"/>
    <w:rsid w:val="6BF67964"/>
    <w:rsid w:val="6BFF6B7D"/>
    <w:rsid w:val="6C038056"/>
    <w:rsid w:val="6C0D8936"/>
    <w:rsid w:val="6C0E301B"/>
    <w:rsid w:val="6C2334E2"/>
    <w:rsid w:val="6C25911E"/>
    <w:rsid w:val="6C2B159C"/>
    <w:rsid w:val="6C2ED15F"/>
    <w:rsid w:val="6C333B4D"/>
    <w:rsid w:val="6C374EF2"/>
    <w:rsid w:val="6C38A614"/>
    <w:rsid w:val="6C52675A"/>
    <w:rsid w:val="6C5C8A3A"/>
    <w:rsid w:val="6C60DB2D"/>
    <w:rsid w:val="6C65F99F"/>
    <w:rsid w:val="6C6617C1"/>
    <w:rsid w:val="6C747D02"/>
    <w:rsid w:val="6C747EAC"/>
    <w:rsid w:val="6C833E02"/>
    <w:rsid w:val="6C85531F"/>
    <w:rsid w:val="6C85E2FA"/>
    <w:rsid w:val="6C8E31C0"/>
    <w:rsid w:val="6C93D795"/>
    <w:rsid w:val="6C9C3251"/>
    <w:rsid w:val="6CA51F2D"/>
    <w:rsid w:val="6CA539E2"/>
    <w:rsid w:val="6CADE752"/>
    <w:rsid w:val="6CAF0E51"/>
    <w:rsid w:val="6CBA2AD9"/>
    <w:rsid w:val="6CC82E33"/>
    <w:rsid w:val="6CD57F82"/>
    <w:rsid w:val="6CD90FD3"/>
    <w:rsid w:val="6CD9E15A"/>
    <w:rsid w:val="6CE7B5D3"/>
    <w:rsid w:val="6CEADA26"/>
    <w:rsid w:val="6CFA9322"/>
    <w:rsid w:val="6D023DE9"/>
    <w:rsid w:val="6D074AFA"/>
    <w:rsid w:val="6D0E85B8"/>
    <w:rsid w:val="6D103897"/>
    <w:rsid w:val="6D1451F4"/>
    <w:rsid w:val="6D1D751B"/>
    <w:rsid w:val="6D289959"/>
    <w:rsid w:val="6D29764C"/>
    <w:rsid w:val="6D3AF4F1"/>
    <w:rsid w:val="6D3CE2D7"/>
    <w:rsid w:val="6D4A20ED"/>
    <w:rsid w:val="6D4AE2A2"/>
    <w:rsid w:val="6D522C41"/>
    <w:rsid w:val="6D5534A1"/>
    <w:rsid w:val="6D55E72B"/>
    <w:rsid w:val="6D5934FD"/>
    <w:rsid w:val="6D59F0F7"/>
    <w:rsid w:val="6D5E18D8"/>
    <w:rsid w:val="6D6571FA"/>
    <w:rsid w:val="6D66DFFC"/>
    <w:rsid w:val="6D6D890A"/>
    <w:rsid w:val="6D718FBE"/>
    <w:rsid w:val="6D7DC727"/>
    <w:rsid w:val="6D8090AD"/>
    <w:rsid w:val="6D85234D"/>
    <w:rsid w:val="6D954E99"/>
    <w:rsid w:val="6D9B1C00"/>
    <w:rsid w:val="6DAB1D6E"/>
    <w:rsid w:val="6DAC246C"/>
    <w:rsid w:val="6DB7D9E1"/>
    <w:rsid w:val="6DBC6E8C"/>
    <w:rsid w:val="6DC9E18F"/>
    <w:rsid w:val="6DCD7E2D"/>
    <w:rsid w:val="6DD32837"/>
    <w:rsid w:val="6DD6B368"/>
    <w:rsid w:val="6DD9C682"/>
    <w:rsid w:val="6DDFDDBB"/>
    <w:rsid w:val="6DE3E3CE"/>
    <w:rsid w:val="6DE506E1"/>
    <w:rsid w:val="6DE56573"/>
    <w:rsid w:val="6DEA8292"/>
    <w:rsid w:val="6DEAFA0F"/>
    <w:rsid w:val="6DEBAC8E"/>
    <w:rsid w:val="6E0022AA"/>
    <w:rsid w:val="6E02885A"/>
    <w:rsid w:val="6E198D27"/>
    <w:rsid w:val="6E1DC2F9"/>
    <w:rsid w:val="6E1E358E"/>
    <w:rsid w:val="6E1ED525"/>
    <w:rsid w:val="6E20B5DB"/>
    <w:rsid w:val="6E25BD65"/>
    <w:rsid w:val="6E268D06"/>
    <w:rsid w:val="6E2F32DE"/>
    <w:rsid w:val="6E3103AA"/>
    <w:rsid w:val="6E31800A"/>
    <w:rsid w:val="6E33E4F8"/>
    <w:rsid w:val="6E3A00A1"/>
    <w:rsid w:val="6E3E9F12"/>
    <w:rsid w:val="6E400C90"/>
    <w:rsid w:val="6E431C5A"/>
    <w:rsid w:val="6E45B021"/>
    <w:rsid w:val="6E497AFE"/>
    <w:rsid w:val="6E4BCDB4"/>
    <w:rsid w:val="6E4C1559"/>
    <w:rsid w:val="6E4E6F54"/>
    <w:rsid w:val="6E516756"/>
    <w:rsid w:val="6E55E2DD"/>
    <w:rsid w:val="6E575A59"/>
    <w:rsid w:val="6E58C512"/>
    <w:rsid w:val="6E599680"/>
    <w:rsid w:val="6E60AE9C"/>
    <w:rsid w:val="6E63547C"/>
    <w:rsid w:val="6E66247A"/>
    <w:rsid w:val="6E77FB4B"/>
    <w:rsid w:val="6E85408B"/>
    <w:rsid w:val="6E8845DC"/>
    <w:rsid w:val="6E92F248"/>
    <w:rsid w:val="6E99F8BC"/>
    <w:rsid w:val="6E9BE456"/>
    <w:rsid w:val="6E9F70FA"/>
    <w:rsid w:val="6E9FCB0F"/>
    <w:rsid w:val="6EA3070A"/>
    <w:rsid w:val="6EA56E2B"/>
    <w:rsid w:val="6EA97BBD"/>
    <w:rsid w:val="6EABAF24"/>
    <w:rsid w:val="6EAED259"/>
    <w:rsid w:val="6EB02255"/>
    <w:rsid w:val="6EB6FF33"/>
    <w:rsid w:val="6EBB0A41"/>
    <w:rsid w:val="6EBDB231"/>
    <w:rsid w:val="6EBFD3C8"/>
    <w:rsid w:val="6EC10F52"/>
    <w:rsid w:val="6EC1A26B"/>
    <w:rsid w:val="6EC3B976"/>
    <w:rsid w:val="6EC5DB10"/>
    <w:rsid w:val="6EC71901"/>
    <w:rsid w:val="6ED24C93"/>
    <w:rsid w:val="6EDBF266"/>
    <w:rsid w:val="6EDCDDB7"/>
    <w:rsid w:val="6EDD3F35"/>
    <w:rsid w:val="6EE6D93A"/>
    <w:rsid w:val="6EEC3A37"/>
    <w:rsid w:val="6EEF4E7B"/>
    <w:rsid w:val="6EF14214"/>
    <w:rsid w:val="6EF1BFE4"/>
    <w:rsid w:val="6EF302FB"/>
    <w:rsid w:val="6EF5CD48"/>
    <w:rsid w:val="6EF8C145"/>
    <w:rsid w:val="6EFBE9CD"/>
    <w:rsid w:val="6F03A65A"/>
    <w:rsid w:val="6F03E412"/>
    <w:rsid w:val="6F08BF44"/>
    <w:rsid w:val="6F08D735"/>
    <w:rsid w:val="6F0C0204"/>
    <w:rsid w:val="6F192035"/>
    <w:rsid w:val="6F1B7166"/>
    <w:rsid w:val="6F1BDC33"/>
    <w:rsid w:val="6F1DDBAE"/>
    <w:rsid w:val="6F207ABF"/>
    <w:rsid w:val="6F2294AC"/>
    <w:rsid w:val="6F272FED"/>
    <w:rsid w:val="6F2BA9ED"/>
    <w:rsid w:val="6F430CB1"/>
    <w:rsid w:val="6F44D8C3"/>
    <w:rsid w:val="6F49F5C0"/>
    <w:rsid w:val="6F4B28C9"/>
    <w:rsid w:val="6F4EC6BB"/>
    <w:rsid w:val="6F5BBF04"/>
    <w:rsid w:val="6F610316"/>
    <w:rsid w:val="6F61321F"/>
    <w:rsid w:val="6F626A16"/>
    <w:rsid w:val="6F65CE32"/>
    <w:rsid w:val="6F674590"/>
    <w:rsid w:val="6F67877E"/>
    <w:rsid w:val="6F6E75EE"/>
    <w:rsid w:val="6F7AC194"/>
    <w:rsid w:val="6F7C9EC8"/>
    <w:rsid w:val="6F83A83F"/>
    <w:rsid w:val="6F8D6ECD"/>
    <w:rsid w:val="6F8E8526"/>
    <w:rsid w:val="6F922B60"/>
    <w:rsid w:val="6F964AED"/>
    <w:rsid w:val="6F9D18C4"/>
    <w:rsid w:val="6FA4B511"/>
    <w:rsid w:val="6FB2CF61"/>
    <w:rsid w:val="6FBAFE44"/>
    <w:rsid w:val="6FC0063A"/>
    <w:rsid w:val="6FC65912"/>
    <w:rsid w:val="6FCF750C"/>
    <w:rsid w:val="6FCFB559"/>
    <w:rsid w:val="6FD70635"/>
    <w:rsid w:val="6FEE1A6D"/>
    <w:rsid w:val="6FF2AA52"/>
    <w:rsid w:val="70017B9C"/>
    <w:rsid w:val="7006E493"/>
    <w:rsid w:val="700861DE"/>
    <w:rsid w:val="70108192"/>
    <w:rsid w:val="701186F7"/>
    <w:rsid w:val="70144B1F"/>
    <w:rsid w:val="70179400"/>
    <w:rsid w:val="70195114"/>
    <w:rsid w:val="701B779B"/>
    <w:rsid w:val="702229E4"/>
    <w:rsid w:val="70287A76"/>
    <w:rsid w:val="702AAF54"/>
    <w:rsid w:val="702E42AB"/>
    <w:rsid w:val="702F7C4E"/>
    <w:rsid w:val="7030310E"/>
    <w:rsid w:val="7035FE75"/>
    <w:rsid w:val="70382311"/>
    <w:rsid w:val="703A9CB8"/>
    <w:rsid w:val="703EAEAF"/>
    <w:rsid w:val="704153AE"/>
    <w:rsid w:val="7046AB11"/>
    <w:rsid w:val="704E6FF4"/>
    <w:rsid w:val="706588C2"/>
    <w:rsid w:val="706FCE88"/>
    <w:rsid w:val="70700D18"/>
    <w:rsid w:val="7075AAFF"/>
    <w:rsid w:val="707EAFEB"/>
    <w:rsid w:val="7090E28B"/>
    <w:rsid w:val="7093870F"/>
    <w:rsid w:val="70A164B1"/>
    <w:rsid w:val="70A505F3"/>
    <w:rsid w:val="70A7832C"/>
    <w:rsid w:val="70AA7019"/>
    <w:rsid w:val="70ABF77D"/>
    <w:rsid w:val="70B3D494"/>
    <w:rsid w:val="70BAF3C3"/>
    <w:rsid w:val="70BDC91C"/>
    <w:rsid w:val="70CE6173"/>
    <w:rsid w:val="70CFD62F"/>
    <w:rsid w:val="70D5FD6B"/>
    <w:rsid w:val="70DD9F11"/>
    <w:rsid w:val="70E55A21"/>
    <w:rsid w:val="70F06241"/>
    <w:rsid w:val="70F88C2C"/>
    <w:rsid w:val="70FF56DC"/>
    <w:rsid w:val="7102A4B7"/>
    <w:rsid w:val="71032E2F"/>
    <w:rsid w:val="71044E1F"/>
    <w:rsid w:val="71046DCC"/>
    <w:rsid w:val="7104EB13"/>
    <w:rsid w:val="7108E980"/>
    <w:rsid w:val="710C226C"/>
    <w:rsid w:val="7111B322"/>
    <w:rsid w:val="7113702D"/>
    <w:rsid w:val="713483DA"/>
    <w:rsid w:val="7138416A"/>
    <w:rsid w:val="713D4AE9"/>
    <w:rsid w:val="7140FD51"/>
    <w:rsid w:val="714B8086"/>
    <w:rsid w:val="7150938E"/>
    <w:rsid w:val="71516182"/>
    <w:rsid w:val="7154FABE"/>
    <w:rsid w:val="715AF46C"/>
    <w:rsid w:val="7160DD7F"/>
    <w:rsid w:val="7161DA22"/>
    <w:rsid w:val="716349FB"/>
    <w:rsid w:val="7166A939"/>
    <w:rsid w:val="71679424"/>
    <w:rsid w:val="716A2965"/>
    <w:rsid w:val="716D0557"/>
    <w:rsid w:val="716FC84B"/>
    <w:rsid w:val="71766EE1"/>
    <w:rsid w:val="7177AD52"/>
    <w:rsid w:val="7178FF39"/>
    <w:rsid w:val="71858A67"/>
    <w:rsid w:val="718652FB"/>
    <w:rsid w:val="71897AEA"/>
    <w:rsid w:val="71926C18"/>
    <w:rsid w:val="719497B6"/>
    <w:rsid w:val="71A3DA9B"/>
    <w:rsid w:val="71A5AB1C"/>
    <w:rsid w:val="71A5FEE7"/>
    <w:rsid w:val="71B25DB7"/>
    <w:rsid w:val="71B3D9AB"/>
    <w:rsid w:val="71B4D1BC"/>
    <w:rsid w:val="71B63138"/>
    <w:rsid w:val="71B7C4C0"/>
    <w:rsid w:val="71C3BC72"/>
    <w:rsid w:val="71C636C1"/>
    <w:rsid w:val="71C77971"/>
    <w:rsid w:val="71CA2789"/>
    <w:rsid w:val="71DA7F10"/>
    <w:rsid w:val="71DB00FE"/>
    <w:rsid w:val="71DD0092"/>
    <w:rsid w:val="71EB73E3"/>
    <w:rsid w:val="71F208E8"/>
    <w:rsid w:val="71F4495E"/>
    <w:rsid w:val="71F74319"/>
    <w:rsid w:val="71F957E3"/>
    <w:rsid w:val="72026762"/>
    <w:rsid w:val="72059FFA"/>
    <w:rsid w:val="720B69D9"/>
    <w:rsid w:val="720EB6A7"/>
    <w:rsid w:val="720FCE1B"/>
    <w:rsid w:val="72110531"/>
    <w:rsid w:val="7211B56F"/>
    <w:rsid w:val="7215C5A3"/>
    <w:rsid w:val="7216FB84"/>
    <w:rsid w:val="721B491E"/>
    <w:rsid w:val="72263D8D"/>
    <w:rsid w:val="722B8B16"/>
    <w:rsid w:val="7234CB9C"/>
    <w:rsid w:val="723BA40F"/>
    <w:rsid w:val="723E8475"/>
    <w:rsid w:val="7241E238"/>
    <w:rsid w:val="7245C641"/>
    <w:rsid w:val="724F7D4A"/>
    <w:rsid w:val="724FB98C"/>
    <w:rsid w:val="7250D12D"/>
    <w:rsid w:val="72539C55"/>
    <w:rsid w:val="7260910D"/>
    <w:rsid w:val="7268E6F4"/>
    <w:rsid w:val="726A5D62"/>
    <w:rsid w:val="72703E7B"/>
    <w:rsid w:val="72752699"/>
    <w:rsid w:val="7276BED1"/>
    <w:rsid w:val="727E79F3"/>
    <w:rsid w:val="7286A1D8"/>
    <w:rsid w:val="72894B3B"/>
    <w:rsid w:val="728EB995"/>
    <w:rsid w:val="7290E817"/>
    <w:rsid w:val="72920103"/>
    <w:rsid w:val="72920A6D"/>
    <w:rsid w:val="729BA819"/>
    <w:rsid w:val="72B88214"/>
    <w:rsid w:val="72C234C4"/>
    <w:rsid w:val="72CA012E"/>
    <w:rsid w:val="72CD5054"/>
    <w:rsid w:val="72CFA573"/>
    <w:rsid w:val="72DBF12C"/>
    <w:rsid w:val="72DC29ED"/>
    <w:rsid w:val="72DCDC8B"/>
    <w:rsid w:val="72E2C5BE"/>
    <w:rsid w:val="72EA3C2B"/>
    <w:rsid w:val="72F08E24"/>
    <w:rsid w:val="72FBA359"/>
    <w:rsid w:val="73036F06"/>
    <w:rsid w:val="73080FBE"/>
    <w:rsid w:val="7308D5B8"/>
    <w:rsid w:val="73123F42"/>
    <w:rsid w:val="731EDFDE"/>
    <w:rsid w:val="73207E78"/>
    <w:rsid w:val="732D06A8"/>
    <w:rsid w:val="732ED6FC"/>
    <w:rsid w:val="732FECCB"/>
    <w:rsid w:val="733246C7"/>
    <w:rsid w:val="733CA36B"/>
    <w:rsid w:val="734BEBE1"/>
    <w:rsid w:val="73548162"/>
    <w:rsid w:val="7356593C"/>
    <w:rsid w:val="735710C2"/>
    <w:rsid w:val="735B3864"/>
    <w:rsid w:val="735BB6FF"/>
    <w:rsid w:val="735BDD5A"/>
    <w:rsid w:val="73715BA8"/>
    <w:rsid w:val="737520A8"/>
    <w:rsid w:val="737AF9D0"/>
    <w:rsid w:val="737C4902"/>
    <w:rsid w:val="737F33A9"/>
    <w:rsid w:val="738198AD"/>
    <w:rsid w:val="738B5083"/>
    <w:rsid w:val="738C67EE"/>
    <w:rsid w:val="7394D547"/>
    <w:rsid w:val="7399B381"/>
    <w:rsid w:val="739E70F8"/>
    <w:rsid w:val="739EDC84"/>
    <w:rsid w:val="73A4C008"/>
    <w:rsid w:val="73A8A8D2"/>
    <w:rsid w:val="73A93C1A"/>
    <w:rsid w:val="73AA8708"/>
    <w:rsid w:val="73AE331A"/>
    <w:rsid w:val="73B274AA"/>
    <w:rsid w:val="73B38BD2"/>
    <w:rsid w:val="73B57EB9"/>
    <w:rsid w:val="73BB2B3C"/>
    <w:rsid w:val="73BE304A"/>
    <w:rsid w:val="73BFAB5A"/>
    <w:rsid w:val="73C32308"/>
    <w:rsid w:val="73C5E382"/>
    <w:rsid w:val="73CDDC08"/>
    <w:rsid w:val="73D82622"/>
    <w:rsid w:val="73DC166A"/>
    <w:rsid w:val="73DEB126"/>
    <w:rsid w:val="73E760C2"/>
    <w:rsid w:val="73EEAA6B"/>
    <w:rsid w:val="73F013DA"/>
    <w:rsid w:val="73F13527"/>
    <w:rsid w:val="73F1FB19"/>
    <w:rsid w:val="73F214BE"/>
    <w:rsid w:val="73F766B5"/>
    <w:rsid w:val="73FBB42E"/>
    <w:rsid w:val="7400BC65"/>
    <w:rsid w:val="7401693B"/>
    <w:rsid w:val="7407B938"/>
    <w:rsid w:val="740C0EDC"/>
    <w:rsid w:val="7414F2D6"/>
    <w:rsid w:val="7414FB8F"/>
    <w:rsid w:val="7426CB3F"/>
    <w:rsid w:val="742A5AC2"/>
    <w:rsid w:val="7432774C"/>
    <w:rsid w:val="7433F52E"/>
    <w:rsid w:val="7434D974"/>
    <w:rsid w:val="7440EA46"/>
    <w:rsid w:val="744A8518"/>
    <w:rsid w:val="744C10AF"/>
    <w:rsid w:val="744D4BB4"/>
    <w:rsid w:val="744EBD6B"/>
    <w:rsid w:val="744F7771"/>
    <w:rsid w:val="74590328"/>
    <w:rsid w:val="745D906A"/>
    <w:rsid w:val="745F2EA3"/>
    <w:rsid w:val="74613EA7"/>
    <w:rsid w:val="7468846A"/>
    <w:rsid w:val="746A628E"/>
    <w:rsid w:val="74755A98"/>
    <w:rsid w:val="747667CC"/>
    <w:rsid w:val="747E0FDC"/>
    <w:rsid w:val="748699A0"/>
    <w:rsid w:val="748A74B4"/>
    <w:rsid w:val="748E9143"/>
    <w:rsid w:val="74999E3A"/>
    <w:rsid w:val="749DBFDD"/>
    <w:rsid w:val="749F1497"/>
    <w:rsid w:val="74A342CF"/>
    <w:rsid w:val="74B0F050"/>
    <w:rsid w:val="74BBA7A6"/>
    <w:rsid w:val="74C1D871"/>
    <w:rsid w:val="74D5FCD6"/>
    <w:rsid w:val="74DA45AC"/>
    <w:rsid w:val="74DF1BC2"/>
    <w:rsid w:val="74E7BC42"/>
    <w:rsid w:val="74E7D70D"/>
    <w:rsid w:val="74F708C5"/>
    <w:rsid w:val="74F78760"/>
    <w:rsid w:val="75006C1B"/>
    <w:rsid w:val="7501A83A"/>
    <w:rsid w:val="750EA45A"/>
    <w:rsid w:val="7511B863"/>
    <w:rsid w:val="75121FD2"/>
    <w:rsid w:val="751319EF"/>
    <w:rsid w:val="7516CA31"/>
    <w:rsid w:val="751776E5"/>
    <w:rsid w:val="751D2FF7"/>
    <w:rsid w:val="75228327"/>
    <w:rsid w:val="75263E73"/>
    <w:rsid w:val="752BBA6D"/>
    <w:rsid w:val="752D2C88"/>
    <w:rsid w:val="752F8081"/>
    <w:rsid w:val="7535F2FD"/>
    <w:rsid w:val="753C9674"/>
    <w:rsid w:val="75436C12"/>
    <w:rsid w:val="754500C8"/>
    <w:rsid w:val="75469AC7"/>
    <w:rsid w:val="754D249F"/>
    <w:rsid w:val="754F82E2"/>
    <w:rsid w:val="7552122E"/>
    <w:rsid w:val="755466A2"/>
    <w:rsid w:val="755695BA"/>
    <w:rsid w:val="755B2F03"/>
    <w:rsid w:val="755DCA95"/>
    <w:rsid w:val="75623875"/>
    <w:rsid w:val="756490AE"/>
    <w:rsid w:val="756B31C2"/>
    <w:rsid w:val="756B862E"/>
    <w:rsid w:val="756F5B79"/>
    <w:rsid w:val="7575DF79"/>
    <w:rsid w:val="757687A1"/>
    <w:rsid w:val="757D6703"/>
    <w:rsid w:val="7580CB19"/>
    <w:rsid w:val="7582B4AB"/>
    <w:rsid w:val="7583C5E0"/>
    <w:rsid w:val="75844B79"/>
    <w:rsid w:val="758EFBF7"/>
    <w:rsid w:val="758F255B"/>
    <w:rsid w:val="759B6164"/>
    <w:rsid w:val="75A8B4A4"/>
    <w:rsid w:val="75AB1170"/>
    <w:rsid w:val="75ADFA6E"/>
    <w:rsid w:val="75B49394"/>
    <w:rsid w:val="75B66AF2"/>
    <w:rsid w:val="75B68228"/>
    <w:rsid w:val="75B768BC"/>
    <w:rsid w:val="75BCE202"/>
    <w:rsid w:val="75C49C48"/>
    <w:rsid w:val="75C69406"/>
    <w:rsid w:val="75C7D35D"/>
    <w:rsid w:val="75C93997"/>
    <w:rsid w:val="75CC200F"/>
    <w:rsid w:val="75CE667F"/>
    <w:rsid w:val="75D283F7"/>
    <w:rsid w:val="75D73A9F"/>
    <w:rsid w:val="75DCCE62"/>
    <w:rsid w:val="75DD3005"/>
    <w:rsid w:val="75DF938F"/>
    <w:rsid w:val="75E39764"/>
    <w:rsid w:val="75E7F515"/>
    <w:rsid w:val="75EA7BEA"/>
    <w:rsid w:val="75EAE400"/>
    <w:rsid w:val="75F5B168"/>
    <w:rsid w:val="75F87570"/>
    <w:rsid w:val="75F900F5"/>
    <w:rsid w:val="75F9FE6F"/>
    <w:rsid w:val="7600223C"/>
    <w:rsid w:val="76021CAB"/>
    <w:rsid w:val="760D2309"/>
    <w:rsid w:val="76158574"/>
    <w:rsid w:val="762830D9"/>
    <w:rsid w:val="762DBC06"/>
    <w:rsid w:val="76358DA0"/>
    <w:rsid w:val="7639E39E"/>
    <w:rsid w:val="7643D4FC"/>
    <w:rsid w:val="764B1E75"/>
    <w:rsid w:val="765081F7"/>
    <w:rsid w:val="7652D584"/>
    <w:rsid w:val="765E0640"/>
    <w:rsid w:val="7666A46A"/>
    <w:rsid w:val="7669826D"/>
    <w:rsid w:val="766A6939"/>
    <w:rsid w:val="7671B637"/>
    <w:rsid w:val="767BF116"/>
    <w:rsid w:val="76825172"/>
    <w:rsid w:val="768798DC"/>
    <w:rsid w:val="768C2F1A"/>
    <w:rsid w:val="768F6A4A"/>
    <w:rsid w:val="7692452E"/>
    <w:rsid w:val="7692B9FB"/>
    <w:rsid w:val="769355E7"/>
    <w:rsid w:val="7693E43D"/>
    <w:rsid w:val="76941000"/>
    <w:rsid w:val="76943B95"/>
    <w:rsid w:val="7695CAEF"/>
    <w:rsid w:val="769FA606"/>
    <w:rsid w:val="76A4F4CF"/>
    <w:rsid w:val="76A52DDF"/>
    <w:rsid w:val="76A91274"/>
    <w:rsid w:val="76AD3275"/>
    <w:rsid w:val="76AE2D40"/>
    <w:rsid w:val="76B29A92"/>
    <w:rsid w:val="76B5EC95"/>
    <w:rsid w:val="76B7539F"/>
    <w:rsid w:val="76BF06EA"/>
    <w:rsid w:val="76D8F2B4"/>
    <w:rsid w:val="76E1DCAB"/>
    <w:rsid w:val="76E2465C"/>
    <w:rsid w:val="76EA156C"/>
    <w:rsid w:val="7700DD2D"/>
    <w:rsid w:val="770A8CE2"/>
    <w:rsid w:val="770C57FA"/>
    <w:rsid w:val="770FA310"/>
    <w:rsid w:val="77108C30"/>
    <w:rsid w:val="771371F6"/>
    <w:rsid w:val="77146800"/>
    <w:rsid w:val="77272F62"/>
    <w:rsid w:val="772A3608"/>
    <w:rsid w:val="772D3C85"/>
    <w:rsid w:val="7730ED49"/>
    <w:rsid w:val="773434B4"/>
    <w:rsid w:val="773711E6"/>
    <w:rsid w:val="77455A69"/>
    <w:rsid w:val="77457B7C"/>
    <w:rsid w:val="77480C90"/>
    <w:rsid w:val="774A2875"/>
    <w:rsid w:val="774E47E1"/>
    <w:rsid w:val="775036ED"/>
    <w:rsid w:val="77552AA4"/>
    <w:rsid w:val="7756C371"/>
    <w:rsid w:val="7765A54D"/>
    <w:rsid w:val="776C8AB9"/>
    <w:rsid w:val="776E5458"/>
    <w:rsid w:val="776ED47D"/>
    <w:rsid w:val="777B68C2"/>
    <w:rsid w:val="777C74BE"/>
    <w:rsid w:val="778186D0"/>
    <w:rsid w:val="77857F5F"/>
    <w:rsid w:val="7789D68D"/>
    <w:rsid w:val="778BE9D9"/>
    <w:rsid w:val="779E52F4"/>
    <w:rsid w:val="77A27585"/>
    <w:rsid w:val="77A4328C"/>
    <w:rsid w:val="77AAD51C"/>
    <w:rsid w:val="77BA5256"/>
    <w:rsid w:val="77C1089F"/>
    <w:rsid w:val="77DD345C"/>
    <w:rsid w:val="77E18503"/>
    <w:rsid w:val="77E2557A"/>
    <w:rsid w:val="77E6FCF3"/>
    <w:rsid w:val="77F62E1C"/>
    <w:rsid w:val="78043D35"/>
    <w:rsid w:val="7809C56F"/>
    <w:rsid w:val="780AC1A7"/>
    <w:rsid w:val="780BAEA3"/>
    <w:rsid w:val="78146686"/>
    <w:rsid w:val="7815A282"/>
    <w:rsid w:val="7816E4F5"/>
    <w:rsid w:val="781D90BD"/>
    <w:rsid w:val="782E9505"/>
    <w:rsid w:val="782EFF20"/>
    <w:rsid w:val="7830A832"/>
    <w:rsid w:val="78317F1C"/>
    <w:rsid w:val="78385078"/>
    <w:rsid w:val="7839690D"/>
    <w:rsid w:val="784185FF"/>
    <w:rsid w:val="784A6632"/>
    <w:rsid w:val="784E5E47"/>
    <w:rsid w:val="78555394"/>
    <w:rsid w:val="78558E30"/>
    <w:rsid w:val="7859DC5B"/>
    <w:rsid w:val="785E86C7"/>
    <w:rsid w:val="7871A8E6"/>
    <w:rsid w:val="787607C8"/>
    <w:rsid w:val="787808E9"/>
    <w:rsid w:val="7883BFFD"/>
    <w:rsid w:val="7899DF46"/>
    <w:rsid w:val="789CD039"/>
    <w:rsid w:val="78A1BEE1"/>
    <w:rsid w:val="78AAB8AB"/>
    <w:rsid w:val="78AE9D7B"/>
    <w:rsid w:val="78BC504A"/>
    <w:rsid w:val="78C04AFB"/>
    <w:rsid w:val="78C6C6E8"/>
    <w:rsid w:val="78C78F98"/>
    <w:rsid w:val="78CF0A25"/>
    <w:rsid w:val="78D0244C"/>
    <w:rsid w:val="78DC1753"/>
    <w:rsid w:val="78E7B49C"/>
    <w:rsid w:val="78F20B0F"/>
    <w:rsid w:val="78F482C4"/>
    <w:rsid w:val="78F6AB32"/>
    <w:rsid w:val="78F6F730"/>
    <w:rsid w:val="78F7B263"/>
    <w:rsid w:val="78F7C6CD"/>
    <w:rsid w:val="79052C8B"/>
    <w:rsid w:val="790A24B9"/>
    <w:rsid w:val="790FDB82"/>
    <w:rsid w:val="7926A668"/>
    <w:rsid w:val="792CAED8"/>
    <w:rsid w:val="79319F31"/>
    <w:rsid w:val="79488C88"/>
    <w:rsid w:val="794FBF1B"/>
    <w:rsid w:val="79685BA7"/>
    <w:rsid w:val="7968C6F4"/>
    <w:rsid w:val="796C7E62"/>
    <w:rsid w:val="7971412E"/>
    <w:rsid w:val="79726277"/>
    <w:rsid w:val="79737352"/>
    <w:rsid w:val="797AC3EE"/>
    <w:rsid w:val="797E2B16"/>
    <w:rsid w:val="79862F95"/>
    <w:rsid w:val="798757C2"/>
    <w:rsid w:val="7987691E"/>
    <w:rsid w:val="79892AD8"/>
    <w:rsid w:val="7994E8CB"/>
    <w:rsid w:val="799E9795"/>
    <w:rsid w:val="79A5D9B4"/>
    <w:rsid w:val="79AA3756"/>
    <w:rsid w:val="79AAD9C3"/>
    <w:rsid w:val="79AC39BD"/>
    <w:rsid w:val="79B712CA"/>
    <w:rsid w:val="79B90D09"/>
    <w:rsid w:val="79BB2D65"/>
    <w:rsid w:val="79C0416D"/>
    <w:rsid w:val="79C54BE4"/>
    <w:rsid w:val="79D480D1"/>
    <w:rsid w:val="79E504B4"/>
    <w:rsid w:val="79E5767D"/>
    <w:rsid w:val="79EBEA93"/>
    <w:rsid w:val="79EF3F55"/>
    <w:rsid w:val="79EF46EA"/>
    <w:rsid w:val="79F4324C"/>
    <w:rsid w:val="79F9DB93"/>
    <w:rsid w:val="79FA65E1"/>
    <w:rsid w:val="79FB4A15"/>
    <w:rsid w:val="7A0112B5"/>
    <w:rsid w:val="7A062BBC"/>
    <w:rsid w:val="7A0BADBB"/>
    <w:rsid w:val="7A0FFC75"/>
    <w:rsid w:val="7A16DE67"/>
    <w:rsid w:val="7A23B03E"/>
    <w:rsid w:val="7A25B436"/>
    <w:rsid w:val="7A2ADE86"/>
    <w:rsid w:val="7A2C501B"/>
    <w:rsid w:val="7A30596C"/>
    <w:rsid w:val="7A307000"/>
    <w:rsid w:val="7A42663B"/>
    <w:rsid w:val="7A488F92"/>
    <w:rsid w:val="7A48FEE2"/>
    <w:rsid w:val="7A5EA0BD"/>
    <w:rsid w:val="7A5FC135"/>
    <w:rsid w:val="7A610BC0"/>
    <w:rsid w:val="7A698569"/>
    <w:rsid w:val="7A7C6592"/>
    <w:rsid w:val="7A7F00A7"/>
    <w:rsid w:val="7A81C937"/>
    <w:rsid w:val="7AA42A59"/>
    <w:rsid w:val="7AA5F51A"/>
    <w:rsid w:val="7AABAF9F"/>
    <w:rsid w:val="7AB39B1F"/>
    <w:rsid w:val="7AB60F78"/>
    <w:rsid w:val="7AB77281"/>
    <w:rsid w:val="7AB9C31C"/>
    <w:rsid w:val="7ABEB37E"/>
    <w:rsid w:val="7AC1CEA1"/>
    <w:rsid w:val="7AC79DE3"/>
    <w:rsid w:val="7ACA33D6"/>
    <w:rsid w:val="7ACACFD4"/>
    <w:rsid w:val="7ACDE84D"/>
    <w:rsid w:val="7ACE002B"/>
    <w:rsid w:val="7ACECD38"/>
    <w:rsid w:val="7ADD2E2A"/>
    <w:rsid w:val="7ADF4C9A"/>
    <w:rsid w:val="7AE5A9C1"/>
    <w:rsid w:val="7AE8C832"/>
    <w:rsid w:val="7AE9CDBC"/>
    <w:rsid w:val="7AF58EEF"/>
    <w:rsid w:val="7AF65043"/>
    <w:rsid w:val="7AFE4A65"/>
    <w:rsid w:val="7B0D605E"/>
    <w:rsid w:val="7B11155F"/>
    <w:rsid w:val="7B1A1F3F"/>
    <w:rsid w:val="7B1C5442"/>
    <w:rsid w:val="7B23EB73"/>
    <w:rsid w:val="7B325732"/>
    <w:rsid w:val="7B3AF8CA"/>
    <w:rsid w:val="7B3E9464"/>
    <w:rsid w:val="7B425156"/>
    <w:rsid w:val="7B47BDF9"/>
    <w:rsid w:val="7B56FDC6"/>
    <w:rsid w:val="7B62B6A7"/>
    <w:rsid w:val="7B6A8C38"/>
    <w:rsid w:val="7B6FF473"/>
    <w:rsid w:val="7B7154FB"/>
    <w:rsid w:val="7B73386A"/>
    <w:rsid w:val="7B7AD5B8"/>
    <w:rsid w:val="7B7C8397"/>
    <w:rsid w:val="7B884E8B"/>
    <w:rsid w:val="7B88F461"/>
    <w:rsid w:val="7B8B94C0"/>
    <w:rsid w:val="7B8CD4D7"/>
    <w:rsid w:val="7BA23862"/>
    <w:rsid w:val="7BA44F70"/>
    <w:rsid w:val="7BBE7195"/>
    <w:rsid w:val="7BD0D8CD"/>
    <w:rsid w:val="7BD12738"/>
    <w:rsid w:val="7BD21DE5"/>
    <w:rsid w:val="7BD39167"/>
    <w:rsid w:val="7BE262A0"/>
    <w:rsid w:val="7BE4F783"/>
    <w:rsid w:val="7BE7052D"/>
    <w:rsid w:val="7BEA1FC1"/>
    <w:rsid w:val="7BEB360F"/>
    <w:rsid w:val="7BF005B5"/>
    <w:rsid w:val="7BFF0C31"/>
    <w:rsid w:val="7C11CD28"/>
    <w:rsid w:val="7C12CB1D"/>
    <w:rsid w:val="7C16B904"/>
    <w:rsid w:val="7C1B67EB"/>
    <w:rsid w:val="7C32F446"/>
    <w:rsid w:val="7C331A0C"/>
    <w:rsid w:val="7C4B9098"/>
    <w:rsid w:val="7C520C41"/>
    <w:rsid w:val="7C57BB17"/>
    <w:rsid w:val="7C5D7D9E"/>
    <w:rsid w:val="7C5DAB8E"/>
    <w:rsid w:val="7C5F6BB9"/>
    <w:rsid w:val="7C6DD2DB"/>
    <w:rsid w:val="7C73613F"/>
    <w:rsid w:val="7C7D1757"/>
    <w:rsid w:val="7C880DAC"/>
    <w:rsid w:val="7C89F2A2"/>
    <w:rsid w:val="7C90BAE1"/>
    <w:rsid w:val="7C9102A7"/>
    <w:rsid w:val="7C996840"/>
    <w:rsid w:val="7CA92522"/>
    <w:rsid w:val="7CABB7C1"/>
    <w:rsid w:val="7CB919A5"/>
    <w:rsid w:val="7CBBFAA7"/>
    <w:rsid w:val="7CD544DA"/>
    <w:rsid w:val="7CFABBAD"/>
    <w:rsid w:val="7D09D424"/>
    <w:rsid w:val="7D0C5F71"/>
    <w:rsid w:val="7D222F8B"/>
    <w:rsid w:val="7D23BB7A"/>
    <w:rsid w:val="7D248A96"/>
    <w:rsid w:val="7D2F058B"/>
    <w:rsid w:val="7D344F4F"/>
    <w:rsid w:val="7D348578"/>
    <w:rsid w:val="7D3518D3"/>
    <w:rsid w:val="7D4499CA"/>
    <w:rsid w:val="7D4FFD76"/>
    <w:rsid w:val="7D56D621"/>
    <w:rsid w:val="7D58F8B9"/>
    <w:rsid w:val="7D62BED0"/>
    <w:rsid w:val="7D6BFF9F"/>
    <w:rsid w:val="7D796830"/>
    <w:rsid w:val="7D83BFB8"/>
    <w:rsid w:val="7D870670"/>
    <w:rsid w:val="7D8712BB"/>
    <w:rsid w:val="7D96417F"/>
    <w:rsid w:val="7D98176D"/>
    <w:rsid w:val="7D9B4280"/>
    <w:rsid w:val="7DA069DA"/>
    <w:rsid w:val="7DA1F090"/>
    <w:rsid w:val="7DA5375F"/>
    <w:rsid w:val="7DA8C970"/>
    <w:rsid w:val="7DAE3C7F"/>
    <w:rsid w:val="7DB48002"/>
    <w:rsid w:val="7DBAB002"/>
    <w:rsid w:val="7DBCD524"/>
    <w:rsid w:val="7DC15C42"/>
    <w:rsid w:val="7DC86C1C"/>
    <w:rsid w:val="7DD1FE2A"/>
    <w:rsid w:val="7DDAC76D"/>
    <w:rsid w:val="7DDDD557"/>
    <w:rsid w:val="7DEE6535"/>
    <w:rsid w:val="7DF0F500"/>
    <w:rsid w:val="7DF5C91B"/>
    <w:rsid w:val="7DF7AD29"/>
    <w:rsid w:val="7E086649"/>
    <w:rsid w:val="7E21EF77"/>
    <w:rsid w:val="7E2C03E4"/>
    <w:rsid w:val="7E2C3A4D"/>
    <w:rsid w:val="7E2D279B"/>
    <w:rsid w:val="7E2E48B5"/>
    <w:rsid w:val="7E31AB0A"/>
    <w:rsid w:val="7E3873DC"/>
    <w:rsid w:val="7E3F6087"/>
    <w:rsid w:val="7E4CD26E"/>
    <w:rsid w:val="7E5745BA"/>
    <w:rsid w:val="7E5C9068"/>
    <w:rsid w:val="7E6500A6"/>
    <w:rsid w:val="7E6C7511"/>
    <w:rsid w:val="7E73935A"/>
    <w:rsid w:val="7E7906F3"/>
    <w:rsid w:val="7E7A9C16"/>
    <w:rsid w:val="7E7F1A69"/>
    <w:rsid w:val="7E8A2D3E"/>
    <w:rsid w:val="7E92C44E"/>
    <w:rsid w:val="7EA73595"/>
    <w:rsid w:val="7EAAB82E"/>
    <w:rsid w:val="7EAE7D66"/>
    <w:rsid w:val="7EB3D19B"/>
    <w:rsid w:val="7EB47D30"/>
    <w:rsid w:val="7EB4F4AB"/>
    <w:rsid w:val="7EBA8249"/>
    <w:rsid w:val="7EC174C0"/>
    <w:rsid w:val="7EC47650"/>
    <w:rsid w:val="7EC7ECBC"/>
    <w:rsid w:val="7ECE0E70"/>
    <w:rsid w:val="7ED26442"/>
    <w:rsid w:val="7EE01E26"/>
    <w:rsid w:val="7EE6C064"/>
    <w:rsid w:val="7EE82E53"/>
    <w:rsid w:val="7EE8F4B5"/>
    <w:rsid w:val="7EF38D1B"/>
    <w:rsid w:val="7EF895EA"/>
    <w:rsid w:val="7F08612D"/>
    <w:rsid w:val="7F1266C6"/>
    <w:rsid w:val="7F1531C8"/>
    <w:rsid w:val="7F179D21"/>
    <w:rsid w:val="7F1F9019"/>
    <w:rsid w:val="7F2D131F"/>
    <w:rsid w:val="7F324147"/>
    <w:rsid w:val="7F33E7CE"/>
    <w:rsid w:val="7F3FA443"/>
    <w:rsid w:val="7F40283F"/>
    <w:rsid w:val="7F47712C"/>
    <w:rsid w:val="7F49897D"/>
    <w:rsid w:val="7F4A91DC"/>
    <w:rsid w:val="7F5A737B"/>
    <w:rsid w:val="7F5E9246"/>
    <w:rsid w:val="7F5F8F62"/>
    <w:rsid w:val="7F603804"/>
    <w:rsid w:val="7F672909"/>
    <w:rsid w:val="7F6967C6"/>
    <w:rsid w:val="7F6E7DE5"/>
    <w:rsid w:val="7F79663D"/>
    <w:rsid w:val="7F817AB6"/>
    <w:rsid w:val="7F83B0A8"/>
    <w:rsid w:val="7F8675D5"/>
    <w:rsid w:val="7F8B7CB6"/>
    <w:rsid w:val="7F93E20B"/>
    <w:rsid w:val="7F9A82C5"/>
    <w:rsid w:val="7F9C74CB"/>
    <w:rsid w:val="7FA35DF3"/>
    <w:rsid w:val="7FAB03E2"/>
    <w:rsid w:val="7FB4EA65"/>
    <w:rsid w:val="7FB680EE"/>
    <w:rsid w:val="7FC147A8"/>
    <w:rsid w:val="7FCC35B7"/>
    <w:rsid w:val="7FD06B24"/>
    <w:rsid w:val="7FDBB46C"/>
    <w:rsid w:val="7FE482C5"/>
    <w:rsid w:val="7FE8EA44"/>
    <w:rsid w:val="7FECA382"/>
    <w:rsid w:val="7FEF0C35"/>
    <w:rsid w:val="7FF9EE4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1562F"/>
  <w14:defaultImageDpi w14:val="32767"/>
  <w15:chartTrackingRefBased/>
  <w15:docId w15:val="{FC6E3150-E381-458A-B3AE-AFA7BDDFC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4513"/>
    <w:pPr>
      <w:keepNext/>
      <w:keepLines/>
      <w:spacing w:before="240"/>
      <w:jc w:val="center"/>
      <w:outlineLvl w:val="0"/>
    </w:pPr>
    <w:rPr>
      <w:rFonts w:eastAsiaTheme="majorEastAsia" w:cs="Times New Roman (Headings CS)"/>
      <w:b/>
      <w:smallCaps/>
      <w:sz w:val="28"/>
      <w:szCs w:val="32"/>
    </w:rPr>
  </w:style>
  <w:style w:type="paragraph" w:styleId="Heading2">
    <w:name w:val="heading 2"/>
    <w:basedOn w:val="Normal"/>
    <w:next w:val="Normal"/>
    <w:link w:val="Heading2Char"/>
    <w:uiPriority w:val="9"/>
    <w:unhideWhenUsed/>
    <w:qFormat/>
    <w:rsid w:val="00127766"/>
    <w:pPr>
      <w:keepNext/>
      <w:keepLines/>
      <w:spacing w:before="160" w:after="160"/>
      <w:outlineLvl w:val="1"/>
    </w:pPr>
    <w:rPr>
      <w:rFonts w:eastAsiaTheme="majorEastAsia" w:cstheme="majorBidi"/>
      <w:b/>
      <w:sz w:val="28"/>
      <w:szCs w:val="32"/>
    </w:rPr>
  </w:style>
  <w:style w:type="paragraph" w:styleId="Heading3">
    <w:name w:val="heading 3"/>
    <w:basedOn w:val="Normal"/>
    <w:next w:val="Normal"/>
    <w:link w:val="Heading3Char"/>
    <w:uiPriority w:val="9"/>
    <w:unhideWhenUsed/>
    <w:qFormat/>
    <w:rsid w:val="00FF532C"/>
    <w:pPr>
      <w:keepNext/>
      <w:keepLines/>
      <w:spacing w:before="160" w:after="80"/>
      <w:outlineLvl w:val="2"/>
    </w:pPr>
    <w:rPr>
      <w:rFonts w:eastAsiaTheme="majorEastAsia" w:cstheme="majorBidi"/>
      <w:sz w:val="28"/>
      <w:szCs w:val="28"/>
      <w:u w:val="single"/>
    </w:rPr>
  </w:style>
  <w:style w:type="paragraph" w:styleId="Heading4">
    <w:name w:val="heading 4"/>
    <w:basedOn w:val="Normal"/>
    <w:next w:val="Normal"/>
    <w:link w:val="Heading4Char"/>
    <w:uiPriority w:val="9"/>
    <w:unhideWhenUsed/>
    <w:qFormat/>
    <w:rsid w:val="00126288"/>
    <w:pPr>
      <w:keepNext/>
      <w:keepLines/>
      <w:spacing w:before="80" w:after="200"/>
      <w:jc w:val="both"/>
      <w:outlineLvl w:val="3"/>
    </w:pPr>
    <w:rPr>
      <w:rFonts w:eastAsiaTheme="majorEastAsia" w:cstheme="majorBidi"/>
      <w:b/>
      <w:i/>
      <w:iCs/>
      <w:color w:val="000000" w:themeColor="text1"/>
    </w:rPr>
  </w:style>
  <w:style w:type="paragraph" w:styleId="Heading5">
    <w:name w:val="heading 5"/>
    <w:basedOn w:val="Normal"/>
    <w:next w:val="Normal"/>
    <w:link w:val="Heading5Char"/>
    <w:uiPriority w:val="9"/>
    <w:unhideWhenUsed/>
    <w:qFormat/>
    <w:rsid w:val="004039BD"/>
    <w:pPr>
      <w:keepNext/>
      <w:keepLines/>
      <w:spacing w:before="80" w:after="80"/>
      <w:outlineLvl w:val="4"/>
    </w:pPr>
    <w:rPr>
      <w:rFonts w:eastAsiaTheme="majorEastAsia" w:cstheme="majorBidi"/>
      <w:i/>
    </w:rPr>
  </w:style>
  <w:style w:type="paragraph" w:styleId="Heading6">
    <w:name w:val="heading 6"/>
    <w:basedOn w:val="Normal"/>
    <w:next w:val="Normal"/>
    <w:link w:val="Heading6Char"/>
    <w:uiPriority w:val="9"/>
    <w:unhideWhenUsed/>
    <w:qFormat/>
    <w:rsid w:val="00F5392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392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392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392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4513"/>
    <w:rPr>
      <w:rFonts w:eastAsiaTheme="majorEastAsia" w:cs="Times New Roman (Headings CS)"/>
      <w:b/>
      <w:smallCaps/>
      <w:sz w:val="28"/>
      <w:szCs w:val="32"/>
    </w:rPr>
  </w:style>
  <w:style w:type="character" w:customStyle="1" w:styleId="Heading2Char">
    <w:name w:val="Heading 2 Char"/>
    <w:basedOn w:val="DefaultParagraphFont"/>
    <w:link w:val="Heading2"/>
    <w:uiPriority w:val="9"/>
    <w:rsid w:val="00127766"/>
    <w:rPr>
      <w:rFonts w:eastAsiaTheme="majorEastAsia" w:cstheme="majorBidi"/>
      <w:b/>
      <w:sz w:val="28"/>
      <w:szCs w:val="32"/>
    </w:rPr>
  </w:style>
  <w:style w:type="character" w:customStyle="1" w:styleId="Heading3Char">
    <w:name w:val="Heading 3 Char"/>
    <w:basedOn w:val="DefaultParagraphFont"/>
    <w:link w:val="Heading3"/>
    <w:uiPriority w:val="9"/>
    <w:rsid w:val="00FF532C"/>
    <w:rPr>
      <w:rFonts w:eastAsiaTheme="majorEastAsia" w:cstheme="majorBidi"/>
      <w:sz w:val="28"/>
      <w:szCs w:val="28"/>
      <w:u w:val="single"/>
    </w:rPr>
  </w:style>
  <w:style w:type="character" w:customStyle="1" w:styleId="Heading4Char">
    <w:name w:val="Heading 4 Char"/>
    <w:basedOn w:val="DefaultParagraphFont"/>
    <w:link w:val="Heading4"/>
    <w:uiPriority w:val="9"/>
    <w:rsid w:val="00126288"/>
    <w:rPr>
      <w:rFonts w:eastAsiaTheme="majorEastAsia" w:cstheme="majorBidi"/>
      <w:b/>
      <w:i/>
      <w:iCs/>
      <w:color w:val="000000" w:themeColor="text1"/>
    </w:rPr>
  </w:style>
  <w:style w:type="character" w:customStyle="1" w:styleId="Heading5Char">
    <w:name w:val="Heading 5 Char"/>
    <w:basedOn w:val="DefaultParagraphFont"/>
    <w:link w:val="Heading5"/>
    <w:uiPriority w:val="9"/>
    <w:rsid w:val="004039BD"/>
    <w:rPr>
      <w:rFonts w:eastAsiaTheme="majorEastAsia" w:cstheme="majorBidi"/>
      <w:i/>
    </w:rPr>
  </w:style>
  <w:style w:type="character" w:customStyle="1" w:styleId="Heading6Char">
    <w:name w:val="Heading 6 Char"/>
    <w:basedOn w:val="DefaultParagraphFont"/>
    <w:link w:val="Heading6"/>
    <w:uiPriority w:val="9"/>
    <w:rsid w:val="00F539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39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39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392E"/>
    <w:rPr>
      <w:rFonts w:eastAsiaTheme="majorEastAsia" w:cstheme="majorBidi"/>
      <w:color w:val="272727" w:themeColor="text1" w:themeTint="D8"/>
    </w:rPr>
  </w:style>
  <w:style w:type="paragraph" w:styleId="Title">
    <w:name w:val="Title"/>
    <w:basedOn w:val="Normal"/>
    <w:next w:val="Normal"/>
    <w:link w:val="TitleChar"/>
    <w:uiPriority w:val="10"/>
    <w:qFormat/>
    <w:rsid w:val="00F5392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39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392E"/>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39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392E"/>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392E"/>
    <w:rPr>
      <w:i/>
      <w:iCs/>
      <w:color w:val="404040" w:themeColor="text1" w:themeTint="BF"/>
    </w:rPr>
  </w:style>
  <w:style w:type="paragraph" w:styleId="ListParagraph">
    <w:name w:val="List Paragraph"/>
    <w:basedOn w:val="Normal"/>
    <w:uiPriority w:val="34"/>
    <w:qFormat/>
    <w:rsid w:val="00F5392E"/>
    <w:pPr>
      <w:ind w:left="720"/>
      <w:contextualSpacing/>
    </w:pPr>
  </w:style>
  <w:style w:type="character" w:styleId="IntenseEmphasis">
    <w:name w:val="Intense Emphasis"/>
    <w:basedOn w:val="DefaultParagraphFont"/>
    <w:uiPriority w:val="21"/>
    <w:qFormat/>
    <w:rsid w:val="00F5392E"/>
    <w:rPr>
      <w:i/>
      <w:iCs/>
      <w:color w:val="2F5496" w:themeColor="accent1" w:themeShade="BF"/>
    </w:rPr>
  </w:style>
  <w:style w:type="paragraph" w:styleId="IntenseQuote">
    <w:name w:val="Intense Quote"/>
    <w:basedOn w:val="Normal"/>
    <w:next w:val="Normal"/>
    <w:link w:val="IntenseQuoteChar"/>
    <w:uiPriority w:val="30"/>
    <w:qFormat/>
    <w:rsid w:val="00F5392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392E"/>
    <w:rPr>
      <w:i/>
      <w:iCs/>
      <w:color w:val="2F5496" w:themeColor="accent1" w:themeShade="BF"/>
    </w:rPr>
  </w:style>
  <w:style w:type="character" w:styleId="IntenseReference">
    <w:name w:val="Intense Reference"/>
    <w:basedOn w:val="DefaultParagraphFont"/>
    <w:uiPriority w:val="32"/>
    <w:qFormat/>
    <w:rsid w:val="00F5392E"/>
    <w:rPr>
      <w:b/>
      <w:bCs/>
      <w:smallCaps/>
      <w:color w:val="2F5496" w:themeColor="accent1" w:themeShade="BF"/>
      <w:spacing w:val="5"/>
    </w:rPr>
  </w:style>
  <w:style w:type="character" w:customStyle="1" w:styleId="apple-converted-space">
    <w:name w:val="apple-converted-space"/>
    <w:basedOn w:val="DefaultParagraphFont"/>
    <w:rsid w:val="00F5392E"/>
  </w:style>
  <w:style w:type="character" w:customStyle="1" w:styleId="outlook-search-highlight">
    <w:name w:val="outlook-search-highlight"/>
    <w:basedOn w:val="DefaultParagraphFont"/>
    <w:rsid w:val="00F5392E"/>
  </w:style>
  <w:style w:type="paragraph" w:styleId="FootnoteText">
    <w:name w:val="footnote text"/>
    <w:aliases w:val=" Char Char Char Char Char Char Char Char Char Char Char Char Char Char Char Char Char"/>
    <w:basedOn w:val="Normal"/>
    <w:link w:val="FootnoteTextChar"/>
    <w:uiPriority w:val="99"/>
    <w:unhideWhenUsed/>
    <w:qFormat/>
    <w:rsid w:val="0053241A"/>
    <w:pPr>
      <w:jc w:val="both"/>
    </w:pPr>
    <w:rPr>
      <w:rFonts w:ascii="Calibri" w:hAnsi="Calibri"/>
      <w:kern w:val="0"/>
      <w:sz w:val="20"/>
      <w:szCs w:val="20"/>
      <w14:ligatures w14:val="none"/>
    </w:rPr>
  </w:style>
  <w:style w:type="character" w:customStyle="1" w:styleId="FootnoteTextChar">
    <w:name w:val="Footnote Text Char"/>
    <w:aliases w:val=" Char Char Char Char Char Char Char Char Char Char Char Char Char Char Char Char Char Char"/>
    <w:basedOn w:val="DefaultParagraphFont"/>
    <w:link w:val="FootnoteText"/>
    <w:uiPriority w:val="99"/>
    <w:rsid w:val="0053241A"/>
    <w:rPr>
      <w:rFonts w:ascii="Calibri" w:hAnsi="Calibri"/>
      <w:kern w:val="0"/>
      <w:sz w:val="20"/>
      <w:szCs w:val="20"/>
      <w14:ligatures w14:val="none"/>
    </w:rPr>
  </w:style>
  <w:style w:type="character" w:styleId="FootnoteReference">
    <w:name w:val="footnote reference"/>
    <w:aliases w:val="Footnote Reference 1a"/>
    <w:basedOn w:val="DefaultParagraphFont"/>
    <w:uiPriority w:val="99"/>
    <w:unhideWhenUsed/>
    <w:rsid w:val="00872CAF"/>
    <w:rPr>
      <w:vertAlign w:val="superscript"/>
    </w:rPr>
  </w:style>
  <w:style w:type="character" w:styleId="Hyperlink">
    <w:name w:val="Hyperlink"/>
    <w:basedOn w:val="DefaultParagraphFont"/>
    <w:uiPriority w:val="99"/>
    <w:unhideWhenUsed/>
    <w:rsid w:val="00872CAF"/>
    <w:rPr>
      <w:color w:val="0563C1" w:themeColor="hyperlink"/>
      <w:u w:val="single"/>
    </w:rPr>
  </w:style>
  <w:style w:type="paragraph" w:styleId="CommentText">
    <w:name w:val="annotation text"/>
    <w:basedOn w:val="Normal"/>
    <w:link w:val="CommentTextChar"/>
    <w:uiPriority w:val="99"/>
    <w:unhideWhenUsed/>
    <w:rsid w:val="00456D9F"/>
    <w:rPr>
      <w:rFonts w:eastAsiaTheme="minorEastAsia"/>
      <w:sz w:val="20"/>
      <w:szCs w:val="20"/>
      <w:lang w:eastAsia="zh-CN"/>
    </w:rPr>
  </w:style>
  <w:style w:type="character" w:customStyle="1" w:styleId="CommentTextChar">
    <w:name w:val="Comment Text Char"/>
    <w:basedOn w:val="DefaultParagraphFont"/>
    <w:link w:val="CommentText"/>
    <w:uiPriority w:val="99"/>
    <w:rsid w:val="00456D9F"/>
    <w:rPr>
      <w:rFonts w:eastAsiaTheme="minorEastAsia"/>
      <w:sz w:val="20"/>
      <w:szCs w:val="20"/>
      <w:lang w:eastAsia="zh-CN"/>
    </w:rPr>
  </w:style>
  <w:style w:type="character" w:styleId="Emphasis">
    <w:name w:val="Emphasis"/>
    <w:basedOn w:val="DefaultParagraphFont"/>
    <w:uiPriority w:val="20"/>
    <w:qFormat/>
    <w:rsid w:val="00456D9F"/>
    <w:rPr>
      <w:i/>
      <w:iCs/>
    </w:rPr>
  </w:style>
  <w:style w:type="paragraph" w:styleId="NormalWeb">
    <w:name w:val="Normal (Web)"/>
    <w:basedOn w:val="Normal"/>
    <w:uiPriority w:val="99"/>
    <w:unhideWhenUsed/>
    <w:rsid w:val="00456D9F"/>
    <w:pPr>
      <w:spacing w:before="100" w:beforeAutospacing="1" w:after="100" w:afterAutospacing="1"/>
    </w:pPr>
    <w:rPr>
      <w:rFonts w:ascii="Times New Roman" w:eastAsia="Times New Roman" w:hAnsi="Times New Roman" w:cs="Times New Roman"/>
      <w:kern w:val="0"/>
      <w:lang w:eastAsia="zh-CN"/>
      <w14:ligatures w14:val="none"/>
    </w:rPr>
  </w:style>
  <w:style w:type="character" w:customStyle="1" w:styleId="normaltextrun">
    <w:name w:val="normaltextrun"/>
    <w:basedOn w:val="DefaultParagraphFont"/>
    <w:rsid w:val="00456D9F"/>
  </w:style>
  <w:style w:type="table" w:styleId="TableGrid">
    <w:name w:val="Table Grid"/>
    <w:basedOn w:val="TableNormal"/>
    <w:uiPriority w:val="39"/>
    <w:rsid w:val="00456D9F"/>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001DE5"/>
    <w:rPr>
      <w:color w:val="605E5C"/>
      <w:shd w:val="clear" w:color="auto" w:fill="E1DFDD"/>
    </w:rPr>
  </w:style>
  <w:style w:type="character" w:styleId="FollowedHyperlink">
    <w:name w:val="FollowedHyperlink"/>
    <w:basedOn w:val="DefaultParagraphFont"/>
    <w:uiPriority w:val="99"/>
    <w:semiHidden/>
    <w:unhideWhenUsed/>
    <w:rsid w:val="00497861"/>
    <w:rPr>
      <w:color w:val="954F72" w:themeColor="followedHyperlink"/>
      <w:u w:val="single"/>
    </w:rPr>
  </w:style>
  <w:style w:type="paragraph" w:styleId="TOC1">
    <w:name w:val="toc 1"/>
    <w:basedOn w:val="Normal"/>
    <w:next w:val="Normal"/>
    <w:autoRedefine/>
    <w:uiPriority w:val="39"/>
    <w:unhideWhenUsed/>
    <w:rsid w:val="001F3791"/>
    <w:pPr>
      <w:tabs>
        <w:tab w:val="right" w:leader="dot" w:pos="9010"/>
      </w:tabs>
      <w:spacing w:before="360" w:after="360"/>
    </w:pPr>
    <w:rPr>
      <w:b/>
      <w:bCs/>
      <w:caps/>
      <w:sz w:val="22"/>
      <w:szCs w:val="22"/>
      <w:u w:val="single"/>
    </w:rPr>
  </w:style>
  <w:style w:type="paragraph" w:styleId="TOC3">
    <w:name w:val="toc 3"/>
    <w:basedOn w:val="Normal"/>
    <w:next w:val="Normal"/>
    <w:autoRedefine/>
    <w:uiPriority w:val="39"/>
    <w:unhideWhenUsed/>
    <w:rsid w:val="008A02B6"/>
    <w:pPr>
      <w:tabs>
        <w:tab w:val="right" w:leader="dot" w:pos="9010"/>
      </w:tabs>
    </w:pPr>
    <w:rPr>
      <w:smallCaps/>
      <w:sz w:val="22"/>
      <w:szCs w:val="22"/>
    </w:rPr>
  </w:style>
  <w:style w:type="paragraph" w:styleId="TOC4">
    <w:name w:val="toc 4"/>
    <w:basedOn w:val="Normal"/>
    <w:next w:val="Normal"/>
    <w:autoRedefine/>
    <w:uiPriority w:val="39"/>
    <w:unhideWhenUsed/>
    <w:rPr>
      <w:sz w:val="22"/>
      <w:szCs w:val="22"/>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PageNumber">
    <w:name w:val="page number"/>
    <w:basedOn w:val="DefaultParagraphFont"/>
    <w:uiPriority w:val="99"/>
    <w:semiHidden/>
    <w:unhideWhenUsed/>
    <w:rsid w:val="00C0071F"/>
  </w:style>
  <w:style w:type="character" w:styleId="CommentReference">
    <w:name w:val="annotation reference"/>
    <w:basedOn w:val="DefaultParagraphFont"/>
    <w:uiPriority w:val="99"/>
    <w:semiHidden/>
    <w:unhideWhenUsed/>
    <w:rsid w:val="007F5D08"/>
    <w:rPr>
      <w:sz w:val="16"/>
      <w:szCs w:val="16"/>
    </w:rPr>
  </w:style>
  <w:style w:type="paragraph" w:styleId="CommentSubject">
    <w:name w:val="annotation subject"/>
    <w:basedOn w:val="CommentText"/>
    <w:next w:val="CommentText"/>
    <w:link w:val="CommentSubjectChar"/>
    <w:uiPriority w:val="99"/>
    <w:semiHidden/>
    <w:unhideWhenUsed/>
    <w:rsid w:val="007F5D08"/>
    <w:rPr>
      <w:rFonts w:eastAsiaTheme="minorHAnsi"/>
      <w:b/>
      <w:bCs/>
      <w:lang w:eastAsia="en-US"/>
    </w:rPr>
  </w:style>
  <w:style w:type="character" w:customStyle="1" w:styleId="CommentSubjectChar">
    <w:name w:val="Comment Subject Char"/>
    <w:basedOn w:val="CommentTextChar"/>
    <w:link w:val="CommentSubject"/>
    <w:uiPriority w:val="99"/>
    <w:semiHidden/>
    <w:rsid w:val="007F5D08"/>
    <w:rPr>
      <w:rFonts w:eastAsiaTheme="minorEastAsia"/>
      <w:b/>
      <w:bCs/>
      <w:sz w:val="20"/>
      <w:szCs w:val="20"/>
      <w:lang w:eastAsia="zh-CN"/>
    </w:rPr>
  </w:style>
  <w:style w:type="paragraph" w:styleId="TOCHeading">
    <w:name w:val="TOC Heading"/>
    <w:basedOn w:val="Heading1"/>
    <w:next w:val="Normal"/>
    <w:uiPriority w:val="39"/>
    <w:unhideWhenUsed/>
    <w:qFormat/>
    <w:rsid w:val="008E288D"/>
    <w:pPr>
      <w:spacing w:before="480" w:line="276" w:lineRule="auto"/>
      <w:jc w:val="left"/>
      <w:outlineLvl w:val="9"/>
    </w:pPr>
    <w:rPr>
      <w:rFonts w:asciiTheme="majorHAnsi" w:hAnsiTheme="majorHAnsi" w:cstheme="majorBidi"/>
      <w:bCs/>
      <w:smallCaps w:val="0"/>
      <w:color w:val="2F5496" w:themeColor="accent1" w:themeShade="BF"/>
      <w:kern w:val="0"/>
      <w:szCs w:val="28"/>
      <w:lang w:val="en-US"/>
      <w14:ligatures w14:val="none"/>
    </w:rPr>
  </w:style>
  <w:style w:type="paragraph" w:styleId="TOC2">
    <w:name w:val="toc 2"/>
    <w:basedOn w:val="Normal"/>
    <w:next w:val="Normal"/>
    <w:autoRedefine/>
    <w:uiPriority w:val="39"/>
    <w:unhideWhenUsed/>
    <w:rsid w:val="008E288D"/>
    <w:rPr>
      <w:b/>
      <w:bCs/>
      <w:smallCaps/>
      <w:sz w:val="22"/>
      <w:szCs w:val="22"/>
    </w:rPr>
  </w:style>
  <w:style w:type="paragraph" w:styleId="TOC5">
    <w:name w:val="toc 5"/>
    <w:basedOn w:val="Normal"/>
    <w:next w:val="Normal"/>
    <w:autoRedefine/>
    <w:uiPriority w:val="39"/>
    <w:semiHidden/>
    <w:unhideWhenUsed/>
    <w:rsid w:val="008E288D"/>
    <w:rPr>
      <w:sz w:val="22"/>
      <w:szCs w:val="22"/>
    </w:rPr>
  </w:style>
  <w:style w:type="paragraph" w:styleId="TOC6">
    <w:name w:val="toc 6"/>
    <w:basedOn w:val="Normal"/>
    <w:next w:val="Normal"/>
    <w:autoRedefine/>
    <w:uiPriority w:val="39"/>
    <w:semiHidden/>
    <w:unhideWhenUsed/>
    <w:rsid w:val="008E288D"/>
    <w:rPr>
      <w:sz w:val="22"/>
      <w:szCs w:val="22"/>
    </w:rPr>
  </w:style>
  <w:style w:type="paragraph" w:styleId="TOC7">
    <w:name w:val="toc 7"/>
    <w:basedOn w:val="Normal"/>
    <w:next w:val="Normal"/>
    <w:autoRedefine/>
    <w:uiPriority w:val="39"/>
    <w:semiHidden/>
    <w:unhideWhenUsed/>
    <w:rsid w:val="008E288D"/>
    <w:rPr>
      <w:sz w:val="22"/>
      <w:szCs w:val="22"/>
    </w:rPr>
  </w:style>
  <w:style w:type="paragraph" w:styleId="TOC8">
    <w:name w:val="toc 8"/>
    <w:basedOn w:val="Normal"/>
    <w:next w:val="Normal"/>
    <w:autoRedefine/>
    <w:uiPriority w:val="39"/>
    <w:semiHidden/>
    <w:unhideWhenUsed/>
    <w:rsid w:val="008E288D"/>
    <w:rPr>
      <w:sz w:val="22"/>
      <w:szCs w:val="22"/>
    </w:rPr>
  </w:style>
  <w:style w:type="paragraph" w:styleId="TOC9">
    <w:name w:val="toc 9"/>
    <w:basedOn w:val="Normal"/>
    <w:next w:val="Normal"/>
    <w:autoRedefine/>
    <w:uiPriority w:val="39"/>
    <w:semiHidden/>
    <w:unhideWhenUsed/>
    <w:rsid w:val="008E288D"/>
    <w:rPr>
      <w:sz w:val="22"/>
      <w:szCs w:val="22"/>
    </w:rPr>
  </w:style>
  <w:style w:type="paragraph" w:customStyle="1" w:styleId="paragraph">
    <w:name w:val="paragraph"/>
    <w:basedOn w:val="Normal"/>
    <w:rsid w:val="000033A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eop">
    <w:name w:val="eop"/>
    <w:basedOn w:val="DefaultParagraphFont"/>
    <w:rsid w:val="000033AB"/>
  </w:style>
  <w:style w:type="character" w:styleId="Mention">
    <w:name w:val="Mention"/>
    <w:basedOn w:val="DefaultParagraphFont"/>
    <w:uiPriority w:val="99"/>
    <w:unhideWhenUsed/>
    <w:rsid w:val="00392D30"/>
    <w:rPr>
      <w:color w:val="2B579A"/>
      <w:shd w:val="clear" w:color="auto" w:fill="E6E6E6"/>
    </w:rPr>
  </w:style>
  <w:style w:type="character" w:styleId="PlaceholderText">
    <w:name w:val="Placeholder Text"/>
    <w:basedOn w:val="DefaultParagraphFont"/>
    <w:uiPriority w:val="99"/>
    <w:semiHidden/>
    <w:rsid w:val="00823F2D"/>
    <w:rPr>
      <w:color w:val="666666"/>
    </w:rPr>
  </w:style>
  <w:style w:type="paragraph" w:styleId="Revision">
    <w:name w:val="Revision"/>
    <w:hidden/>
    <w:uiPriority w:val="99"/>
    <w:semiHidden/>
    <w:rsid w:val="000E2438"/>
  </w:style>
  <w:style w:type="paragraph" w:styleId="EndnoteText">
    <w:name w:val="endnote text"/>
    <w:basedOn w:val="Normal"/>
    <w:link w:val="EndnoteTextChar"/>
    <w:uiPriority w:val="99"/>
    <w:semiHidden/>
    <w:unhideWhenUsed/>
    <w:rsid w:val="00EC7FAF"/>
    <w:rPr>
      <w:sz w:val="20"/>
      <w:szCs w:val="20"/>
    </w:rPr>
  </w:style>
  <w:style w:type="character" w:customStyle="1" w:styleId="EndnoteTextChar">
    <w:name w:val="Endnote Text Char"/>
    <w:basedOn w:val="DefaultParagraphFont"/>
    <w:link w:val="EndnoteText"/>
    <w:uiPriority w:val="99"/>
    <w:semiHidden/>
    <w:rsid w:val="00EC7FAF"/>
    <w:rPr>
      <w:sz w:val="20"/>
      <w:szCs w:val="20"/>
    </w:rPr>
  </w:style>
  <w:style w:type="character" w:styleId="EndnoteReference">
    <w:name w:val="endnote reference"/>
    <w:basedOn w:val="DefaultParagraphFont"/>
    <w:uiPriority w:val="99"/>
    <w:semiHidden/>
    <w:unhideWhenUsed/>
    <w:rsid w:val="00EC7FAF"/>
    <w:rPr>
      <w:vertAlign w:val="superscript"/>
    </w:rPr>
  </w:style>
  <w:style w:type="table" w:customStyle="1" w:styleId="PlainTable41">
    <w:name w:val="Plain Table 41"/>
    <w:basedOn w:val="TableNormal"/>
    <w:next w:val="PlainTable4"/>
    <w:uiPriority w:val="44"/>
    <w:rsid w:val="00A15CDE"/>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4">
    <w:name w:val="Plain Table 4"/>
    <w:basedOn w:val="TableNormal"/>
    <w:uiPriority w:val="44"/>
    <w:rsid w:val="00A15CDE"/>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15CDE"/>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uthor">
    <w:name w:val="author"/>
    <w:basedOn w:val="DefaultParagraphFont"/>
    <w:rsid w:val="00C32017"/>
  </w:style>
  <w:style w:type="character" w:customStyle="1" w:styleId="pubyear">
    <w:name w:val="pubyear"/>
    <w:basedOn w:val="DefaultParagraphFont"/>
    <w:rsid w:val="00C32017"/>
  </w:style>
  <w:style w:type="character" w:customStyle="1" w:styleId="articletitle">
    <w:name w:val="articletitle"/>
    <w:basedOn w:val="DefaultParagraphFont"/>
    <w:rsid w:val="00C32017"/>
  </w:style>
  <w:style w:type="character" w:customStyle="1" w:styleId="vol">
    <w:name w:val="vol"/>
    <w:basedOn w:val="DefaultParagraphFont"/>
    <w:rsid w:val="00C32017"/>
  </w:style>
  <w:style w:type="character" w:customStyle="1" w:styleId="citedissue">
    <w:name w:val="citedissue"/>
    <w:basedOn w:val="DefaultParagraphFont"/>
    <w:rsid w:val="00C32017"/>
  </w:style>
  <w:style w:type="character" w:customStyle="1" w:styleId="pagefirst">
    <w:name w:val="pagefirst"/>
    <w:basedOn w:val="DefaultParagraphFont"/>
    <w:rsid w:val="00C32017"/>
  </w:style>
  <w:style w:type="character" w:customStyle="1" w:styleId="pagelast">
    <w:name w:val="pagelast"/>
    <w:basedOn w:val="DefaultParagraphFont"/>
    <w:rsid w:val="00C32017"/>
  </w:style>
  <w:style w:type="paragraph" w:styleId="Caption">
    <w:name w:val="caption"/>
    <w:basedOn w:val="Normal"/>
    <w:next w:val="Normal"/>
    <w:uiPriority w:val="35"/>
    <w:unhideWhenUsed/>
    <w:qFormat/>
    <w:rsid w:val="00C32017"/>
    <w:pPr>
      <w:spacing w:after="200"/>
    </w:pPr>
    <w:rPr>
      <w:i/>
      <w:iCs/>
      <w:color w:val="44546A" w:themeColor="text2"/>
      <w:kern w:val="0"/>
      <w:sz w:val="18"/>
      <w:szCs w:val="18"/>
      <w14:ligatures w14:val="none"/>
    </w:rPr>
  </w:style>
  <w:style w:type="character" w:customStyle="1" w:styleId="anchor-text">
    <w:name w:val="anchor-text"/>
    <w:basedOn w:val="DefaultParagraphFont"/>
    <w:rsid w:val="00C32017"/>
  </w:style>
  <w:style w:type="character" w:customStyle="1" w:styleId="contentcontrolboundarysink">
    <w:name w:val="contentcontrolboundarysink"/>
    <w:basedOn w:val="DefaultParagraphFont"/>
    <w:rsid w:val="00C32017"/>
  </w:style>
  <w:style w:type="character" w:customStyle="1" w:styleId="superscript">
    <w:name w:val="superscript"/>
    <w:basedOn w:val="DefaultParagraphFont"/>
    <w:rsid w:val="00415AA4"/>
  </w:style>
  <w:style w:type="character" w:customStyle="1" w:styleId="findhit">
    <w:name w:val="findhit"/>
    <w:basedOn w:val="DefaultParagraphFont"/>
    <w:rsid w:val="0070168A"/>
  </w:style>
  <w:style w:type="character" w:customStyle="1" w:styleId="HeaderChar1">
    <w:name w:val="Header Char1"/>
    <w:basedOn w:val="DefaultParagraphFont"/>
    <w:uiPriority w:val="99"/>
    <w:semiHidden/>
    <w:rsid w:val="00CE1172"/>
  </w:style>
  <w:style w:type="character" w:customStyle="1" w:styleId="FooterChar1">
    <w:name w:val="Footer Char1"/>
    <w:basedOn w:val="DefaultParagraphFont"/>
    <w:uiPriority w:val="99"/>
    <w:semiHidden/>
    <w:rsid w:val="00CE11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5486">
      <w:bodyDiv w:val="1"/>
      <w:marLeft w:val="0"/>
      <w:marRight w:val="0"/>
      <w:marTop w:val="0"/>
      <w:marBottom w:val="0"/>
      <w:divBdr>
        <w:top w:val="none" w:sz="0" w:space="0" w:color="auto"/>
        <w:left w:val="none" w:sz="0" w:space="0" w:color="auto"/>
        <w:bottom w:val="none" w:sz="0" w:space="0" w:color="auto"/>
        <w:right w:val="none" w:sz="0" w:space="0" w:color="auto"/>
      </w:divBdr>
    </w:div>
    <w:div w:id="90207401">
      <w:bodyDiv w:val="1"/>
      <w:marLeft w:val="0"/>
      <w:marRight w:val="0"/>
      <w:marTop w:val="0"/>
      <w:marBottom w:val="0"/>
      <w:divBdr>
        <w:top w:val="none" w:sz="0" w:space="0" w:color="auto"/>
        <w:left w:val="none" w:sz="0" w:space="0" w:color="auto"/>
        <w:bottom w:val="none" w:sz="0" w:space="0" w:color="auto"/>
        <w:right w:val="none" w:sz="0" w:space="0" w:color="auto"/>
      </w:divBdr>
    </w:div>
    <w:div w:id="142359847">
      <w:bodyDiv w:val="1"/>
      <w:marLeft w:val="0"/>
      <w:marRight w:val="0"/>
      <w:marTop w:val="0"/>
      <w:marBottom w:val="0"/>
      <w:divBdr>
        <w:top w:val="none" w:sz="0" w:space="0" w:color="auto"/>
        <w:left w:val="none" w:sz="0" w:space="0" w:color="auto"/>
        <w:bottom w:val="none" w:sz="0" w:space="0" w:color="auto"/>
        <w:right w:val="none" w:sz="0" w:space="0" w:color="auto"/>
      </w:divBdr>
      <w:divsChild>
        <w:div w:id="146288385">
          <w:marLeft w:val="0"/>
          <w:marRight w:val="0"/>
          <w:marTop w:val="0"/>
          <w:marBottom w:val="0"/>
          <w:divBdr>
            <w:top w:val="none" w:sz="0" w:space="0" w:color="auto"/>
            <w:left w:val="none" w:sz="0" w:space="0" w:color="auto"/>
            <w:bottom w:val="none" w:sz="0" w:space="0" w:color="auto"/>
            <w:right w:val="none" w:sz="0" w:space="0" w:color="auto"/>
          </w:divBdr>
        </w:div>
        <w:div w:id="1024093582">
          <w:marLeft w:val="0"/>
          <w:marRight w:val="0"/>
          <w:marTop w:val="0"/>
          <w:marBottom w:val="0"/>
          <w:divBdr>
            <w:top w:val="none" w:sz="0" w:space="0" w:color="auto"/>
            <w:left w:val="none" w:sz="0" w:space="0" w:color="auto"/>
            <w:bottom w:val="none" w:sz="0" w:space="0" w:color="auto"/>
            <w:right w:val="none" w:sz="0" w:space="0" w:color="auto"/>
          </w:divBdr>
        </w:div>
        <w:div w:id="1554385534">
          <w:marLeft w:val="0"/>
          <w:marRight w:val="0"/>
          <w:marTop w:val="0"/>
          <w:marBottom w:val="0"/>
          <w:divBdr>
            <w:top w:val="none" w:sz="0" w:space="0" w:color="auto"/>
            <w:left w:val="none" w:sz="0" w:space="0" w:color="auto"/>
            <w:bottom w:val="none" w:sz="0" w:space="0" w:color="auto"/>
            <w:right w:val="none" w:sz="0" w:space="0" w:color="auto"/>
          </w:divBdr>
        </w:div>
      </w:divsChild>
    </w:div>
    <w:div w:id="716011871">
      <w:bodyDiv w:val="1"/>
      <w:marLeft w:val="0"/>
      <w:marRight w:val="0"/>
      <w:marTop w:val="0"/>
      <w:marBottom w:val="0"/>
      <w:divBdr>
        <w:top w:val="none" w:sz="0" w:space="0" w:color="auto"/>
        <w:left w:val="none" w:sz="0" w:space="0" w:color="auto"/>
        <w:bottom w:val="none" w:sz="0" w:space="0" w:color="auto"/>
        <w:right w:val="none" w:sz="0" w:space="0" w:color="auto"/>
      </w:divBdr>
    </w:div>
    <w:div w:id="776145319">
      <w:bodyDiv w:val="1"/>
      <w:marLeft w:val="0"/>
      <w:marRight w:val="0"/>
      <w:marTop w:val="0"/>
      <w:marBottom w:val="0"/>
      <w:divBdr>
        <w:top w:val="none" w:sz="0" w:space="0" w:color="auto"/>
        <w:left w:val="none" w:sz="0" w:space="0" w:color="auto"/>
        <w:bottom w:val="none" w:sz="0" w:space="0" w:color="auto"/>
        <w:right w:val="none" w:sz="0" w:space="0" w:color="auto"/>
      </w:divBdr>
    </w:div>
    <w:div w:id="813595531">
      <w:bodyDiv w:val="1"/>
      <w:marLeft w:val="0"/>
      <w:marRight w:val="0"/>
      <w:marTop w:val="0"/>
      <w:marBottom w:val="0"/>
      <w:divBdr>
        <w:top w:val="none" w:sz="0" w:space="0" w:color="auto"/>
        <w:left w:val="none" w:sz="0" w:space="0" w:color="auto"/>
        <w:bottom w:val="none" w:sz="0" w:space="0" w:color="auto"/>
        <w:right w:val="none" w:sz="0" w:space="0" w:color="auto"/>
      </w:divBdr>
    </w:div>
    <w:div w:id="1358120111">
      <w:bodyDiv w:val="1"/>
      <w:marLeft w:val="0"/>
      <w:marRight w:val="0"/>
      <w:marTop w:val="0"/>
      <w:marBottom w:val="0"/>
      <w:divBdr>
        <w:top w:val="none" w:sz="0" w:space="0" w:color="auto"/>
        <w:left w:val="none" w:sz="0" w:space="0" w:color="auto"/>
        <w:bottom w:val="none" w:sz="0" w:space="0" w:color="auto"/>
        <w:right w:val="none" w:sz="0" w:space="0" w:color="auto"/>
      </w:divBdr>
      <w:divsChild>
        <w:div w:id="485628028">
          <w:marLeft w:val="0"/>
          <w:marRight w:val="0"/>
          <w:marTop w:val="0"/>
          <w:marBottom w:val="0"/>
          <w:divBdr>
            <w:top w:val="none" w:sz="0" w:space="0" w:color="auto"/>
            <w:left w:val="none" w:sz="0" w:space="0" w:color="auto"/>
            <w:bottom w:val="none" w:sz="0" w:space="0" w:color="auto"/>
            <w:right w:val="none" w:sz="0" w:space="0" w:color="auto"/>
          </w:divBdr>
        </w:div>
        <w:div w:id="1170829651">
          <w:marLeft w:val="0"/>
          <w:marRight w:val="0"/>
          <w:marTop w:val="0"/>
          <w:marBottom w:val="0"/>
          <w:divBdr>
            <w:top w:val="none" w:sz="0" w:space="0" w:color="auto"/>
            <w:left w:val="none" w:sz="0" w:space="0" w:color="auto"/>
            <w:bottom w:val="none" w:sz="0" w:space="0" w:color="auto"/>
            <w:right w:val="none" w:sz="0" w:space="0" w:color="auto"/>
          </w:divBdr>
        </w:div>
      </w:divsChild>
    </w:div>
    <w:div w:id="1463766331">
      <w:bodyDiv w:val="1"/>
      <w:marLeft w:val="0"/>
      <w:marRight w:val="0"/>
      <w:marTop w:val="0"/>
      <w:marBottom w:val="0"/>
      <w:divBdr>
        <w:top w:val="none" w:sz="0" w:space="0" w:color="auto"/>
        <w:left w:val="none" w:sz="0" w:space="0" w:color="auto"/>
        <w:bottom w:val="none" w:sz="0" w:space="0" w:color="auto"/>
        <w:right w:val="none" w:sz="0" w:space="0" w:color="auto"/>
      </w:divBdr>
      <w:divsChild>
        <w:div w:id="242878894">
          <w:marLeft w:val="0"/>
          <w:marRight w:val="0"/>
          <w:marTop w:val="0"/>
          <w:marBottom w:val="0"/>
          <w:divBdr>
            <w:top w:val="none" w:sz="0" w:space="0" w:color="auto"/>
            <w:left w:val="none" w:sz="0" w:space="0" w:color="auto"/>
            <w:bottom w:val="none" w:sz="0" w:space="0" w:color="auto"/>
            <w:right w:val="none" w:sz="0" w:space="0" w:color="auto"/>
          </w:divBdr>
          <w:divsChild>
            <w:div w:id="437915092">
              <w:marLeft w:val="0"/>
              <w:marRight w:val="0"/>
              <w:marTop w:val="0"/>
              <w:marBottom w:val="0"/>
              <w:divBdr>
                <w:top w:val="none" w:sz="0" w:space="0" w:color="auto"/>
                <w:left w:val="none" w:sz="0" w:space="0" w:color="auto"/>
                <w:bottom w:val="none" w:sz="0" w:space="0" w:color="auto"/>
                <w:right w:val="none" w:sz="0" w:space="0" w:color="auto"/>
              </w:divBdr>
            </w:div>
          </w:divsChild>
        </w:div>
        <w:div w:id="585580170">
          <w:marLeft w:val="0"/>
          <w:marRight w:val="0"/>
          <w:marTop w:val="0"/>
          <w:marBottom w:val="0"/>
          <w:divBdr>
            <w:top w:val="none" w:sz="0" w:space="0" w:color="auto"/>
            <w:left w:val="none" w:sz="0" w:space="0" w:color="auto"/>
            <w:bottom w:val="none" w:sz="0" w:space="0" w:color="auto"/>
            <w:right w:val="none" w:sz="0" w:space="0" w:color="auto"/>
          </w:divBdr>
          <w:divsChild>
            <w:div w:id="840588075">
              <w:marLeft w:val="0"/>
              <w:marRight w:val="0"/>
              <w:marTop w:val="0"/>
              <w:marBottom w:val="0"/>
              <w:divBdr>
                <w:top w:val="none" w:sz="0" w:space="0" w:color="auto"/>
                <w:left w:val="none" w:sz="0" w:space="0" w:color="auto"/>
                <w:bottom w:val="none" w:sz="0" w:space="0" w:color="auto"/>
                <w:right w:val="none" w:sz="0" w:space="0" w:color="auto"/>
              </w:divBdr>
            </w:div>
          </w:divsChild>
        </w:div>
        <w:div w:id="814444446">
          <w:marLeft w:val="0"/>
          <w:marRight w:val="0"/>
          <w:marTop w:val="0"/>
          <w:marBottom w:val="0"/>
          <w:divBdr>
            <w:top w:val="none" w:sz="0" w:space="0" w:color="auto"/>
            <w:left w:val="none" w:sz="0" w:space="0" w:color="auto"/>
            <w:bottom w:val="none" w:sz="0" w:space="0" w:color="auto"/>
            <w:right w:val="none" w:sz="0" w:space="0" w:color="auto"/>
          </w:divBdr>
          <w:divsChild>
            <w:div w:id="148478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231923">
      <w:bodyDiv w:val="1"/>
      <w:marLeft w:val="0"/>
      <w:marRight w:val="0"/>
      <w:marTop w:val="0"/>
      <w:marBottom w:val="0"/>
      <w:divBdr>
        <w:top w:val="none" w:sz="0" w:space="0" w:color="auto"/>
        <w:left w:val="none" w:sz="0" w:space="0" w:color="auto"/>
        <w:bottom w:val="none" w:sz="0" w:space="0" w:color="auto"/>
        <w:right w:val="none" w:sz="0" w:space="0" w:color="auto"/>
      </w:divBdr>
      <w:divsChild>
        <w:div w:id="833423510">
          <w:marLeft w:val="0"/>
          <w:marRight w:val="0"/>
          <w:marTop w:val="0"/>
          <w:marBottom w:val="0"/>
          <w:divBdr>
            <w:top w:val="none" w:sz="0" w:space="0" w:color="auto"/>
            <w:left w:val="none" w:sz="0" w:space="0" w:color="auto"/>
            <w:bottom w:val="none" w:sz="0" w:space="0" w:color="auto"/>
            <w:right w:val="none" w:sz="0" w:space="0" w:color="auto"/>
          </w:divBdr>
        </w:div>
      </w:divsChild>
    </w:div>
    <w:div w:id="1710376189">
      <w:bodyDiv w:val="1"/>
      <w:marLeft w:val="0"/>
      <w:marRight w:val="0"/>
      <w:marTop w:val="0"/>
      <w:marBottom w:val="0"/>
      <w:divBdr>
        <w:top w:val="none" w:sz="0" w:space="0" w:color="auto"/>
        <w:left w:val="none" w:sz="0" w:space="0" w:color="auto"/>
        <w:bottom w:val="none" w:sz="0" w:space="0" w:color="auto"/>
        <w:right w:val="none" w:sz="0" w:space="0" w:color="auto"/>
      </w:divBdr>
      <w:divsChild>
        <w:div w:id="175850049">
          <w:marLeft w:val="0"/>
          <w:marRight w:val="0"/>
          <w:marTop w:val="0"/>
          <w:marBottom w:val="0"/>
          <w:divBdr>
            <w:top w:val="none" w:sz="0" w:space="0" w:color="auto"/>
            <w:left w:val="none" w:sz="0" w:space="0" w:color="auto"/>
            <w:bottom w:val="none" w:sz="0" w:space="0" w:color="auto"/>
            <w:right w:val="none" w:sz="0" w:space="0" w:color="auto"/>
          </w:divBdr>
        </w:div>
        <w:div w:id="1134326976">
          <w:marLeft w:val="0"/>
          <w:marRight w:val="0"/>
          <w:marTop w:val="0"/>
          <w:marBottom w:val="0"/>
          <w:divBdr>
            <w:top w:val="none" w:sz="0" w:space="0" w:color="auto"/>
            <w:left w:val="none" w:sz="0" w:space="0" w:color="auto"/>
            <w:bottom w:val="none" w:sz="0" w:space="0" w:color="auto"/>
            <w:right w:val="none" w:sz="0" w:space="0" w:color="auto"/>
          </w:divBdr>
        </w:div>
        <w:div w:id="1640379150">
          <w:marLeft w:val="0"/>
          <w:marRight w:val="0"/>
          <w:marTop w:val="0"/>
          <w:marBottom w:val="0"/>
          <w:divBdr>
            <w:top w:val="none" w:sz="0" w:space="0" w:color="auto"/>
            <w:left w:val="none" w:sz="0" w:space="0" w:color="auto"/>
            <w:bottom w:val="none" w:sz="0" w:space="0" w:color="auto"/>
            <w:right w:val="none" w:sz="0" w:space="0" w:color="auto"/>
          </w:divBdr>
        </w:div>
      </w:divsChild>
    </w:div>
    <w:div w:id="2070421367">
      <w:bodyDiv w:val="1"/>
      <w:marLeft w:val="0"/>
      <w:marRight w:val="0"/>
      <w:marTop w:val="0"/>
      <w:marBottom w:val="0"/>
      <w:divBdr>
        <w:top w:val="none" w:sz="0" w:space="0" w:color="auto"/>
        <w:left w:val="none" w:sz="0" w:space="0" w:color="auto"/>
        <w:bottom w:val="none" w:sz="0" w:space="0" w:color="auto"/>
        <w:right w:val="none" w:sz="0" w:space="0" w:color="auto"/>
      </w:divBdr>
    </w:div>
    <w:div w:id="207423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blogs.ed.ac.uk/decolonise/2024/01/25/community-anchor-invitation/" TargetMode="External"/><Relationship Id="rId21" Type="http://schemas.openxmlformats.org/officeDocument/2006/relationships/hyperlink" Target="https://www.ed.ac.uk/profile/daryl-green" TargetMode="External"/><Relationship Id="rId42" Type="http://schemas.openxmlformats.org/officeDocument/2006/relationships/hyperlink" Target="https://www.sikhsanjog.com/" TargetMode="External"/><Relationship Id="rId63" Type="http://schemas.openxmlformats.org/officeDocument/2006/relationships/hyperlink" Target="https://www.ohchr.org/en/instruments-mechanisms/instruments/basic-principles-and-guidelines-right-remedy-and-reparation" TargetMode="External"/><Relationship Id="rId84" Type="http://schemas.openxmlformats.org/officeDocument/2006/relationships/hyperlink" Target="https://equality-diversity.ed.ac.uk/sites/default/files/2024-07/REAR%20Action%20Plan%202023.pdf" TargetMode="External"/><Relationship Id="rId138" Type="http://schemas.openxmlformats.org/officeDocument/2006/relationships/hyperlink" Target="https://scottishrefugeecouncil.org.uk/places/sudanese-community-in-edinburgh/" TargetMode="External"/><Relationship Id="rId159" Type="http://schemas.openxmlformats.org/officeDocument/2006/relationships/header" Target="header1.xml"/><Relationship Id="rId170" Type="http://schemas.openxmlformats.org/officeDocument/2006/relationships/hyperlink" Target="https://doi.org/10.7488/ds/7844" TargetMode="External"/><Relationship Id="rId191" Type="http://schemas.openxmlformats.org/officeDocument/2006/relationships/hyperlink" Target="https://www.race.ed.ac.uk/podcast/" TargetMode="External"/><Relationship Id="rId205" Type="http://schemas.openxmlformats.org/officeDocument/2006/relationships/hyperlink" Target="https://www.un.org/en/observances/decade-people-african-descent" TargetMode="External"/><Relationship Id="rId226" Type="http://schemas.microsoft.com/office/2019/05/relationships/documenttasks" Target="documenttasks/documenttasks1.xml"/><Relationship Id="rId107" Type="http://schemas.openxmlformats.org/officeDocument/2006/relationships/image" Target="media/image38.png"/><Relationship Id="rId11" Type="http://schemas.openxmlformats.org/officeDocument/2006/relationships/hyperlink" Target="https://www.ed.ac.uk/news/2021/addressing-contemporary-and-historic-racism/statement-from-principal" TargetMode="External"/><Relationship Id="rId32" Type="http://schemas.openxmlformats.org/officeDocument/2006/relationships/hyperlink" Target="https://blogs.ed.ac.uk/decolonise/2024/01/25/community-anchor-invitation/" TargetMode="External"/><Relationship Id="rId53" Type="http://schemas.openxmlformats.org/officeDocument/2006/relationships/hyperlink" Target="https://slavery.virginia.edu/universities-studying-slavery/" TargetMode="External"/><Relationship Id="rId74" Type="http://schemas.openxmlformats.org/officeDocument/2006/relationships/image" Target="media/image8.png"/><Relationship Id="rId128" Type="http://schemas.openxmlformats.org/officeDocument/2006/relationships/hyperlink" Target="https://blogs.ed.ac.uk/decolonise/2023/07/11/decolonised-transformations-inaugural-event-recapitulation/" TargetMode="External"/><Relationship Id="rId149" Type="http://schemas.openxmlformats.org/officeDocument/2006/relationships/hyperlink" Target="https://blackculturalarchives.org/" TargetMode="External"/><Relationship Id="rId5" Type="http://schemas.openxmlformats.org/officeDocument/2006/relationships/webSettings" Target="webSettings.xml"/><Relationship Id="rId95" Type="http://schemas.openxmlformats.org/officeDocument/2006/relationships/image" Target="media/image26.png"/><Relationship Id="rId160" Type="http://schemas.openxmlformats.org/officeDocument/2006/relationships/footer" Target="footer1.xml"/><Relationship Id="rId181" Type="http://schemas.openxmlformats.org/officeDocument/2006/relationships/hyperlink" Target="https://eur02.safelinks.protection.outlook.com/?url=https%3A%2F%2Fwww.icj-cij.org%2Fsites%2Fdefault%2Ffiles%2Fcase-related%2F192%2F192-20240126-ord-01-00-en.pdf&amp;data=05%7C02%7C%7C8cbebafbba2e44d00a1e08dd2022e1e3%7C2e9f06b016694589878910a06934dc61%7C0%7C0%7C638702056373989186%7CUnknown%7CTWFpbGZsb3d8eyJFbXB0eU1hcGkiOnRydWUsIlYiOiIwLjAuMDAwMCIsIlAiOiJXaW4zMiIsIkFOIjoiTWFpbCIsIldUIjoyfQ%3D%3D%7C0%7C%7C%7C&amp;sdata=6j4l3rkHma%2BZy17peNlbKnVauaGKbKEWhQ%2B%2FcB3yorM%3D&amp;reserved=0" TargetMode="External"/><Relationship Id="rId216" Type="http://schemas.openxmlformats.org/officeDocument/2006/relationships/hyperlink" Target="https://www.liverpool.ac.uk/csis/about-us/" TargetMode="External"/><Relationship Id="rId22" Type="http://schemas.openxmlformats.org/officeDocument/2006/relationships/hyperlink" Target="https://www.gla.ac.uk/schools/socialpolitical/staff/nasarmeer/" TargetMode="External"/><Relationship Id="rId43" Type="http://schemas.openxmlformats.org/officeDocument/2006/relationships/hyperlink" Target="https://www.un.org/en/observances/decade-people-african-descent" TargetMode="External"/><Relationship Id="rId64" Type="http://schemas.openxmlformats.org/officeDocument/2006/relationships/hyperlink" Target="https://exhibitions.ed.ac.uk/exhibitions/dreams-of-darien/" TargetMode="External"/><Relationship Id="rId118" Type="http://schemas.openxmlformats.org/officeDocument/2006/relationships/hyperlink" Target="https://blogs.ed.ac.uk/decolonise/" TargetMode="External"/><Relationship Id="rId139" Type="http://schemas.openxmlformats.org/officeDocument/2006/relationships/hyperlink" Target="https://www.facebook.com/acssscot/?locale=en_GB" TargetMode="External"/><Relationship Id="rId85" Type="http://schemas.openxmlformats.org/officeDocument/2006/relationships/image" Target="media/image16.jpeg"/><Relationship Id="rId150" Type="http://schemas.openxmlformats.org/officeDocument/2006/relationships/hyperlink" Target="https://www.birmingham.ac.uk/events/the-exchange/community/case-study-africanize" TargetMode="External"/><Relationship Id="rId171" Type="http://schemas.openxmlformats.org/officeDocument/2006/relationships/hyperlink" Target="https://anatomicalmuseum.wordpress.com/2021/05/25/collections-uncovered-omdurman-battlefield-skulls/" TargetMode="External"/><Relationship Id="rId192" Type="http://schemas.openxmlformats.org/officeDocument/2006/relationships/hyperlink" Target="https://equality-diversity.ed.ac.uk/sites/default/files/2024-07/REAR%20Action%20Plan%202023.pdf" TargetMode="External"/><Relationship Id="rId206" Type="http://schemas.openxmlformats.org/officeDocument/2006/relationships/hyperlink" Target="https://www.un.org/unispal/document/auto-insert-204352/" TargetMode="External"/><Relationship Id="rId12" Type="http://schemas.openxmlformats.org/officeDocument/2006/relationships/hyperlink" Target="https://www.ed.ac.uk/files/atoms/files/uoe_race_equality_and_anti-racist_action_plan.pdf" TargetMode="External"/><Relationship Id="rId33" Type="http://schemas.openxmlformats.org/officeDocument/2006/relationships/hyperlink" Target="https://www.ed.ac.uk/profile/omolabake-fakunle" TargetMode="External"/><Relationship Id="rId108" Type="http://schemas.openxmlformats.org/officeDocument/2006/relationships/image" Target="media/image39.png"/><Relationship Id="rId129" Type="http://schemas.openxmlformats.org/officeDocument/2006/relationships/hyperlink" Target="https://www.ed.ac.uk/news/2023/minority-communities-to-play-key-role-in-universit" TargetMode="External"/><Relationship Id="rId54" Type="http://schemas.openxmlformats.org/officeDocument/2006/relationships/hyperlink" Target="https://www.gla.ac.uk/news/archiveofnews/2018/september/headline_607154_en.html" TargetMode="External"/><Relationship Id="rId75" Type="http://schemas.openxmlformats.org/officeDocument/2006/relationships/image" Target="media/image9.png"/><Relationship Id="rId96" Type="http://schemas.openxmlformats.org/officeDocument/2006/relationships/image" Target="media/image27.png"/><Relationship Id="rId140" Type="http://schemas.openxmlformats.org/officeDocument/2006/relationships/hyperlink" Target="https://kwisa.org.uk/" TargetMode="External"/><Relationship Id="rId161" Type="http://schemas.openxmlformats.org/officeDocument/2006/relationships/footer" Target="footer2.xml"/><Relationship Id="rId182" Type="http://schemas.openxmlformats.org/officeDocument/2006/relationships/hyperlink" Target="https://www.inosaar.llc.ed.ac.uk/sites/default/files/atoms/files/principles_of_participation_jul_2021.pdf" TargetMode="External"/><Relationship Id="rId217" Type="http://schemas.openxmlformats.org/officeDocument/2006/relationships/hyperlink" Target="https://www.ucl.ac.uk/lbs/" TargetMode="External"/><Relationship Id="rId6" Type="http://schemas.openxmlformats.org/officeDocument/2006/relationships/footnotes" Target="footnotes.xml"/><Relationship Id="rId23" Type="http://schemas.openxmlformats.org/officeDocument/2006/relationships/hyperlink" Target="https://www.race.ed.ac.uk/" TargetMode="External"/><Relationship Id="rId119" Type="http://schemas.openxmlformats.org/officeDocument/2006/relationships/hyperlink" Target="https://equality-diversity.ed.ac.uk/edi-groups/race-equality-network-eren" TargetMode="External"/><Relationship Id="rId44" Type="http://schemas.openxmlformats.org/officeDocument/2006/relationships/hyperlink" Target="https://blogs.ed.ac.uk/decolonise/category/principles-of-participation/" TargetMode="External"/><Relationship Id="rId65" Type="http://schemas.openxmlformats.org/officeDocument/2006/relationships/image" Target="media/image1.tiff"/><Relationship Id="rId86" Type="http://schemas.openxmlformats.org/officeDocument/2006/relationships/image" Target="media/image17.jpeg"/><Relationship Id="rId130" Type="http://schemas.openxmlformats.org/officeDocument/2006/relationships/hyperlink" Target="https://soundcloud.com/raceedpodcast/ep-13-on-reparations-at-the-university-of-edinburgh-pt-1" TargetMode="External"/><Relationship Id="rId151" Type="http://schemas.openxmlformats.org/officeDocument/2006/relationships/hyperlink" Target="https://wedontsettle.com/about/" TargetMode="External"/><Relationship Id="rId172" Type="http://schemas.openxmlformats.org/officeDocument/2006/relationships/hyperlink" Target="https://sites.manchester.ac.uk/salc-making-a-difference/2021/08/18/exploring-the-legacies-of-slavery-and-colonialism-at-the-university-of-manchester/" TargetMode="External"/><Relationship Id="rId193" Type="http://schemas.openxmlformats.org/officeDocument/2006/relationships/hyperlink" Target="https://edwebcontent.ed.ac.uk/sites/default/files/atoms/files/uoe_race_equality_and_anti-racist_action_plan.pdf" TargetMode="External"/><Relationship Id="rId207" Type="http://schemas.openxmlformats.org/officeDocument/2006/relationships/hyperlink" Target="https://www.abdn.ac.uk/about/strategy-and-governance/legacies-of-slavery/" TargetMode="External"/><Relationship Id="rId13" Type="http://schemas.openxmlformats.org/officeDocument/2006/relationships/hyperlink" Target="https://equality-diversity.ed.ac.uk/sites/default/files/2024-07/REAR%20Action%20Plan%202023.pdf" TargetMode="External"/><Relationship Id="rId109" Type="http://schemas.openxmlformats.org/officeDocument/2006/relationships/image" Target="media/image40.png"/><Relationship Id="rId34" Type="http://schemas.openxmlformats.org/officeDocument/2006/relationships/hyperlink" Target="https://www.ed.ac.uk/staff/teaching-matters/curriculum-transformation-programme" TargetMode="External"/><Relationship Id="rId55" Type="http://schemas.openxmlformats.org/officeDocument/2006/relationships/hyperlink" Target="https://www.liverpool.ac.uk/csis/about-us/" TargetMode="External"/><Relationship Id="rId76" Type="http://schemas.openxmlformats.org/officeDocument/2006/relationships/image" Target="media/image10.png"/><Relationship Id="rId97" Type="http://schemas.openxmlformats.org/officeDocument/2006/relationships/image" Target="media/image28.png"/><Relationship Id="rId120" Type="http://schemas.openxmlformats.org/officeDocument/2006/relationships/hyperlink" Target="https://www.race.ed.ac.uk/" TargetMode="External"/><Relationship Id="rId141" Type="http://schemas.openxmlformats.org/officeDocument/2006/relationships/hyperlink" Target="https://fjssgroup.org/" TargetMode="External"/><Relationship Id="rId7" Type="http://schemas.openxmlformats.org/officeDocument/2006/relationships/endnotes" Target="endnotes.xml"/><Relationship Id="rId162" Type="http://schemas.openxmlformats.org/officeDocument/2006/relationships/hyperlink" Target="https://strategy-2030.ed.ac.uk/" TargetMode="External"/><Relationship Id="rId183" Type="http://schemas.openxmlformats.org/officeDocument/2006/relationships/hyperlink" Target="https://mondoweiss.net/2023/09/how-britain-broke-international-law-to-stop-palestinian-independence-100-years-ago/" TargetMode="External"/><Relationship Id="rId218" Type="http://schemas.openxmlformats.org/officeDocument/2006/relationships/hyperlink" Target="https://www.nottingham.ac.uk/edi/documents/nottinghams-universities-and-historical-slavery-report.pdf" TargetMode="External"/><Relationship Id="rId24" Type="http://schemas.openxmlformats.org/officeDocument/2006/relationships/hyperlink" Target="https://www.iash.ed.ac.uk/profile/samantha-likonde" TargetMode="External"/><Relationship Id="rId45" Type="http://schemas.openxmlformats.org/officeDocument/2006/relationships/hyperlink" Target="https://www.facebook.com/blckedmovement/?locale=en_GB" TargetMode="External"/><Relationship Id="rId66" Type="http://schemas.openxmlformats.org/officeDocument/2006/relationships/image" Target="media/image2.tiff"/><Relationship Id="rId87" Type="http://schemas.openxmlformats.org/officeDocument/2006/relationships/image" Target="media/image18.jpeg"/><Relationship Id="rId110" Type="http://schemas.openxmlformats.org/officeDocument/2006/relationships/image" Target="media/image41.png"/><Relationship Id="rId131" Type="http://schemas.openxmlformats.org/officeDocument/2006/relationships/hyperlink" Target="https://soundcloud.com/raceedpodcast/episode-13-pt-2-on-reparations-at-the-university-of-edinburgh" TargetMode="External"/><Relationship Id="rId152" Type="http://schemas.openxmlformats.org/officeDocument/2006/relationships/hyperlink" Target="https://www.ed.ac.uk/profile/omolabake-fakunle" TargetMode="External"/><Relationship Id="rId173" Type="http://schemas.openxmlformats.org/officeDocument/2006/relationships/hyperlink" Target="https://exhibitions.ed.ac.uk/exhibitions/dreams-of-darien/" TargetMode="External"/><Relationship Id="rId194" Type="http://schemas.openxmlformats.org/officeDocument/2006/relationships/hyperlink" Target="https://blogs.ed.ac.uk/decolonise/category/the-team/" TargetMode="External"/><Relationship Id="rId208" Type="http://schemas.openxmlformats.org/officeDocument/2006/relationships/hyperlink" Target="https://www.durham.ac.uk/about-us/professional-services/equality-diversity-inclusion/strategy/race-equality/library-and-collections-/" TargetMode="External"/><Relationship Id="rId14" Type="http://schemas.openxmlformats.org/officeDocument/2006/relationships/hyperlink" Target="https://www.iash.ed.ac.uk/profile/dr-simon-buck" TargetMode="External"/><Relationship Id="rId35" Type="http://schemas.openxmlformats.org/officeDocument/2006/relationships/hyperlink" Target="https://www.sps.ed.ac.uk/staff/roger-jeffery" TargetMode="External"/><Relationship Id="rId56" Type="http://schemas.openxmlformats.org/officeDocument/2006/relationships/hyperlink" Target="https://www.ucl.ac.uk/lbs/" TargetMode="External"/><Relationship Id="rId77" Type="http://schemas.openxmlformats.org/officeDocument/2006/relationships/image" Target="media/image11.png"/><Relationship Id="rId100" Type="http://schemas.openxmlformats.org/officeDocument/2006/relationships/image" Target="media/image31.png"/><Relationship Id="rId8" Type="http://schemas.openxmlformats.org/officeDocument/2006/relationships/hyperlink" Target="https://blogs.ed.ac.uk/decolonise/" TargetMode="External"/><Relationship Id="rId98" Type="http://schemas.openxmlformats.org/officeDocument/2006/relationships/image" Target="media/image29.png"/><Relationship Id="rId121" Type="http://schemas.openxmlformats.org/officeDocument/2006/relationships/hyperlink" Target="https://www.ed.ac.uk/local" TargetMode="External"/><Relationship Id="rId142" Type="http://schemas.openxmlformats.org/officeDocument/2006/relationships/hyperlink" Target="https://www.maangamizitrust.org/" TargetMode="External"/><Relationship Id="rId163" Type="http://schemas.openxmlformats.org/officeDocument/2006/relationships/hyperlink" Target="https://corporate-services.ed.ac.uk/our-departments/university-initiatives-portfolio-board" TargetMode="External"/><Relationship Id="rId184" Type="http://schemas.openxmlformats.org/officeDocument/2006/relationships/hyperlink" Target="https://www.kings.cam.ac.uk/news/2019/kings-college-research-slavery-past-and-present" TargetMode="External"/><Relationship Id="rId219" Type="http://schemas.openxmlformats.org/officeDocument/2006/relationships/hyperlink" Target="https://www.strath.ac.uk/whystrathclyde/news/2023/reportshedslightonhistoricallinkstotransatlanticslavery/" TargetMode="External"/><Relationship Id="rId3" Type="http://schemas.openxmlformats.org/officeDocument/2006/relationships/styles" Target="styles.xml"/><Relationship Id="rId214" Type="http://schemas.openxmlformats.org/officeDocument/2006/relationships/hyperlink" Target="https://www.ed.ac.uk/files/atoms/files/strategy-2030.pdf" TargetMode="External"/><Relationship Id="rId25" Type="http://schemas.openxmlformats.org/officeDocument/2006/relationships/hyperlink" Target="https://blogs.ed.ac.uk/decolonise/2024/02/08/members-bios-affected-community-members/" TargetMode="External"/><Relationship Id="rId46" Type="http://schemas.openxmlformats.org/officeDocument/2006/relationships/hyperlink" Target="https://www.inosaar.llc.ed.ac.uk/" TargetMode="External"/><Relationship Id="rId67" Type="http://schemas.openxmlformats.org/officeDocument/2006/relationships/hyperlink" Target="https://exhibitions.ed.ac.uk/exhibitions/dreams-of-darien/" TargetMode="External"/><Relationship Id="rId116" Type="http://schemas.openxmlformats.org/officeDocument/2006/relationships/hyperlink" Target="https://blogs.ed.ac.uk/decolonise/category/principles-of-participation/" TargetMode="External"/><Relationship Id="rId137" Type="http://schemas.openxmlformats.org/officeDocument/2006/relationships/hyperlink" Target="https://www.scottishstorytellingcentre.com/" TargetMode="External"/><Relationship Id="rId158" Type="http://schemas.openxmlformats.org/officeDocument/2006/relationships/hyperlink" Target="https://blogs.ed.ac.uk/teaching-matters/decolonising-the-curriculum-a-conversation-with-dr-omolabake-fakunle/" TargetMode="External"/><Relationship Id="rId20" Type="http://schemas.openxmlformats.org/officeDocument/2006/relationships/hyperlink" Target="https://www.ed.ac.uk/profile/diana-paton" TargetMode="External"/><Relationship Id="rId41" Type="http://schemas.openxmlformats.org/officeDocument/2006/relationships/hyperlink" Target="https://www.praler.net/" TargetMode="External"/><Relationship Id="rId62" Type="http://schemas.openxmlformats.org/officeDocument/2006/relationships/hyperlink" Target="https://blogs.ed.ac.uk/decolonise/" TargetMode="External"/><Relationship Id="rId83" Type="http://schemas.openxmlformats.org/officeDocument/2006/relationships/hyperlink" Target="https://www.ed.ac.uk/files/atoms/files/finalreport-curriculumpromoteinclusionequalitydiversity.pdf" TargetMode="External"/><Relationship Id="rId88" Type="http://schemas.openxmlformats.org/officeDocument/2006/relationships/image" Target="media/image19.png"/><Relationship Id="rId111" Type="http://schemas.openxmlformats.org/officeDocument/2006/relationships/image" Target="media/image42.png"/><Relationship Id="rId132" Type="http://schemas.openxmlformats.org/officeDocument/2006/relationships/hyperlink" Target="https://www.race.ed.ac.uk/" TargetMode="External"/><Relationship Id="rId153" Type="http://schemas.openxmlformats.org/officeDocument/2006/relationships/hyperlink" Target="https://www.ed.ac.uk/staff/teaching-matters/curriculum-transformation-programme" TargetMode="External"/><Relationship Id="rId174" Type="http://schemas.openxmlformats.org/officeDocument/2006/relationships/hyperlink" Target="https://www.equalityhumanrights.com/sites/default/files/racial-harassment-inquiry-survey-of-university-students.pdf" TargetMode="External"/><Relationship Id="rId179" Type="http://schemas.openxmlformats.org/officeDocument/2006/relationships/hyperlink" Target="https://www.historicenvironment.scot/archives-and-research/publications/publication/?publicationId=e192ea9f-0d7e-4745-b499-b0fb010a167a" TargetMode="External"/><Relationship Id="rId195" Type="http://schemas.openxmlformats.org/officeDocument/2006/relationships/hyperlink" Target="https://histanthro.org/notes/decolonizing-or-recolonizing/" TargetMode="External"/><Relationship Id="rId209" Type="http://schemas.openxmlformats.org/officeDocument/2006/relationships/hyperlink" Target="https://www.legislation.gov.uk/uksi/1971/1849/contents/made" TargetMode="External"/><Relationship Id="rId190" Type="http://schemas.openxmlformats.org/officeDocument/2006/relationships/hyperlink" Target="https://www.praler.net/post/global-citizenship-education-for-planet-repairs-action-gcepra-ghana-in-planet-repairs-action-dia" TargetMode="External"/><Relationship Id="rId204" Type="http://schemas.openxmlformats.org/officeDocument/2006/relationships/hyperlink" Target="https://www.ohchr.org/en/instruments-mechanisms/instruments/basic-principles-and-guidelines-right-remedy-and-reparation" TargetMode="External"/><Relationship Id="rId220" Type="http://schemas.openxmlformats.org/officeDocument/2006/relationships/hyperlink" Target="https://www.strath.ac.uk/media/1newwebsite/documents/Historical_Links_to_Slavery_Report-FINAL.pdf" TargetMode="External"/><Relationship Id="rId225" Type="http://schemas.openxmlformats.org/officeDocument/2006/relationships/theme" Target="theme/theme1.xml"/><Relationship Id="rId15" Type="http://schemas.openxmlformats.org/officeDocument/2006/relationships/hyperlink" Target="https://www.iash.ed.ac.uk/profile/dr-ian-stewart" TargetMode="External"/><Relationship Id="rId36" Type="http://schemas.openxmlformats.org/officeDocument/2006/relationships/hyperlink" Target="https://www.ed.ac.uk/profile/ninifangdr" TargetMode="External"/><Relationship Id="rId57" Type="http://schemas.openxmlformats.org/officeDocument/2006/relationships/hyperlink" Target="https://www.strath.ac.uk/whystrathclyde/news/2023/reportshedslightonhistoricallinkstotransatlanticslavery/" TargetMode="External"/><Relationship Id="rId106" Type="http://schemas.openxmlformats.org/officeDocument/2006/relationships/image" Target="media/image37.png"/><Relationship Id="rId127" Type="http://schemas.openxmlformats.org/officeDocument/2006/relationships/hyperlink" Target="https://www.trg.ed.ac.uk/exhibition/accursed-share" TargetMode="External"/><Relationship Id="rId10" Type="http://schemas.openxmlformats.org/officeDocument/2006/relationships/hyperlink" Target="https://equality-diversity.ed.ac.uk/sites/default/files/2024-07/REAR%20Action%20Plan%202023.pdf" TargetMode="External"/><Relationship Id="rId31" Type="http://schemas.openxmlformats.org/officeDocument/2006/relationships/hyperlink" Target="https://www.eusa.ed.ac.uk/yourvoice/yourrepresentatives/liberationofficers" TargetMode="External"/><Relationship Id="rId52" Type="http://schemas.openxmlformats.org/officeDocument/2006/relationships/hyperlink" Target="https://slavery.virginia.edu/universities-studying-slavery/" TargetMode="External"/><Relationship Id="rId73" Type="http://schemas.openxmlformats.org/officeDocument/2006/relationships/image" Target="media/image7.png"/><Relationship Id="rId78" Type="http://schemas.openxmlformats.org/officeDocument/2006/relationships/image" Target="media/image12.png"/><Relationship Id="rId94" Type="http://schemas.openxmlformats.org/officeDocument/2006/relationships/image" Target="media/image25.png"/><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hyperlink" Target="https://blogs.ed.ac.uk/decolonise/" TargetMode="External"/><Relationship Id="rId143" Type="http://schemas.openxmlformats.org/officeDocument/2006/relationships/hyperlink" Target="https://janicetullock.co.uk/" TargetMode="External"/><Relationship Id="rId148" Type="http://schemas.openxmlformats.org/officeDocument/2006/relationships/hyperlink" Target="https://blogs.ed.ac.uk/decolonise/wp-content/uploads/sites/7804/2025/02/DTA_Correcting-Our-Collecting-Bespoke-Edinburgh-Group.pdf" TargetMode="External"/><Relationship Id="rId164" Type="http://schemas.openxmlformats.org/officeDocument/2006/relationships/hyperlink" Target="https://www.edinburgh.gov.uk/edinburghslaverycolonialism" TargetMode="External"/><Relationship Id="rId169" Type="http://schemas.openxmlformats.org/officeDocument/2006/relationships/hyperlink" Target="https://thepolyphony.org/2024/08/27/race-empire-uoe-conference-review/" TargetMode="External"/><Relationship Id="rId185" Type="http://schemas.openxmlformats.org/officeDocument/2006/relationships/hyperlink" Target="https://www.change.org/p/university-of-edinburgh-rename-david-hume-tower-at-uoe" TargetMode="External"/><Relationship Id="rId4" Type="http://schemas.openxmlformats.org/officeDocument/2006/relationships/settings" Target="settings.xml"/><Relationship Id="rId9" Type="http://schemas.openxmlformats.org/officeDocument/2006/relationships/hyperlink" Target="https://www.ed.ac.uk/files/atoms/files/uoe_race_equality_and_anti-racist_action_plan.pdf" TargetMode="External"/><Relationship Id="rId180" Type="http://schemas.openxmlformats.org/officeDocument/2006/relationships/hyperlink" Target="https://www.icc-cpi.int/news/situation-state-palestine-icc-pre-trial-chamber-i-rejects-state-israels-challenges" TargetMode="External"/><Relationship Id="rId210" Type="http://schemas.openxmlformats.org/officeDocument/2006/relationships/hyperlink" Target="https://corporate-services.ed.ac.uk/our-departments/strategic-change-service/university-initiatives-portfolio-board" TargetMode="External"/><Relationship Id="rId215" Type="http://schemas.openxmlformats.org/officeDocument/2006/relationships/hyperlink" Target="https://www.gla.ac.uk/news/archiveofnews/2018/september/headline_607154_en.html" TargetMode="External"/><Relationship Id="rId26" Type="http://schemas.openxmlformats.org/officeDocument/2006/relationships/hyperlink" Target="https://blogs.ed.ac.uk/decolonise/2024/02/08/members-bios-affected-community-members/" TargetMode="External"/><Relationship Id="rId47" Type="http://schemas.openxmlformats.org/officeDocument/2006/relationships/hyperlink" Target="https://www.ed.ac.uk/equality-diversity/edi-groups/race-equality-network-eren" TargetMode="External"/><Relationship Id="rId68" Type="http://schemas.openxmlformats.org/officeDocument/2006/relationships/hyperlink" Target="https://divinity.ed.ac.uk/news-events/public-lecture-series/gunning-lectures" TargetMode="External"/><Relationship Id="rId89" Type="http://schemas.openxmlformats.org/officeDocument/2006/relationships/image" Target="media/image20.png"/><Relationship Id="rId112" Type="http://schemas.openxmlformats.org/officeDocument/2006/relationships/image" Target="media/image43.png"/><Relationship Id="rId133" Type="http://schemas.openxmlformats.org/officeDocument/2006/relationships/hyperlink" Target="https://www.race.ed.ac.uk/podcast/" TargetMode="External"/><Relationship Id="rId154" Type="http://schemas.openxmlformats.org/officeDocument/2006/relationships/hyperlink" Target="https://eur02.safelinks.protection.outlook.com/?url=https%3A%2F%2Fwww.race.ed.ac.uk%2Fteaching%2F&amp;data=05%7C02%7C%7Ced8aa5c7378b4d5a6b9508dd50fb3160%7C2e9f06b016694589878910a06934dc61%7C0%7C0%7C638755761971245492%7CUnknown%7CTWFpbGZsb3d8eyJFbXB0eU1hcGkiOnRydWUsIlYiOiIwLjAuMDAwMCIsIlAiOiJXaW4zMiIsIkFOIjoiTWFpbCIsIldUIjoyfQ%3D%3D%7C0%7C%7C%7C&amp;sdata=Gd125k%2FHTvG9N%2Fm%2BNvSPYi%2BVvcqJjRWWXAFNu6yF6LU%3D&amp;reserved=0" TargetMode="External"/><Relationship Id="rId175" Type="http://schemas.openxmlformats.org/officeDocument/2006/relationships/hyperlink" Target="https://institute-academic-development.ed.ac.uk/learning-teaching/funding/funding/previous-projects/year/march-2021/inclusiveness-in-internationalisation" TargetMode="External"/><Relationship Id="rId196" Type="http://schemas.openxmlformats.org/officeDocument/2006/relationships/hyperlink" Target="https://www.eventbrite.co.uk/e/enslavement-brazil-and-the-gunning-lectures-tickets-1044925649747?aff=oddtdtcreator" TargetMode="External"/><Relationship Id="rId200" Type="http://schemas.openxmlformats.org/officeDocument/2006/relationships/hyperlink" Target="https://documents.manchester.ac.uk/display.aspx?DocID=51691" TargetMode="External"/><Relationship Id="rId16" Type="http://schemas.openxmlformats.org/officeDocument/2006/relationships/hyperlink" Target="https://www.iash.ed.ac.uk/profile/dr-yarong-xie" TargetMode="External"/><Relationship Id="rId221" Type="http://schemas.openxmlformats.org/officeDocument/2006/relationships/hyperlink" Target="https://research-portal.st-andrews.ac.uk/en/publications/chancellors-and-the-legacies-of-empire-at-st-andrews-1700-1900" TargetMode="External"/><Relationship Id="rId37" Type="http://schemas.openxmlformats.org/officeDocument/2006/relationships/hyperlink" Target="https://www.linkedin.com/company/african-caribbean-medical-society-edinburgh/?originalSubdomain=uk" TargetMode="External"/><Relationship Id="rId58" Type="http://schemas.openxmlformats.org/officeDocument/2006/relationships/hyperlink" Target="https://www.strath.ac.uk/whystrathclyde/news/2023/reportshedslightonhistoricallinkstotransatlanticslavery/" TargetMode="External"/><Relationship Id="rId79" Type="http://schemas.openxmlformats.org/officeDocument/2006/relationships/image" Target="media/image13.png"/><Relationship Id="rId102" Type="http://schemas.openxmlformats.org/officeDocument/2006/relationships/image" Target="media/image33.png"/><Relationship Id="rId123" Type="http://schemas.openxmlformats.org/officeDocument/2006/relationships/hyperlink" Target="https://www.thandie.art/" TargetMode="External"/><Relationship Id="rId144" Type="http://schemas.openxmlformats.org/officeDocument/2006/relationships/hyperlink" Target="https://efi.ed.ac.uk/" TargetMode="External"/><Relationship Id="rId90" Type="http://schemas.openxmlformats.org/officeDocument/2006/relationships/image" Target="media/image21.png"/><Relationship Id="rId165" Type="http://schemas.openxmlformats.org/officeDocument/2006/relationships/hyperlink" Target="https://blogs.ed.ac.uk/decolonise/2023/05/09/what-are-principles-of-participation-and-why-do-we-need-them/" TargetMode="External"/><Relationship Id="rId186" Type="http://schemas.openxmlformats.org/officeDocument/2006/relationships/hyperlink" Target="https://www.ed.ac.uk/news/2021/addressing-contemporary-and-historic-racism/statement-from-principal" TargetMode="External"/><Relationship Id="rId211" Type="http://schemas.openxmlformats.org/officeDocument/2006/relationships/hyperlink" Target="https://www.ed.ac.uk/news/2023/minority-communities-to-play-key-role-in-universit" TargetMode="External"/><Relationship Id="rId27" Type="http://schemas.openxmlformats.org/officeDocument/2006/relationships/hyperlink" Target="https://www.facebook.com/parcoeinfo/" TargetMode="External"/><Relationship Id="rId48" Type="http://schemas.openxmlformats.org/officeDocument/2006/relationships/hyperlink" Target="https://www.race.ed.ac.uk/" TargetMode="External"/><Relationship Id="rId69" Type="http://schemas.openxmlformats.org/officeDocument/2006/relationships/image" Target="media/image3.emf"/><Relationship Id="rId113" Type="http://schemas.openxmlformats.org/officeDocument/2006/relationships/image" Target="media/image44.png"/><Relationship Id="rId134" Type="http://schemas.openxmlformats.org/officeDocument/2006/relationships/hyperlink" Target="https://blogs.ed.ac.uk/decolonise/2024/01/25/community-anchor-invitation/" TargetMode="External"/><Relationship Id="rId80" Type="http://schemas.openxmlformats.org/officeDocument/2006/relationships/image" Target="media/image14.png"/><Relationship Id="rId155" Type="http://schemas.openxmlformats.org/officeDocument/2006/relationships/hyperlink" Target="https://blogs.ed.ac.uk/rigen/2022/11/28/is-there-a-tipping-point-before-we-pivot-collectively-and-decisively-for-racial-justice/" TargetMode="External"/><Relationship Id="rId176" Type="http://schemas.openxmlformats.org/officeDocument/2006/relationships/hyperlink" Target="https://www.dundee.ac.uk/corporate-information/founders-project-final-report" TargetMode="External"/><Relationship Id="rId197" Type="http://schemas.openxmlformats.org/officeDocument/2006/relationships/hyperlink" Target="https://www.imperial.ac.uk/equality/activities/history-group/" TargetMode="External"/><Relationship Id="rId201" Type="http://schemas.openxmlformats.org/officeDocument/2006/relationships/hyperlink" Target="https://www.ethnicity-facts-figures.service.gov.uk/uk-population-by-ethnicity/national-and-regional-populations/population-of-england-and-wales/latest/" TargetMode="External"/><Relationship Id="rId222" Type="http://schemas.openxmlformats.org/officeDocument/2006/relationships/hyperlink" Target="https://slavery.virginia.edu/universities-studying-slavery/" TargetMode="External"/><Relationship Id="rId17" Type="http://schemas.openxmlformats.org/officeDocument/2006/relationships/hyperlink" Target="https://www.sps.ed.ac.uk/staff/shaira-vadasaria" TargetMode="External"/><Relationship Id="rId38" Type="http://schemas.openxmlformats.org/officeDocument/2006/relationships/hyperlink" Target="https://www.thediasporaproject.co.uk/" TargetMode="External"/><Relationship Id="rId59" Type="http://schemas.openxmlformats.org/officeDocument/2006/relationships/hyperlink" Target="https://www.gla.ac.uk/media/Media_607547_smxx.pdf" TargetMode="External"/><Relationship Id="rId103" Type="http://schemas.openxmlformats.org/officeDocument/2006/relationships/image" Target="media/image34.png"/><Relationship Id="rId124" Type="http://schemas.openxmlformats.org/officeDocument/2006/relationships/hyperlink" Target="https://blogs.ed.ac.uk/decolonise/category/principles-of-participation/" TargetMode="External"/><Relationship Id="rId70" Type="http://schemas.openxmlformats.org/officeDocument/2006/relationships/image" Target="media/image4.png"/><Relationship Id="rId91" Type="http://schemas.openxmlformats.org/officeDocument/2006/relationships/image" Target="media/image22.png"/><Relationship Id="rId145" Type="http://schemas.openxmlformats.org/officeDocument/2006/relationships/hyperlink" Target="https://hackney.gov.uk/archives-collections" TargetMode="External"/><Relationship Id="rId166" Type="http://schemas.openxmlformats.org/officeDocument/2006/relationships/hyperlink" Target="https://www.cam.ac.uk/about-the-university/advisory-group-on-legacies-of-enslavement-final-report" TargetMode="External"/><Relationship Id="rId187" Type="http://schemas.openxmlformats.org/officeDocument/2006/relationships/hyperlink" Target="https://www.measuringworth.com/calculators/ukcompare" TargetMode="External"/><Relationship Id="rId1" Type="http://schemas.openxmlformats.org/officeDocument/2006/relationships/customXml" Target="../customXml/item1.xml"/><Relationship Id="rId212" Type="http://schemas.openxmlformats.org/officeDocument/2006/relationships/hyperlink" Target="https://www.ed.ac.uk/about/people/officials/chancellor" TargetMode="External"/><Relationship Id="rId28" Type="http://schemas.openxmlformats.org/officeDocument/2006/relationships/hyperlink" Target="https://www.inosaar.llc.ed.ac.uk/" TargetMode="External"/><Relationship Id="rId49" Type="http://schemas.openxmlformats.org/officeDocument/2006/relationships/hyperlink" Target="https://www.wm.edu/sites/lemonproject/" TargetMode="External"/><Relationship Id="rId114" Type="http://schemas.openxmlformats.org/officeDocument/2006/relationships/image" Target="media/image45.png"/><Relationship Id="rId60" Type="http://schemas.openxmlformats.org/officeDocument/2006/relationships/hyperlink" Target="https://www.exeter.ox.ac.uk/documents/Exeter-College-and-the-Legacies-of-Slavery-Report.pdf" TargetMode="External"/><Relationship Id="rId81" Type="http://schemas.openxmlformats.org/officeDocument/2006/relationships/image" Target="media/image15.png"/><Relationship Id="rId135" Type="http://schemas.openxmlformats.org/officeDocument/2006/relationships/hyperlink" Target="https://blogs.ed.ac.uk/decolonise/2024/01/25/community-anchor-invitation/" TargetMode="External"/><Relationship Id="rId156" Type="http://schemas.openxmlformats.org/officeDocument/2006/relationships/hyperlink" Target="https://www.ed.ac.uk/education/rke/our-research/social-justice-inclusion/rigen" TargetMode="External"/><Relationship Id="rId177" Type="http://schemas.openxmlformats.org/officeDocument/2006/relationships/hyperlink" Target="https://legacyofslavery.harvard.edu/report/legacies-of-slavery-in-scholarship-race-science" TargetMode="External"/><Relationship Id="rId198" Type="http://schemas.openxmlformats.org/officeDocument/2006/relationships/hyperlink" Target="https://www.crer.org.uk/blog/census-2022-bme-population" TargetMode="External"/><Relationship Id="rId202" Type="http://schemas.openxmlformats.org/officeDocument/2006/relationships/hyperlink" Target="https://www.ethnicity-facts-figures.service.gov.uk/uk-population-by-ethnicity/national-and-regional-populations/population-of-england-and-wales/latest/" TargetMode="External"/><Relationship Id="rId223" Type="http://schemas.openxmlformats.org/officeDocument/2006/relationships/hyperlink" Target="https://www.westlothian.gov.uk/media/8652/Engaging-Communities-Toolkit/pdf/Engaging_Communities_Toolkit.pdf?m=635694591719070000" TargetMode="External"/><Relationship Id="rId18" Type="http://schemas.openxmlformats.org/officeDocument/2006/relationships/hyperlink" Target="https://www.sps.ed.ac.uk/staff/nicola-perugini" TargetMode="External"/><Relationship Id="rId39" Type="http://schemas.openxmlformats.org/officeDocument/2006/relationships/hyperlink" Target="https://www.facebook.com/INOSAARRepAfrika/" TargetMode="External"/><Relationship Id="rId50" Type="http://schemas.openxmlformats.org/officeDocument/2006/relationships/hyperlink" Target="https://slaveryarchive.georgetown.edu/" TargetMode="External"/><Relationship Id="rId104" Type="http://schemas.openxmlformats.org/officeDocument/2006/relationships/image" Target="media/image35.png"/><Relationship Id="rId125" Type="http://schemas.openxmlformats.org/officeDocument/2006/relationships/hyperlink" Target="https://www.inosaar.llc.ed.ac.uk/" TargetMode="External"/><Relationship Id="rId146" Type="http://schemas.openxmlformats.org/officeDocument/2006/relationships/hyperlink" Target="https://www.decolonisingthearchive.com/" TargetMode="External"/><Relationship Id="rId167" Type="http://schemas.openxmlformats.org/officeDocument/2006/relationships/hyperlink" Target="https://edwebcontent.ed.ac.uk/sites/default/files/atoms/files/thematicreview2018-19-bme-students-finalreport.pdf" TargetMode="External"/><Relationship Id="rId188" Type="http://schemas.openxmlformats.org/officeDocument/2006/relationships/hyperlink" Target="https://www.bristol.ac.uk/media-library/sites/university/documents/university-of-bristol-legacies-of-slavery-report.pdf" TargetMode="External"/><Relationship Id="rId71" Type="http://schemas.openxmlformats.org/officeDocument/2006/relationships/image" Target="media/image5.png"/><Relationship Id="rId92" Type="http://schemas.openxmlformats.org/officeDocument/2006/relationships/image" Target="media/image23.png"/><Relationship Id="rId213" Type="http://schemas.openxmlformats.org/officeDocument/2006/relationships/hyperlink" Target="https://www.ed.ac.uk/news/2023/mudan-skulls" TargetMode="External"/><Relationship Id="rId2" Type="http://schemas.openxmlformats.org/officeDocument/2006/relationships/numbering" Target="numbering.xml"/><Relationship Id="rId29" Type="http://schemas.openxmlformats.org/officeDocument/2006/relationships/hyperlink" Target="https://www.crer.org.uk/" TargetMode="External"/><Relationship Id="rId40" Type="http://schemas.openxmlformats.org/officeDocument/2006/relationships/hyperlink" Target="https://www.parisc.org/" TargetMode="External"/><Relationship Id="rId115" Type="http://schemas.openxmlformats.org/officeDocument/2006/relationships/chart" Target="charts/chart1.xml"/><Relationship Id="rId136" Type="http://schemas.openxmlformats.org/officeDocument/2006/relationships/hyperlink" Target="https://blogs.ed.ac.uk/decolonise/2023/10/20/restitution-and-the-anatomical-museum-workshop/" TargetMode="External"/><Relationship Id="rId157" Type="http://schemas.openxmlformats.org/officeDocument/2006/relationships/hyperlink" Target="https://eur02.safelinks.protection.outlook.com/?url=https%3A%2F%2Fglobal.ed.ac.uk%2Funcovered&amp;data=05%7C02%7C%7Ced8aa5c7378b4d5a6b9508dd50fb3160%7C2e9f06b016694589878910a06934dc61%7C0%7C0%7C638755761971260737%7CUnknown%7CTWFpbGZsb3d8eyJFbXB0eU1hcGkiOnRydWUsIlYiOiIwLjAuMDAwMCIsIlAiOiJXaW4zMiIsIkFOIjoiTWFpbCIsIldUIjoyfQ%3D%3D%7C0%7C%7C%7C&amp;sdata=6og6fiNJpcKydV%2FBbswdV78V4CRqsJNVAt0Y1gi98Xo%3D&amp;reserved=0" TargetMode="External"/><Relationship Id="rId178" Type="http://schemas.openxmlformats.org/officeDocument/2006/relationships/hyperlink" Target="https://researchonline.lshtm.ac.uk/id/eprint/4666958/" TargetMode="External"/><Relationship Id="rId61" Type="http://schemas.openxmlformats.org/officeDocument/2006/relationships/hyperlink" Target="https://blogs.ed.ac.uk/decolonise/" TargetMode="External"/><Relationship Id="rId82" Type="http://schemas.openxmlformats.org/officeDocument/2006/relationships/hyperlink" Target="https://www.ed.ac.uk/files/atoms/files/thematicreview2018-19-bme-students-finalreport.pdf" TargetMode="External"/><Relationship Id="rId199" Type="http://schemas.openxmlformats.org/officeDocument/2006/relationships/hyperlink" Target="https://www.trg.ed.ac.uk/exhibition/accursed-share" TargetMode="External"/><Relationship Id="rId203" Type="http://schemas.openxmlformats.org/officeDocument/2006/relationships/hyperlink" Target="https://www.ethnicity-facts-figures.service.gov.uk/style-guide/writing-about-ethnicity/" TargetMode="External"/><Relationship Id="rId19" Type="http://schemas.openxmlformats.org/officeDocument/2006/relationships/hyperlink" Target="https://blogs.ed.ac.uk/decolonise/2024/02/08/members-bios-research-assistant/" TargetMode="External"/><Relationship Id="rId224" Type="http://schemas.openxmlformats.org/officeDocument/2006/relationships/fontTable" Target="fontTable.xml"/><Relationship Id="rId30" Type="http://schemas.openxmlformats.org/officeDocument/2006/relationships/hyperlink" Target="https://www.fjssgroup.org/" TargetMode="External"/><Relationship Id="rId105" Type="http://schemas.openxmlformats.org/officeDocument/2006/relationships/image" Target="media/image36.png"/><Relationship Id="rId126" Type="http://schemas.openxmlformats.org/officeDocument/2006/relationships/hyperlink" Target="https://www.runnymedetrust.org/publications/finding-common-cause-building-research-collaborations-between-universities-and-black-and-minority-ethnic-communities" TargetMode="External"/><Relationship Id="rId147" Type="http://schemas.openxmlformats.org/officeDocument/2006/relationships/hyperlink" Target="https://www.decolonisingthearchive.com/" TargetMode="External"/><Relationship Id="rId168" Type="http://schemas.openxmlformats.org/officeDocument/2006/relationships/hyperlink" Target="https://sheffieldandslavery.wordpress.com/report/" TargetMode="External"/><Relationship Id="rId51" Type="http://schemas.openxmlformats.org/officeDocument/2006/relationships/hyperlink" Target="https://legacyofslavery.harvard.edu/report" TargetMode="External"/><Relationship Id="rId72" Type="http://schemas.openxmlformats.org/officeDocument/2006/relationships/image" Target="media/image6.png"/><Relationship Id="rId93" Type="http://schemas.openxmlformats.org/officeDocument/2006/relationships/image" Target="media/image24.png"/><Relationship Id="rId189" Type="http://schemas.openxmlformats.org/officeDocument/2006/relationships/hyperlink" Target="https://www.balliol.ox.ac.uk/sites/default/files/balliol_and_the_proceeds_of_slavery_-_project_report.pdf"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www.dundee.ac.uk/corporate-information/founders-project-final-report" TargetMode="External"/><Relationship Id="rId21" Type="http://schemas.openxmlformats.org/officeDocument/2006/relationships/hyperlink" Target="https://www.nottingham.ac.uk/edi/documents/nottinghams-universities-and-historical-slavery-report.pdf" TargetMode="External"/><Relationship Id="rId42" Type="http://schemas.openxmlformats.org/officeDocument/2006/relationships/hyperlink" Target="https://exhibitions.ed.ac.uk/exhibitions/dreams-of-darien/" TargetMode="External"/><Relationship Id="rId47" Type="http://schemas.openxmlformats.org/officeDocument/2006/relationships/hyperlink" Target="https://www.ed.ac.uk/about/people/officials/chancellor" TargetMode="External"/><Relationship Id="rId63" Type="http://schemas.openxmlformats.org/officeDocument/2006/relationships/hyperlink" Target="https://anatomicalmuseum.wordpress.com/2021/05/25/collections-uncovered-omdurman-battlefield-skulls/" TargetMode="External"/><Relationship Id="rId68" Type="http://schemas.openxmlformats.org/officeDocument/2006/relationships/hyperlink" Target="https://www.ed.ac.uk/files/atoms/files/strategy-2030.pdf" TargetMode="External"/><Relationship Id="rId7" Type="http://schemas.openxmlformats.org/officeDocument/2006/relationships/hyperlink" Target="https://www.change.org/p/university-of-edinburgh-rename-david-hume-tower-at-uoe" TargetMode="External"/><Relationship Id="rId2" Type="http://schemas.openxmlformats.org/officeDocument/2006/relationships/hyperlink" Target="https://edwebcontent.ed.ac.uk/sites/default/files/atoms/files/uoe_race_equality_and_anti-racist_action_plan.pdf" TargetMode="External"/><Relationship Id="rId16" Type="http://schemas.openxmlformats.org/officeDocument/2006/relationships/hyperlink" Target="https://www.nms.ac.uk/collections-research/collections-departments/scottish-history-and-archaeology/projects/the-matter-of-slavery-in-scotland/" TargetMode="External"/><Relationship Id="rId29" Type="http://schemas.openxmlformats.org/officeDocument/2006/relationships/hyperlink" Target="https://documents.manchester.ac.uk/display.aspx?DocID=51691" TargetMode="External"/><Relationship Id="rId11" Type="http://schemas.openxmlformats.org/officeDocument/2006/relationships/hyperlink" Target="https://www.ucl.ac.uk/lbs/" TargetMode="External"/><Relationship Id="rId24" Type="http://schemas.openxmlformats.org/officeDocument/2006/relationships/hyperlink" Target="https://www.bristol.ac.uk/media-library/sites/university/documents/university-of-bristol-legacies-of-slavery-report.pdf" TargetMode="External"/><Relationship Id="rId32" Type="http://schemas.openxmlformats.org/officeDocument/2006/relationships/hyperlink" Target="https://www.balliol.ox.ac.uk/sites/default/files/balliol_and_the_proceeds_of_slavery_-_project_report.pdf" TargetMode="External"/><Relationship Id="rId37" Type="http://schemas.openxmlformats.org/officeDocument/2006/relationships/hyperlink" Target="https://edwebcontent.ed.ac.uk/sites/default/files/atoms/files/thematicreview2018-19-bme-students-finalreport.pdf" TargetMode="External"/><Relationship Id="rId40" Type="http://schemas.openxmlformats.org/officeDocument/2006/relationships/hyperlink" Target="https://doi.org/10.7488/ds/7844" TargetMode="External"/><Relationship Id="rId45" Type="http://schemas.openxmlformats.org/officeDocument/2006/relationships/hyperlink" Target="https://www.eventbrite.co.uk/e/enslavement-brazil-and-the-gunning-lectures-tickets-1044925649747?aff=oddtdtcreator" TargetMode="External"/><Relationship Id="rId53" Type="http://schemas.openxmlformats.org/officeDocument/2006/relationships/hyperlink" Target="https://www.ethnicity-facts-figures.service.gov.uk/uk-population-by-ethnicity/national-and-regional-populations/population-of-england-and-wales/latest/" TargetMode="External"/><Relationship Id="rId58" Type="http://schemas.openxmlformats.org/officeDocument/2006/relationships/hyperlink" Target="https://www.westlothian.gov.uk/media/8652/Engaging-Communities-Toolkit/pdf/Engaging_Communities_Toolkit.pdf?m=635694591719070000" TargetMode="External"/><Relationship Id="rId66" Type="http://schemas.openxmlformats.org/officeDocument/2006/relationships/hyperlink" Target="https://janicetullock.co.uk/" TargetMode="External"/><Relationship Id="rId5" Type="http://schemas.openxmlformats.org/officeDocument/2006/relationships/hyperlink" Target="https://blogs.ed.ac.uk/decolonise/category/the-team/" TargetMode="External"/><Relationship Id="rId61" Type="http://schemas.openxmlformats.org/officeDocument/2006/relationships/hyperlink" Target="https://www.ed.ac.uk/news/2023/minority-communities-to-play-key-role-in-universit" TargetMode="External"/><Relationship Id="rId19" Type="http://schemas.openxmlformats.org/officeDocument/2006/relationships/hyperlink" Target="https://www.edinburgh.gov.uk/edinburghslaverycolonialism" TargetMode="External"/><Relationship Id="rId14" Type="http://schemas.openxmlformats.org/officeDocument/2006/relationships/hyperlink" Target="https://www.theguardian.com/news/2023/mar/28/the-guardian-and-slavery-what-did-the-research-find-and-what-happens-next" TargetMode="External"/><Relationship Id="rId22" Type="http://schemas.openxmlformats.org/officeDocument/2006/relationships/hyperlink" Target="https://www.durham.ac.uk/about-us/professional-services/equality-diversity-inclusion/strategy/race-equality/library-and-collections-/" TargetMode="External"/><Relationship Id="rId27" Type="http://schemas.openxmlformats.org/officeDocument/2006/relationships/hyperlink" Target="https://www.strath.ac.uk/media/1newwebsite/documents/Historical_Links_to_Slavery_Report-FINAL.pdf" TargetMode="External"/><Relationship Id="rId30" Type="http://schemas.openxmlformats.org/officeDocument/2006/relationships/hyperlink" Target="https://sites.manchester.ac.uk/salc-making-a-difference/2021/08/18/exploring-the-legacies-of-slavery-and-colonialism-at-the-university-of-manchester/" TargetMode="External"/><Relationship Id="rId35" Type="http://schemas.openxmlformats.org/officeDocument/2006/relationships/hyperlink" Target="https://researchonline.lshtm.ac.uk/id/eprint/4666958/" TargetMode="External"/><Relationship Id="rId43" Type="http://schemas.openxmlformats.org/officeDocument/2006/relationships/hyperlink" Target="https://thepolyphony.org/2024/08/27/race-empire-uoe-conference-review/" TargetMode="External"/><Relationship Id="rId48" Type="http://schemas.openxmlformats.org/officeDocument/2006/relationships/hyperlink" Target="https://mondoweiss.net/2023/09/how-britain-broke-international-law-to-stop-palestinian-independence-100-years-ago/" TargetMode="External"/><Relationship Id="rId56" Type="http://schemas.openxmlformats.org/officeDocument/2006/relationships/hyperlink" Target="https://blogs.ed.ac.uk/decolonise/2023/11/13/questionnaire-to&#8230;iences-of-racism/" TargetMode="External"/><Relationship Id="rId64" Type="http://schemas.openxmlformats.org/officeDocument/2006/relationships/hyperlink" Target="https://www.praler.net/post/global-citizenship-education-for-planet-repairs-action-gcepra-ghana-in-planet-repairs-action-dia" TargetMode="External"/><Relationship Id="rId69" Type="http://schemas.openxmlformats.org/officeDocument/2006/relationships/hyperlink" Target="https://institute-academic-development.ed.ac.uk/learning-teaching/funding/funding/previous-projects/year/march-2021/inclusiveness-in-internationalisation" TargetMode="External"/><Relationship Id="rId8" Type="http://schemas.openxmlformats.org/officeDocument/2006/relationships/hyperlink" Target="https://slavery.virginia.edu/universities-studying-slavery/" TargetMode="External"/><Relationship Id="rId51" Type="http://schemas.openxmlformats.org/officeDocument/2006/relationships/hyperlink" Target="https://www.icc-cpi.int/news/situation-state-palestine-icc-pre-trial-chamber-i-rejects-state-israels-challenges" TargetMode="External"/><Relationship Id="rId3" Type="http://schemas.openxmlformats.org/officeDocument/2006/relationships/hyperlink" Target="https://equality-diversity.ed.ac.uk/sites/default/files/2024-07/REAR%20Action%20Plan%202023.pdf" TargetMode="External"/><Relationship Id="rId12" Type="http://schemas.openxmlformats.org/officeDocument/2006/relationships/hyperlink" Target="https://www.kings.cam.ac.uk/news/2019/kings-college-research-slavery-past-and-present" TargetMode="External"/><Relationship Id="rId17" Type="http://schemas.openxmlformats.org/officeDocument/2006/relationships/hyperlink" Target="https://www.churchofengland.org/about/leadership-and-governance/church-commissioners-england/who-we-are/church-commissioners-links" TargetMode="External"/><Relationship Id="rId25" Type="http://schemas.openxmlformats.org/officeDocument/2006/relationships/hyperlink" Target="https://www.abdn.ac.uk/about/strategy-and-governance/legacies-of-slavery/" TargetMode="External"/><Relationship Id="rId33" Type="http://schemas.openxmlformats.org/officeDocument/2006/relationships/hyperlink" Target="https://www.cam.ac.uk/about-the-university/advisory-group-on-legacies-of-enslavement-final-report" TargetMode="External"/><Relationship Id="rId38" Type="http://schemas.openxmlformats.org/officeDocument/2006/relationships/hyperlink" Target="https://www.ohchr.org/en/instruments-mechanisms/instruments/basic-principles-and-guidelines-right-remedy-and-reparation" TargetMode="External"/><Relationship Id="rId46" Type="http://schemas.openxmlformats.org/officeDocument/2006/relationships/hyperlink" Target="https://eur02.safelinks.protection.outlook.com/?url=https%3A%2F%2Fwww.icj-cij.org%2Fsites%2Fdefault%2Ffiles%2Fcase-related%2F192%2F192-20240126-ord-01-00-en.pdf&amp;data=05%7C02%7C%7C8cbebafbba2e44d00a1e08dd2022e1e3%7C2e9f06b016694589878910a06934dc61%7C0%7C0%7C638702056373989186%7CUnknown%7CTWFpbGZsb3d8eyJFbXB0eU1hcGkiOnRydWUsIlYiOiIwLjAuMDAwMCIsIlAiOiJXaW4zMiIsIkFOIjoiTWFpbCIsIldUIjoyfQ%3D%3D%7C0%7C%7C%7C&amp;sdata=6j4l3rkHma%2BZy17peNlbKnVauaGKbKEWhQ%2B%2FcB3yorM%3D&amp;reserved=0" TargetMode="External"/><Relationship Id="rId59" Type="http://schemas.openxmlformats.org/officeDocument/2006/relationships/hyperlink" Target="https://www.inosaar.llc.ed.ac.uk/sites/default/files/atoms/files/principles_of_participation_jul_2021.pdf" TargetMode="External"/><Relationship Id="rId67" Type="http://schemas.openxmlformats.org/officeDocument/2006/relationships/hyperlink" Target="https://histanthro.org/notes/decolonizing-or-recolonizing/" TargetMode="External"/><Relationship Id="rId20" Type="http://schemas.openxmlformats.org/officeDocument/2006/relationships/hyperlink" Target="https://sheffieldandslavery.wordpress.com/report/" TargetMode="External"/><Relationship Id="rId41" Type="http://schemas.openxmlformats.org/officeDocument/2006/relationships/hyperlink" Target="https://www.measuringworth.com/calculators/ukcompare" TargetMode="External"/><Relationship Id="rId54" Type="http://schemas.openxmlformats.org/officeDocument/2006/relationships/hyperlink" Target="https://www.ethnicity-facts-figures.service.gov.uk/uk-population-by-ethnicity/national-and-regional-populations/population-of-england-and-wales/latest/" TargetMode="External"/><Relationship Id="rId62" Type="http://schemas.openxmlformats.org/officeDocument/2006/relationships/hyperlink" Target="https://www.ed.ac.uk/news/2023/mudan-skulls" TargetMode="External"/><Relationship Id="rId70" Type="http://schemas.openxmlformats.org/officeDocument/2006/relationships/hyperlink" Target="https://corporate-services.ed.ac.uk/our-departments/strategic-change-service/university-initiatives-portfolio-board" TargetMode="External"/><Relationship Id="rId1" Type="http://schemas.openxmlformats.org/officeDocument/2006/relationships/hyperlink" Target="https://www.ed.ac.uk/news/2021/addressing-contemporary-and-historic-racism/statement-from-principal" TargetMode="External"/><Relationship Id="rId6" Type="http://schemas.openxmlformats.org/officeDocument/2006/relationships/hyperlink" Target="https://www.un.org/en/observances/decade-people-african-descent" TargetMode="External"/><Relationship Id="rId15" Type="http://schemas.openxmlformats.org/officeDocument/2006/relationships/hyperlink" Target="https://www.museumsassociation.org/museums-journal/news/2023/06/fitzwilliam-museum-explores-founders-links-to-slavery-in-new-exhibition/" TargetMode="External"/><Relationship Id="rId23" Type="http://schemas.openxmlformats.org/officeDocument/2006/relationships/hyperlink" Target="https://www.imperial.ac.uk/equality/activities/history-group/" TargetMode="External"/><Relationship Id="rId28" Type="http://schemas.openxmlformats.org/officeDocument/2006/relationships/hyperlink" Target="https://research-portal.st-andrews.ac.uk/en/publications/chancellors-and-the-legacies-of-empire-at-st-andrews-1700-1900" TargetMode="External"/><Relationship Id="rId36" Type="http://schemas.openxmlformats.org/officeDocument/2006/relationships/hyperlink" Target="https://www.historicenvironment.scot/archives-and-research/publications/publication/?publicationId=e192ea9f-0d7e-4745-b499-b0fb010a167a" TargetMode="External"/><Relationship Id="rId49" Type="http://schemas.openxmlformats.org/officeDocument/2006/relationships/hyperlink" Target="https://www.un.org/unispal/document/auto-insert-204352/" TargetMode="External"/><Relationship Id="rId57" Type="http://schemas.openxmlformats.org/officeDocument/2006/relationships/hyperlink" Target="https://blogs.ed.ac.uk/decolonise/2023/11/13/information-shee&#8230;s-racial-climate/" TargetMode="External"/><Relationship Id="rId10" Type="http://schemas.openxmlformats.org/officeDocument/2006/relationships/hyperlink" Target="https://www.liverpool.ac.uk/csis/about-us/" TargetMode="External"/><Relationship Id="rId31" Type="http://schemas.openxmlformats.org/officeDocument/2006/relationships/hyperlink" Target="https://www.strath.ac.uk/whystrathclyde/news/2023/reportshedslightonhistoricallinkstotransatlanticslavery/" TargetMode="External"/><Relationship Id="rId44" Type="http://schemas.openxmlformats.org/officeDocument/2006/relationships/hyperlink" Target="https://thepolyphony.org/2024/08/27/race-empire-uoe-conference-review/" TargetMode="External"/><Relationship Id="rId52" Type="http://schemas.openxmlformats.org/officeDocument/2006/relationships/hyperlink" Target="https://www.ethnicity-facts-figures.service.gov.uk/style-guide/writing-about-ethnicity/" TargetMode="External"/><Relationship Id="rId60" Type="http://schemas.openxmlformats.org/officeDocument/2006/relationships/hyperlink" Target="https://uoe-my.sharepoint.com/:x:/g/personal/slikonde_ed_ac_uk/EeFjCUrdfYpCjYit4aS3oQcBa7M74dAE8uMp-bLSTRpM5Q?e=JCu5Uh" TargetMode="External"/><Relationship Id="rId65" Type="http://schemas.openxmlformats.org/officeDocument/2006/relationships/hyperlink" Target="https://efi.ed.ac.uk/" TargetMode="External"/><Relationship Id="rId4" Type="http://schemas.openxmlformats.org/officeDocument/2006/relationships/hyperlink" Target="https://blogs.ed.ac.uk/decolonise/category/the-team/" TargetMode="External"/><Relationship Id="rId9" Type="http://schemas.openxmlformats.org/officeDocument/2006/relationships/hyperlink" Target="https://www.gla.ac.uk/news/archiveofnews/2018/september/headline_607154_en.html" TargetMode="External"/><Relationship Id="rId13" Type="http://schemas.openxmlformats.org/officeDocument/2006/relationships/hyperlink" Target="https://www.nationaltrust.org.uk/who-we-are/research/addressing-our-histories-of-colonialism-and-historic-slavery" TargetMode="External"/><Relationship Id="rId18" Type="http://schemas.openxmlformats.org/officeDocument/2006/relationships/hyperlink" Target="https://www.churchofscotland.org.uk/news-and-events/news/articles/the-church-and-the-legacies-of-slavery" TargetMode="External"/><Relationship Id="rId39" Type="http://schemas.openxmlformats.org/officeDocument/2006/relationships/hyperlink" Target="https://www.legislation.gov.uk/uksi/1971/1849/contents/made" TargetMode="External"/><Relationship Id="rId34" Type="http://schemas.openxmlformats.org/officeDocument/2006/relationships/hyperlink" Target="https://legacyofslavery.harvard.edu/report/legacies-of-slavery-in-scholarship-race-science" TargetMode="External"/><Relationship Id="rId50" Type="http://schemas.openxmlformats.org/officeDocument/2006/relationships/hyperlink" Target="https://www.ed.ac.uk/about/people/plaques/geddes" TargetMode="External"/><Relationship Id="rId55" Type="http://schemas.openxmlformats.org/officeDocument/2006/relationships/hyperlink" Target="https://www.crer.org.uk/blog/census-2022-bme-populat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108008938955098"/>
          <c:y val="0.16560220707235876"/>
          <c:w val="0.57678115091104942"/>
          <c:h val="0.75687588572195252"/>
        </c:manualLayout>
      </c:layout>
      <c:barChart>
        <c:barDir val="bar"/>
        <c:grouping val="clustered"/>
        <c:varyColors val="0"/>
        <c:ser>
          <c:idx val="0"/>
          <c:order val="0"/>
          <c:tx>
            <c:strRef>
              <c:f>Sheet1!$B$1:$B$2</c:f>
              <c:strCache>
                <c:ptCount val="2"/>
                <c:pt idx="0">
                  <c:v>Number of participants</c:v>
                </c:pt>
                <c:pt idx="1">
                  <c:v>latest experience </c:v>
                </c:pt>
              </c:strCache>
            </c:strRef>
          </c:tx>
          <c:spPr>
            <a:solidFill>
              <a:srgbClr val="33CCCC"/>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Challenging the actor(s) or requesting an explanation from them</c:v>
                </c:pt>
                <c:pt idx="1">
                  <c:v>Accepting the situation, and keeping it to myself</c:v>
                </c:pt>
                <c:pt idx="2">
                  <c:v>Ignoring or forgetting it</c:v>
                </c:pt>
                <c:pt idx="3">
                  <c:v>Speaking to a trusted member of staff or colleague</c:v>
                </c:pt>
                <c:pt idx="4">
                  <c:v>Reporting it to the police</c:v>
                </c:pt>
                <c:pt idx="5">
                  <c:v>Telling families/friends about it</c:v>
                </c:pt>
                <c:pt idx="6">
                  <c:v>Avoiding the area(s) or similar situation(s)</c:v>
                </c:pt>
              </c:strCache>
            </c:strRef>
          </c:cat>
          <c:val>
            <c:numRef>
              <c:f>Sheet1!$B$3:$B$9</c:f>
              <c:numCache>
                <c:formatCode>General</c:formatCode>
                <c:ptCount val="7"/>
                <c:pt idx="0">
                  <c:v>117</c:v>
                </c:pt>
                <c:pt idx="1">
                  <c:v>123</c:v>
                </c:pt>
                <c:pt idx="2">
                  <c:v>130</c:v>
                </c:pt>
                <c:pt idx="3">
                  <c:v>69</c:v>
                </c:pt>
                <c:pt idx="4">
                  <c:v>17</c:v>
                </c:pt>
                <c:pt idx="5">
                  <c:v>219</c:v>
                </c:pt>
                <c:pt idx="6">
                  <c:v>137</c:v>
                </c:pt>
              </c:numCache>
            </c:numRef>
          </c:val>
          <c:extLst>
            <c:ext xmlns:c16="http://schemas.microsoft.com/office/drawing/2014/chart" uri="{C3380CC4-5D6E-409C-BE32-E72D297353CC}">
              <c16:uniqueId val="{00000000-A34B-AD44-969A-31AE12BAAAF0}"/>
            </c:ext>
          </c:extLst>
        </c:ser>
        <c:ser>
          <c:idx val="1"/>
          <c:order val="1"/>
          <c:tx>
            <c:strRef>
              <c:f>Sheet1!$C$1:$C$2</c:f>
              <c:strCache>
                <c:ptCount val="2"/>
                <c:pt idx="0">
                  <c:v>Number of participants</c:v>
                </c:pt>
                <c:pt idx="1">
                  <c:v>in general</c:v>
                </c:pt>
              </c:strCache>
            </c:strRef>
          </c:tx>
          <c:spPr>
            <a:solidFill>
              <a:srgbClr val="FF66CC"/>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Sheet1!$A$3:$A$9</c:f>
              <c:strCache>
                <c:ptCount val="7"/>
                <c:pt idx="0">
                  <c:v>Challenging the actor(s) or requesting an explanation from them</c:v>
                </c:pt>
                <c:pt idx="1">
                  <c:v>Accepting the situation, and keeping it to myself</c:v>
                </c:pt>
                <c:pt idx="2">
                  <c:v>Ignoring or forgetting it</c:v>
                </c:pt>
                <c:pt idx="3">
                  <c:v>Speaking to a trusted member of staff or colleague</c:v>
                </c:pt>
                <c:pt idx="4">
                  <c:v>Reporting it to the police</c:v>
                </c:pt>
                <c:pt idx="5">
                  <c:v>Telling families/friends about it</c:v>
                </c:pt>
                <c:pt idx="6">
                  <c:v>Avoiding the area(s) or similar situation(s)</c:v>
                </c:pt>
              </c:strCache>
            </c:strRef>
          </c:cat>
          <c:val>
            <c:numRef>
              <c:f>Sheet1!$C$3:$C$9</c:f>
              <c:numCache>
                <c:formatCode>General</c:formatCode>
                <c:ptCount val="7"/>
                <c:pt idx="0">
                  <c:v>133</c:v>
                </c:pt>
                <c:pt idx="1">
                  <c:v>142</c:v>
                </c:pt>
                <c:pt idx="2">
                  <c:v>159</c:v>
                </c:pt>
                <c:pt idx="3">
                  <c:v>86</c:v>
                </c:pt>
                <c:pt idx="4">
                  <c:v>28</c:v>
                </c:pt>
                <c:pt idx="5">
                  <c:v>242</c:v>
                </c:pt>
                <c:pt idx="6">
                  <c:v>170</c:v>
                </c:pt>
              </c:numCache>
            </c:numRef>
          </c:val>
          <c:extLst>
            <c:ext xmlns:c16="http://schemas.microsoft.com/office/drawing/2014/chart" uri="{C3380CC4-5D6E-409C-BE32-E72D297353CC}">
              <c16:uniqueId val="{00000001-A34B-AD44-969A-31AE12BAAAF0}"/>
            </c:ext>
          </c:extLst>
        </c:ser>
        <c:dLbls>
          <c:dLblPos val="inEnd"/>
          <c:showLegendKey val="0"/>
          <c:showVal val="1"/>
          <c:showCatName val="0"/>
          <c:showSerName val="0"/>
          <c:showPercent val="0"/>
          <c:showBubbleSize val="0"/>
        </c:dLbls>
        <c:gapWidth val="182"/>
        <c:axId val="1049381056"/>
        <c:axId val="1049377728"/>
      </c:barChart>
      <c:catAx>
        <c:axId val="1049381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049377728"/>
        <c:crosses val="autoZero"/>
        <c:auto val="1"/>
        <c:lblAlgn val="ctr"/>
        <c:lblOffset val="100"/>
        <c:noMultiLvlLbl val="0"/>
      </c:catAx>
      <c:valAx>
        <c:axId val="1049377728"/>
        <c:scaling>
          <c:orientation val="minMax"/>
          <c:max val="25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049381056"/>
        <c:crosses val="autoZero"/>
        <c:crossBetween val="between"/>
      </c:valAx>
      <c:spPr>
        <a:noFill/>
        <a:ln>
          <a:noFill/>
        </a:ln>
        <a:effectLst/>
      </c:spPr>
    </c:plotArea>
    <c:legend>
      <c:legendPos val="b"/>
      <c:layout>
        <c:manualLayout>
          <c:xMode val="edge"/>
          <c:yMode val="edge"/>
          <c:x val="0.59371737965679072"/>
          <c:y val="0"/>
          <c:w val="0.37681579795718184"/>
          <c:h val="0.13057099746589648"/>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sz="105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2CA8360A-0085-4FDF-9FA1-AE17DFD738DD}">
    <t:Anchor>
      <t:Comment id="1681026531"/>
    </t:Anchor>
    <t:History>
      <t:Event id="{7AAD090E-844C-409D-9757-5183D0E6EDCC}" time="2024-02-02T17:58:09.535Z">
        <t:Attribution userId="S::nfrith@ed.ac.uk::03ce252d-8d30-4f83-b41b-d58f12661697" userProvider="AD" userName="Nicki Frith"/>
        <t:Anchor>
          <t:Comment id="1681026531"/>
        </t:Anchor>
        <t:Create/>
      </t:Event>
      <t:Event id="{B053B7AD-15B1-4FEF-859B-5C2C19AD7E4E}" time="2024-02-02T17:58:09.535Z">
        <t:Attribution userId="S::nfrith@ed.ac.uk::03ce252d-8d30-4f83-b41b-d58f12661697" userProvider="AD" userName="Nicki Frith"/>
        <t:Anchor>
          <t:Comment id="1681026531"/>
        </t:Anchor>
        <t:Assign userId="S::istewar3@ed.ac.uk::d8b2c78d-1c46-46d3-97c0-fe78f77c7f89" userProvider="AD" userName="Ian Stewart"/>
      </t:Event>
      <t:Event id="{FD6A627F-7AE4-4155-853A-13663DB06330}" time="2024-02-02T17:58:09.535Z">
        <t:Attribution userId="S::nfrith@ed.ac.uk::03ce252d-8d30-4f83-b41b-d58f12661697" userProvider="AD" userName="Nicki Frith"/>
        <t:Anchor>
          <t:Comment id="1681026531"/>
        </t:Anchor>
        <t:SetTitle title="Add a short section on future research for the project @Ian Stewart"/>
      </t:Event>
      <t:Event id="{817110B3-2D8B-4C07-8203-861982FC62ED}" time="2024-02-02T19:05:38.705Z">
        <t:Attribution userId="S::nfrith@ed.ac.uk::03ce252d-8d30-4f83-b41b-d58f12661697" userProvider="AD" userName="Nicki Frith"/>
        <t:Progress percentComplete="100"/>
      </t:Event>
    </t:History>
  </t:Task>
  <t:Task id="{2D6BD58C-3FF9-4201-847D-E60C85F2B15B}">
    <t:Anchor>
      <t:Comment id="1809622177"/>
    </t:Anchor>
    <t:History>
      <t:Event id="{399C153C-D1BA-40A4-9F5E-E432A73900E1}" time="2024-02-02T17:42:53.879Z">
        <t:Attribution userId="S::nfrith@ed.ac.uk::03ce252d-8d30-4f83-b41b-d58f12661697" userProvider="AD" userName="Nicki Frith"/>
        <t:Anchor>
          <t:Comment id="1800967712"/>
        </t:Anchor>
        <t:Create/>
      </t:Event>
      <t:Event id="{462E5D85-8EAF-4405-93F9-769C15FE31EF}" time="2024-02-02T17:42:53.879Z">
        <t:Attribution userId="S::nfrith@ed.ac.uk::03ce252d-8d30-4f83-b41b-d58f12661697" userProvider="AD" userName="Nicki Frith"/>
        <t:Anchor>
          <t:Comment id="1800967712"/>
        </t:Anchor>
        <t:Assign userId="S::obolarin@ed.ac.uk::d10eeee4-0ccc-4a10-9944-ef2745bf81ba" userProvider="AD" userName="Obasanjo Bolarinwa"/>
      </t:Event>
      <t:Event id="{A07AB222-A8D6-4B84-84A4-028C29D9BB9F}" time="2024-02-02T17:42:53.879Z">
        <t:Attribution userId="S::nfrith@ed.ac.uk::03ce252d-8d30-4f83-b41b-d58f12661697" userProvider="AD" userName="Nicki Frith"/>
        <t:Anchor>
          <t:Comment id="1800967712"/>
        </t:Anchor>
        <t:SetTitle title="@Obasanjo Bolarinwa"/>
      </t:Event>
    </t:History>
  </t:Task>
  <t:Task id="{B09A4C1D-9388-46D1-8A6D-A0BCD7F66DC2}">
    <t:Anchor>
      <t:Comment id="355707544"/>
    </t:Anchor>
    <t:History>
      <t:Event id="{2ED4D6AE-121D-4A63-9B21-395F051C43E4}" time="2024-02-05T12:46:42.04Z">
        <t:Attribution userId="S::nfrith@ed.ac.uk::03ce252d-8d30-4f83-b41b-d58f12661697" userProvider="AD" userName="Nicki Frith"/>
        <t:Anchor>
          <t:Comment id="355707544"/>
        </t:Anchor>
        <t:Create/>
      </t:Event>
      <t:Event id="{08C4EA4C-F7EA-4F57-8AE8-207DD2E17B33}" time="2024-02-05T12:46:42.04Z">
        <t:Attribution userId="S::nfrith@ed.ac.uk::03ce252d-8d30-4f83-b41b-d58f12661697" userProvider="AD" userName="Nicki Frith"/>
        <t:Anchor>
          <t:Comment id="355707544"/>
        </t:Anchor>
        <t:Assign userId="S::svadasar@ed.ac.uk::9ec7f118-9b93-4e78-a8d0-3e9a852fb5c0" userProvider="AD" userName="Shaira Vadasaria"/>
      </t:Event>
      <t:Event id="{954A4C96-16BF-4F7A-BC38-1768CE4626C4}" time="2024-02-05T12:46:42.04Z">
        <t:Attribution userId="S::nfrith@ed.ac.uk::03ce252d-8d30-4f83-b41b-d58f12661697" userProvider="AD" userName="Nicki Frith"/>
        <t:Anchor>
          <t:Comment id="355707544"/>
        </t:Anchor>
        <t:SetTitle title="@Shaira Vadasaria @Nicola Perugini"/>
      </t:Event>
    </t:History>
  </t:Task>
  <t:Task id="{BAAB45FD-4206-447C-8D71-EF0C1FC29BEA}">
    <t:Anchor>
      <t:Comment id="1596301656"/>
    </t:Anchor>
    <t:History>
      <t:Event id="{9A145451-EEC3-4780-8F5C-8700737950EF}" time="2024-02-05T10:43:03.45Z">
        <t:Attribution userId="S::istewar3@ed.ac.uk::d8b2c78d-1c46-46d3-97c0-fe78f77c7f89" userProvider="AD" userName="Ian Stewart"/>
        <t:Anchor>
          <t:Comment id="1596301656"/>
        </t:Anchor>
        <t:Create/>
      </t:Event>
      <t:Event id="{207266E9-85F8-4A3D-8067-74D5CD83DBBB}" time="2024-02-05T10:43:03.45Z">
        <t:Attribution userId="S::istewar3@ed.ac.uk::d8b2c78d-1c46-46d3-97c0-fe78f77c7f89" userProvider="AD" userName="Ian Stewart"/>
        <t:Anchor>
          <t:Comment id="1596301656"/>
        </t:Anchor>
        <t:Assign userId="S::nfrith@ed.ac.uk::03ce252d-8d30-4f83-b41b-d58f12661697" userProvider="AD" userName="Nicki Frith"/>
      </t:Event>
      <t:Event id="{FD3A0679-E519-448D-80FF-E3A0A21ADA61}" time="2024-02-05T10:43:03.45Z">
        <t:Attribution userId="S::istewar3@ed.ac.uk::d8b2c78d-1c46-46d3-97c0-fe78f77c7f89" userProvider="AD" userName="Ian Stewart"/>
        <t:Anchor>
          <t:Comment id="1596301656"/>
        </t:Anchor>
        <t:SetTitle title="I've made a slight change here @Nicki Frith , to fix the syntax. I think the meaning remains the same but please adjust accordingly"/>
      </t:Event>
    </t:History>
  </t:Task>
  <t:Task id="{07925855-F5C0-45E6-85A4-0FC170E42DC5}">
    <t:Anchor>
      <t:Comment id="1677182168"/>
    </t:Anchor>
    <t:History>
      <t:Event id="{102B63E8-BC31-4D06-89E4-0ABB660C6C2E}" time="2024-02-05T10:30:22.931Z">
        <t:Attribution userId="S::nfrith@ed.ac.uk::03ce252d-8d30-4f83-b41b-d58f12661697" userProvider="AD" userName="Nicki Frith"/>
        <t:Anchor>
          <t:Comment id="1677182168"/>
        </t:Anchor>
        <t:Create/>
      </t:Event>
      <t:Event id="{2E4D216B-F8C8-4EB1-A2FD-42515DBCA09C}" time="2024-02-05T10:30:22.931Z">
        <t:Attribution userId="S::nfrith@ed.ac.uk::03ce252d-8d30-4f83-b41b-d58f12661697" userProvider="AD" userName="Nicki Frith"/>
        <t:Anchor>
          <t:Comment id="1677182168"/>
        </t:Anchor>
        <t:Assign userId="S::ofakunle@ed.ac.uk::6184d3f5-2fc1-42bc-90a7-90b3a84a7fc9" userProvider="AD" userName="Omolabake Fakunle"/>
      </t:Event>
      <t:Event id="{976A2ED9-5D55-4790-A7F0-19D8DF42FA72}" time="2024-02-05T10:30:22.931Z">
        <t:Attribution userId="S::nfrith@ed.ac.uk::03ce252d-8d30-4f83-b41b-d58f12661697" userProvider="AD" userName="Nicki Frith"/>
        <t:Anchor>
          <t:Comment id="1677182168"/>
        </t:Anchor>
        <t:SetTitle title="@Omolabake Fakunle Hi Labake. Following our discussions last week, am i ok to name drop you here? Could you adjust your official title please? Is there anything else you would like to add?"/>
      </t:Event>
      <t:Event id="{53F4C456-971E-424D-8248-D488AE4D53E8}" time="2024-02-05T12:17:09.672Z">
        <t:Attribution userId="S::nfrith@ed.ac.uk::03ce252d-8d30-4f83-b41b-d58f12661697" userProvider="AD" userName="Nicki Frith"/>
        <t:Progress percentComplete="100"/>
      </t:Event>
    </t:History>
  </t:Task>
  <t:Task id="{9AA89FC2-22AE-45E2-95B1-84B3D745AB71}">
    <t:Anchor>
      <t:Comment id="1023764091"/>
    </t:Anchor>
    <t:History>
      <t:Event id="{C35BF9F2-5553-4F80-BA74-D4519280CAF9}" time="2024-02-05T12:48:09.869Z">
        <t:Attribution userId="S::nfrith@ed.ac.uk::03ce252d-8d30-4f83-b41b-d58f12661697" userProvider="AD" userName="Nicki Frith"/>
        <t:Anchor>
          <t:Comment id="1023764091"/>
        </t:Anchor>
        <t:Create/>
      </t:Event>
      <t:Event id="{A32A8B11-2B12-4BAD-ACED-D576F70C2B3C}" time="2024-02-05T12:48:09.869Z">
        <t:Attribution userId="S::nfrith@ed.ac.uk::03ce252d-8d30-4f83-b41b-d58f12661697" userProvider="AD" userName="Nicki Frith"/>
        <t:Anchor>
          <t:Comment id="1023764091"/>
        </t:Anchor>
        <t:Assign userId="S::svadasar@ed.ac.uk::9ec7f118-9b93-4e78-a8d0-3e9a852fb5c0" userProvider="AD" userName="Shaira Vadasaria"/>
      </t:Event>
      <t:Event id="{A934B92B-23FE-48BC-AFC1-487F9A79EC02}" time="2024-02-05T12:48:09.869Z">
        <t:Attribution userId="S::nfrith@ed.ac.uk::03ce252d-8d30-4f83-b41b-d58f12661697" userProvider="AD" userName="Nicki Frith"/>
        <t:Anchor>
          <t:Comment id="1023764091"/>
        </t:Anchor>
        <t:SetTitle title="@Nicola Perugini @Shaira Vadasaria Please check - with thanks"/>
      </t:Event>
    </t:History>
  </t:Task>
  <t:Task id="{7F0ADB43-6385-490D-8A61-8BF2447B3877}">
    <t:Anchor>
      <t:Comment id="1484280758"/>
    </t:Anchor>
    <t:History>
      <t:Event id="{337B7578-29D9-4173-88EF-A5F4E6DFB7C5}" time="2024-02-02T17:40:24.2Z">
        <t:Attribution userId="S::nfrith@ed.ac.uk::03ce252d-8d30-4f83-b41b-d58f12661697" userProvider="AD" userName="Nicki Frith"/>
        <t:Anchor>
          <t:Comment id="1987761402"/>
        </t:Anchor>
        <t:Create/>
      </t:Event>
      <t:Event id="{DEC7BB94-B6F1-475F-9ABC-9DCB7E48166E}" time="2024-02-02T17:40:24.2Z">
        <t:Attribution userId="S::nfrith@ed.ac.uk::03ce252d-8d30-4f83-b41b-d58f12661697" userProvider="AD" userName="Nicki Frith"/>
        <t:Anchor>
          <t:Comment id="1987761402"/>
        </t:Anchor>
        <t:Assign userId="S::sbuck@ed.ac.uk::8155420f-ee06-440c-86a0-4e387bffc080" userProvider="AD" userName="Simon Buck"/>
      </t:Event>
      <t:Event id="{ABD780D0-F4F0-41F6-99AA-72F00291DE2E}" time="2024-02-02T17:40:24.2Z">
        <t:Attribution userId="S::nfrith@ed.ac.uk::03ce252d-8d30-4f83-b41b-d58f12661697" userProvider="AD" userName="Nicki Frith"/>
        <t:Anchor>
          <t:Comment id="1987761402"/>
        </t:Anchor>
        <t:SetTitle title="@Simon Buck could you look at Di's comment please? Thanks!"/>
      </t:Event>
    </t:History>
  </t:Task>
  <t:Task id="{383C9B7D-BABB-477D-8FB3-976CF7BE4991}">
    <t:Anchor>
      <t:Comment id="1153050718"/>
    </t:Anchor>
    <t:History>
      <t:Event id="{B8A68A0D-1BBE-4831-9EF2-EF0CB6748185}" time="2024-02-05T07:02:45.268Z">
        <t:Attribution userId="S::nfrith@ed.ac.uk::03ce252d-8d30-4f83-b41b-d58f12661697" userProvider="AD" userName="Nicki Frith"/>
        <t:Anchor>
          <t:Comment id="622697658"/>
        </t:Anchor>
        <t:Create/>
      </t:Event>
      <t:Event id="{C8291766-BC7C-40AA-91B2-A90C49421D83}" time="2024-02-05T07:02:45.268Z">
        <t:Attribution userId="S::nfrith@ed.ac.uk::03ce252d-8d30-4f83-b41b-d58f12661697" userProvider="AD" userName="Nicki Frith"/>
        <t:Anchor>
          <t:Comment id="622697658"/>
        </t:Anchor>
        <t:Assign userId="S::nperugin@ed.ac.uk::5f137b7d-2f05-4437-b0a1-69315367d59e" userProvider="AD" userName="Nicola Perugini"/>
      </t:Event>
      <t:Event id="{7EC4CB14-1DB2-4E71-98E5-23C9CC54918D}" time="2024-02-05T07:02:45.268Z">
        <t:Attribution userId="S::nfrith@ed.ac.uk::03ce252d-8d30-4f83-b41b-d58f12661697" userProvider="AD" userName="Nicki Frith"/>
        <t:Anchor>
          <t:Comment id="622697658"/>
        </t:Anchor>
        <t:SetTitle title="@Nicola Perugini @Shaira Vadasaria"/>
      </t:Event>
    </t:History>
  </t:Task>
  <t:Task id="{0973D2B0-A65F-4411-95FA-FD2E8F395166}">
    <t:Anchor>
      <t:Comment id="1144299549"/>
    </t:Anchor>
    <t:History>
      <t:Event id="{110B1732-4B69-44A2-B630-32EBBC496F98}" time="2024-02-02T17:42:40.607Z">
        <t:Attribution userId="S::nfrith@ed.ac.uk::03ce252d-8d30-4f83-b41b-d58f12661697" userProvider="AD" userName="Nicki Frith"/>
        <t:Anchor>
          <t:Comment id="1648350839"/>
        </t:Anchor>
        <t:Create/>
      </t:Event>
      <t:Event id="{287288ED-E35D-4718-B753-73B245400C2F}" time="2024-02-02T17:42:40.607Z">
        <t:Attribution userId="S::nfrith@ed.ac.uk::03ce252d-8d30-4f83-b41b-d58f12661697" userProvider="AD" userName="Nicki Frith"/>
        <t:Anchor>
          <t:Comment id="1648350839"/>
        </t:Anchor>
        <t:Assign userId="S::obolarin@ed.ac.uk::d10eeee4-0ccc-4a10-9944-ef2745bf81ba" userProvider="AD" userName="Obasanjo Bolarinwa"/>
      </t:Event>
      <t:Event id="{FADB5D68-FD03-4EDC-BB09-593941ACCC93}" time="2024-02-02T17:42:40.607Z">
        <t:Attribution userId="S::nfrith@ed.ac.uk::03ce252d-8d30-4f83-b41b-d58f12661697" userProvider="AD" userName="Nicki Frith"/>
        <t:Anchor>
          <t:Comment id="1648350839"/>
        </t:Anchor>
        <t:SetTitle title="@Obasanjo Bolarinwa"/>
      </t:Event>
    </t:History>
  </t:Task>
  <t:Task id="{F51EC8E2-C894-4D75-A005-7C2BA7BF3835}">
    <t:Anchor>
      <t:Comment id="968087456"/>
    </t:Anchor>
    <t:History>
      <t:Event id="{1639B64E-D888-4ED9-B1AD-2E705C733493}" time="2024-02-02T17:44:40.524Z">
        <t:Attribution userId="S::nfrith@ed.ac.uk::03ce252d-8d30-4f83-b41b-d58f12661697" userProvider="AD" userName="Nicki Frith"/>
        <t:Anchor>
          <t:Comment id="1803460978"/>
        </t:Anchor>
        <t:Create/>
      </t:Event>
      <t:Event id="{BAB334E5-F261-49E6-83E8-01EED5662EEC}" time="2024-02-02T17:44:40.524Z">
        <t:Attribution userId="S::nfrith@ed.ac.uk::03ce252d-8d30-4f83-b41b-d58f12661697" userProvider="AD" userName="Nicki Frith"/>
        <t:Anchor>
          <t:Comment id="1803460978"/>
        </t:Anchor>
        <t:Assign userId="S::istewar3@ed.ac.uk::d8b2c78d-1c46-46d3-97c0-fe78f77c7f89" userProvider="AD" userName="Ian Stewart"/>
      </t:Event>
      <t:Event id="{BCF5157C-4238-4E99-AD44-F3826C1AB407}" time="2024-02-02T17:44:40.524Z">
        <t:Attribution userId="S::nfrith@ed.ac.uk::03ce252d-8d30-4f83-b41b-d58f12661697" userProvider="AD" userName="Nicki Frith"/>
        <t:Anchor>
          <t:Comment id="1803460978"/>
        </t:Anchor>
        <t:SetTitle title="@Ian Stewart"/>
      </t:Event>
    </t:History>
  </t:Task>
  <t:Task id="{EA8980D2-3999-4704-97AF-38EADEBBF334}">
    <t:Anchor>
      <t:Comment id="600208542"/>
    </t:Anchor>
    <t:History>
      <t:Event id="{086B03FA-30EA-4589-861D-D8D6C3A53B2D}" time="2024-02-02T17:46:42.483Z">
        <t:Attribution userId="S::nfrith@ed.ac.uk::03ce252d-8d30-4f83-b41b-d58f12661697" userProvider="AD" userName="Nicki Frith"/>
        <t:Anchor>
          <t:Comment id="396958471"/>
        </t:Anchor>
        <t:Create/>
      </t:Event>
      <t:Event id="{B5B9B01F-7567-455A-B0E8-B0EC3306C8CD}" time="2024-02-02T17:46:42.483Z">
        <t:Attribution userId="S::nfrith@ed.ac.uk::03ce252d-8d30-4f83-b41b-d58f12661697" userProvider="AD" userName="Nicki Frith"/>
        <t:Anchor>
          <t:Comment id="396958471"/>
        </t:Anchor>
        <t:Assign userId="S::istewar3@ed.ac.uk::d8b2c78d-1c46-46d3-97c0-fe78f77c7f89" userProvider="AD" userName="Ian Stewart"/>
      </t:Event>
      <t:Event id="{F826AC08-FDF0-432D-8539-D4A6336C0D4E}" time="2024-02-02T17:46:42.483Z">
        <t:Attribution userId="S::nfrith@ed.ac.uk::03ce252d-8d30-4f83-b41b-d58f12661697" userProvider="AD" userName="Nicki Frith"/>
        <t:Anchor>
          <t:Comment id="396958471"/>
        </t:Anchor>
        <t:SetTitle title="@Ian Stewart"/>
      </t:Event>
    </t:History>
  </t:Task>
  <t:Task id="{B59A108C-EA79-4C69-9A3F-789A63C7AD70}">
    <t:Anchor>
      <t:Comment id="582745663"/>
    </t:Anchor>
    <t:History>
      <t:Event id="{85982130-B48A-4811-BDFD-7406569ABF74}" time="2024-02-02T18:04:28.341Z">
        <t:Attribution userId="S::nfrith@ed.ac.uk::03ce252d-8d30-4f83-b41b-d58f12661697" userProvider="AD" userName="Nicki Frith"/>
        <t:Anchor>
          <t:Comment id="1043614624"/>
        </t:Anchor>
        <t:Create/>
      </t:Event>
      <t:Event id="{B2B68370-4135-4A27-93C1-F725A51C1E9B}" time="2024-02-02T18:04:28.341Z">
        <t:Attribution userId="S::nfrith@ed.ac.uk::03ce252d-8d30-4f83-b41b-d58f12661697" userProvider="AD" userName="Nicki Frith"/>
        <t:Anchor>
          <t:Comment id="1043614624"/>
        </t:Anchor>
        <t:Assign userId="S::xyarong@ed.ac.uk::f18494e1-c53d-4e9d-9782-9c4f73271051" userProvider="AD" userName="Yarong Xie"/>
      </t:Event>
      <t:Event id="{BD3A7B13-DF19-460B-8A66-8E2F7A175C97}" time="2024-02-02T18:04:28.341Z">
        <t:Attribution userId="S::nfrith@ed.ac.uk::03ce252d-8d30-4f83-b41b-d58f12661697" userProvider="AD" userName="Nicki Frith"/>
        <t:Anchor>
          <t:Comment id="1043614624"/>
        </t:Anchor>
        <t:SetTitle title="@Yarong Xie"/>
      </t:Event>
      <t:Event id="{363AFD64-304F-4C0B-8E3B-D8AD8EF75DBF}" time="2024-02-02T19:03:09.505Z">
        <t:Attribution userId="S::nfrith@ed.ac.uk::03ce252d-8d30-4f83-b41b-d58f12661697" userProvider="AD" userName="Nicki Frith"/>
        <t:Progress percentComplete="100"/>
      </t:Event>
    </t:History>
  </t:Task>
  <t:Task id="{00115A11-96E8-4322-8C91-9B22C5B63602}">
    <t:Anchor>
      <t:Comment id="736381906"/>
    </t:Anchor>
    <t:History>
      <t:Event id="{7447AA2B-E526-44AF-A541-6F850D498CB5}" time="2024-02-02T18:04:18.148Z">
        <t:Attribution userId="S::nfrith@ed.ac.uk::03ce252d-8d30-4f83-b41b-d58f12661697" userProvider="AD" userName="Nicki Frith"/>
        <t:Anchor>
          <t:Comment id="839337818"/>
        </t:Anchor>
        <t:Create/>
      </t:Event>
      <t:Event id="{E2D4ABE7-623B-477D-AFE7-7AA307ED2546}" time="2024-02-02T18:04:18.148Z">
        <t:Attribution userId="S::nfrith@ed.ac.uk::03ce252d-8d30-4f83-b41b-d58f12661697" userProvider="AD" userName="Nicki Frith"/>
        <t:Anchor>
          <t:Comment id="839337818"/>
        </t:Anchor>
        <t:Assign userId="S::xyarong@ed.ac.uk::f18494e1-c53d-4e9d-9782-9c4f73271051" userProvider="AD" userName="Yarong Xie"/>
      </t:Event>
      <t:Event id="{51D59939-A6CC-482E-8DB7-33F53864C796}" time="2024-02-02T18:04:18.148Z">
        <t:Attribution userId="S::nfrith@ed.ac.uk::03ce252d-8d30-4f83-b41b-d58f12661697" userProvider="AD" userName="Nicki Frith"/>
        <t:Anchor>
          <t:Comment id="839337818"/>
        </t:Anchor>
        <t:SetTitle title="@Yarong Xie"/>
      </t:Event>
    </t:History>
  </t:Task>
  <t:Task id="{B887E536-2DB0-416B-9FE9-0F4BAD2E1447}">
    <t:Anchor>
      <t:Comment id="589006622"/>
    </t:Anchor>
    <t:History>
      <t:Event id="{2AF9268E-4F80-41C8-B5B0-7B74F3EEFA71}" time="2024-02-02T17:48:01.522Z">
        <t:Attribution userId="S::nfrith@ed.ac.uk::03ce252d-8d30-4f83-b41b-d58f12661697" userProvider="AD" userName="Nicki Frith"/>
        <t:Anchor>
          <t:Comment id="705114550"/>
        </t:Anchor>
        <t:Create/>
      </t:Event>
      <t:Event id="{299AFEB7-7314-4346-8582-8762B96E68D5}" time="2024-02-02T17:48:01.522Z">
        <t:Attribution userId="S::nfrith@ed.ac.uk::03ce252d-8d30-4f83-b41b-d58f12661697" userProvider="AD" userName="Nicki Frith"/>
        <t:Anchor>
          <t:Comment id="705114550"/>
        </t:Anchor>
        <t:Assign userId="S::istewar3@ed.ac.uk::d8b2c78d-1c46-46d3-97c0-fe78f77c7f89" userProvider="AD" userName="Ian Stewart"/>
      </t:Event>
      <t:Event id="{B4217F20-6C93-410D-9A61-A87841FD8E74}" time="2024-02-02T17:48:01.522Z">
        <t:Attribution userId="S::nfrith@ed.ac.uk::03ce252d-8d30-4f83-b41b-d58f12661697" userProvider="AD" userName="Nicki Frith"/>
        <t:Anchor>
          <t:Comment id="705114550"/>
        </t:Anchor>
        <t:SetTitle title="@Ian Stewart"/>
      </t:Event>
    </t:History>
  </t:Task>
  <t:Task id="{FA5E0625-8DEA-4A84-A8CE-D5BBAA711BE7}">
    <t:Anchor>
      <t:Comment id="1189656328"/>
    </t:Anchor>
    <t:History>
      <t:Event id="{36CABA4E-1B01-42AF-8210-51875111FC14}" time="2024-02-02T18:27:33.177Z">
        <t:Attribution userId="S::nfrith@ed.ac.uk::03ce252d-8d30-4f83-b41b-d58f12661697" userProvider="AD" userName="Nicki Frith"/>
        <t:Anchor>
          <t:Comment id="1499982238"/>
        </t:Anchor>
        <t:Create/>
      </t:Event>
      <t:Event id="{901A2CD1-94EC-40DC-A9EB-601A38F66931}" time="2024-02-02T18:27:33.177Z">
        <t:Attribution userId="S::nfrith@ed.ac.uk::03ce252d-8d30-4f83-b41b-d58f12661697" userProvider="AD" userName="Nicki Frith"/>
        <t:Anchor>
          <t:Comment id="1499982238"/>
        </t:Anchor>
        <t:Assign userId="S::slikonde@ed.ac.uk::000329ac-ff4d-4e5d-b889-0c30749e8866" userProvider="AD" userName="Samantha Likonde"/>
      </t:Event>
      <t:Event id="{8D09C4F1-FA77-4777-8E33-92A685ADE2E3}" time="2024-02-02T18:27:33.177Z">
        <t:Attribution userId="S::nfrith@ed.ac.uk::03ce252d-8d30-4f83-b41b-d58f12661697" userProvider="AD" userName="Nicki Frith"/>
        <t:Anchor>
          <t:Comment id="1499982238"/>
        </t:Anchor>
        <t:SetTitle title="…Trust (MET), Stop the Maangamizi: We Charge Genocide, Ecocide Campaign, Flag Up Jamaica Scotland, RepAfrika. For some reason, the Edinburgh Race Equality Network (EREN) is not listed among UoE groups. And what about BlackEd?  @Samantha Likonde"/>
      </t:Event>
    </t:History>
  </t:Task>
  <t:Task id="{48596591-217D-4701-862B-94DAB45AF682}">
    <t:Anchor>
      <t:Comment id="567697344"/>
    </t:Anchor>
    <t:History>
      <t:Event id="{6EA027A5-122E-4FD8-8B14-4C592DACF599}" time="2024-02-02T17:45:59.036Z">
        <t:Attribution userId="S::nfrith@ed.ac.uk::03ce252d-8d30-4f83-b41b-d58f12661697" userProvider="AD" userName="Nicki Frith"/>
        <t:Anchor>
          <t:Comment id="329555962"/>
        </t:Anchor>
        <t:Create/>
      </t:Event>
      <t:Event id="{D8BA5F86-3CC0-4122-B08E-8466E91C263A}" time="2024-02-02T17:45:59.036Z">
        <t:Attribution userId="S::nfrith@ed.ac.uk::03ce252d-8d30-4f83-b41b-d58f12661697" userProvider="AD" userName="Nicki Frith"/>
        <t:Anchor>
          <t:Comment id="329555962"/>
        </t:Anchor>
        <t:Assign userId="S::istewar3@ed.ac.uk::d8b2c78d-1c46-46d3-97c0-fe78f77c7f89" userProvider="AD" userName="Ian Stewart"/>
      </t:Event>
      <t:Event id="{92205A60-C09C-4D62-A0B7-9B1D16890585}" time="2024-02-02T17:45:59.036Z">
        <t:Attribution userId="S::nfrith@ed.ac.uk::03ce252d-8d30-4f83-b41b-d58f12661697" userProvider="AD" userName="Nicki Frith"/>
        <t:Anchor>
          <t:Comment id="329555962"/>
        </t:Anchor>
        <t:SetTitle title="@Ian Stewart"/>
      </t:Event>
      <t:Event id="{7C036960-3A13-451A-B384-6AD774AA2480}" time="2024-02-02T19:06:17.529Z">
        <t:Attribution userId="S::nfrith@ed.ac.uk::03ce252d-8d30-4f83-b41b-d58f12661697" userProvider="AD" userName="Nicki Frith"/>
        <t:Progress percentComplete="100"/>
      </t:Event>
      <t:Event id="{0CD18F89-6B1D-4035-8007-421F29BB9FE6}" time="2024-02-04T22:09:35.636Z">
        <t:Attribution userId="S::dpaton3@ed.ac.uk::ac23c324-6096-4db3-a40e-681a82267349" userProvider="AD" userName="Diana Paton"/>
        <t:Progress percentComplete="0"/>
      </t:Event>
    </t:History>
  </t:Task>
  <t:Task id="{A4E3A09A-CAC1-45D9-BAB1-4CF929049624}">
    <t:Anchor>
      <t:Comment id="738782171"/>
    </t:Anchor>
    <t:History>
      <t:Event id="{68E0D36A-A214-40CD-816E-4E128923F702}" time="2024-02-02T18:12:37.068Z">
        <t:Attribution userId="S::nfrith@ed.ac.uk::03ce252d-8d30-4f83-b41b-d58f12661697" userProvider="AD" userName="Nicki Frith"/>
        <t:Anchor>
          <t:Comment id="738782171"/>
        </t:Anchor>
        <t:Create/>
      </t:Event>
      <t:Event id="{B4234166-40FE-413E-A09F-63BF226005A3}" time="2024-02-02T18:12:37.068Z">
        <t:Attribution userId="S::nfrith@ed.ac.uk::03ce252d-8d30-4f83-b41b-d58f12661697" userProvider="AD" userName="Nicki Frith"/>
        <t:Anchor>
          <t:Comment id="738782171"/>
        </t:Anchor>
        <t:Assign userId="S::xyarong@ed.ac.uk::f18494e1-c53d-4e9d-9782-9c4f73271051" userProvider="AD" userName="Yarong Xie"/>
      </t:Event>
      <t:Event id="{0A6F59CA-B6BF-455E-8033-6C7FA220CFC3}" time="2024-02-02T18:12:37.068Z">
        <t:Attribution userId="S::nfrith@ed.ac.uk::03ce252d-8d30-4f83-b41b-d58f12661697" userProvider="AD" userName="Nicki Frith"/>
        <t:Anchor>
          <t:Comment id="738782171"/>
        </t:Anchor>
        <t:SetTitle title="@Yarong Xie I moved this information to the section below... I don't think we need both, so I delete from below"/>
      </t:Event>
    </t:History>
  </t:Task>
  <t:Task id="{029731B2-BA87-447C-B1BC-67423D1BB5A9}">
    <t:Anchor>
      <t:Comment id="24367350"/>
    </t:Anchor>
    <t:History>
      <t:Event id="{E9235278-478A-4FEE-AC24-A3571C4B9674}" time="2024-02-02T18:14:21.293Z">
        <t:Attribution userId="S::nfrith@ed.ac.uk::03ce252d-8d30-4f83-b41b-d58f12661697" userProvider="AD" userName="Nicki Frith"/>
        <t:Anchor>
          <t:Comment id="806179998"/>
        </t:Anchor>
        <t:Create/>
      </t:Event>
      <t:Event id="{B8673CC9-DF41-4798-B69C-2E19568A4AE3}" time="2024-02-02T18:14:21.293Z">
        <t:Attribution userId="S::nfrith@ed.ac.uk::03ce252d-8d30-4f83-b41b-d58f12661697" userProvider="AD" userName="Nicki Frith"/>
        <t:Anchor>
          <t:Comment id="806179998"/>
        </t:Anchor>
        <t:Assign userId="S::xyarong@ed.ac.uk::f18494e1-c53d-4e9d-9782-9c4f73271051" userProvider="AD" userName="Yarong Xie"/>
      </t:Event>
      <t:Event id="{AC07534C-A107-4612-BD63-B1CCF1F37D59}" time="2024-02-02T18:14:21.293Z">
        <t:Attribution userId="S::nfrith@ed.ac.uk::03ce252d-8d30-4f83-b41b-d58f12661697" userProvider="AD" userName="Nicki Frith"/>
        <t:Anchor>
          <t:Comment id="806179998"/>
        </t:Anchor>
        <t:SetTitle title="@Yarong Xie OK, i'll footnote this for now. The final report will be much more detaile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CEB51-1C20-9C41-91B4-53F651980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130</Pages>
  <Words>44114</Words>
  <Characters>251452</Characters>
  <Application>Microsoft Office Word</Application>
  <DocSecurity>2</DocSecurity>
  <Lines>2095</Lines>
  <Paragraphs>589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294977</CharactersWithSpaces>
  <SharedDoc>false</SharedDoc>
  <HLinks>
    <vt:vector size="1716" baseType="variant">
      <vt:variant>
        <vt:i4>983046</vt:i4>
      </vt:variant>
      <vt:variant>
        <vt:i4>792</vt:i4>
      </vt:variant>
      <vt:variant>
        <vt:i4>0</vt:i4>
      </vt:variant>
      <vt:variant>
        <vt:i4>5</vt:i4>
      </vt:variant>
      <vt:variant>
        <vt:lpwstr>https://www.westlothian.gov.uk/media/8652/Engaging-Communities-Toolkit/pdf/Engaging_Communities_Toolkit.pdf?m=635694591719070000</vt:lpwstr>
      </vt:variant>
      <vt:variant>
        <vt:lpwstr/>
      </vt:variant>
      <vt:variant>
        <vt:i4>6291554</vt:i4>
      </vt:variant>
      <vt:variant>
        <vt:i4>789</vt:i4>
      </vt:variant>
      <vt:variant>
        <vt:i4>0</vt:i4>
      </vt:variant>
      <vt:variant>
        <vt:i4>5</vt:i4>
      </vt:variant>
      <vt:variant>
        <vt:lpwstr>https://slavery.virginia.edu/universities-studying-slavery/</vt:lpwstr>
      </vt:variant>
      <vt:variant>
        <vt:lpwstr/>
      </vt:variant>
      <vt:variant>
        <vt:i4>4063282</vt:i4>
      </vt:variant>
      <vt:variant>
        <vt:i4>786</vt:i4>
      </vt:variant>
      <vt:variant>
        <vt:i4>0</vt:i4>
      </vt:variant>
      <vt:variant>
        <vt:i4>5</vt:i4>
      </vt:variant>
      <vt:variant>
        <vt:lpwstr>https://research-portal.st-andrews.ac.uk/en/publications/chancellors-and-the-legacies-of-empire-at-st-andrews-1700-1900</vt:lpwstr>
      </vt:variant>
      <vt:variant>
        <vt:lpwstr/>
      </vt:variant>
      <vt:variant>
        <vt:i4>4390934</vt:i4>
      </vt:variant>
      <vt:variant>
        <vt:i4>783</vt:i4>
      </vt:variant>
      <vt:variant>
        <vt:i4>0</vt:i4>
      </vt:variant>
      <vt:variant>
        <vt:i4>5</vt:i4>
      </vt:variant>
      <vt:variant>
        <vt:lpwstr>https://www.strath.ac.uk/media/1newwebsite/documents/Historical_Links_to_Slavery_Report-FINAL.pdf</vt:lpwstr>
      </vt:variant>
      <vt:variant>
        <vt:lpwstr/>
      </vt:variant>
      <vt:variant>
        <vt:i4>2097279</vt:i4>
      </vt:variant>
      <vt:variant>
        <vt:i4>780</vt:i4>
      </vt:variant>
      <vt:variant>
        <vt:i4>0</vt:i4>
      </vt:variant>
      <vt:variant>
        <vt:i4>5</vt:i4>
      </vt:variant>
      <vt:variant>
        <vt:lpwstr>https://www.strath.ac.uk/whystrathclyde/news/2023/reportshedslightonhistoricallinkstotransatlanticslavery/</vt:lpwstr>
      </vt:variant>
      <vt:variant>
        <vt:lpwstr>:~:text=The%20University%20of%20Strathclyde%20has,from%20money%20derived%20from%20slavery</vt:lpwstr>
      </vt:variant>
      <vt:variant>
        <vt:i4>4194326</vt:i4>
      </vt:variant>
      <vt:variant>
        <vt:i4>777</vt:i4>
      </vt:variant>
      <vt:variant>
        <vt:i4>0</vt:i4>
      </vt:variant>
      <vt:variant>
        <vt:i4>5</vt:i4>
      </vt:variant>
      <vt:variant>
        <vt:lpwstr>https://www.nottingham.ac.uk/edi/documents/nottinghams-universities-and-historical-slavery-report.pdf</vt:lpwstr>
      </vt:variant>
      <vt:variant>
        <vt:lpwstr/>
      </vt:variant>
      <vt:variant>
        <vt:i4>7405666</vt:i4>
      </vt:variant>
      <vt:variant>
        <vt:i4>774</vt:i4>
      </vt:variant>
      <vt:variant>
        <vt:i4>0</vt:i4>
      </vt:variant>
      <vt:variant>
        <vt:i4>5</vt:i4>
      </vt:variant>
      <vt:variant>
        <vt:lpwstr>https://www.ucl.ac.uk/lbs/</vt:lpwstr>
      </vt:variant>
      <vt:variant>
        <vt:lpwstr/>
      </vt:variant>
      <vt:variant>
        <vt:i4>7077987</vt:i4>
      </vt:variant>
      <vt:variant>
        <vt:i4>771</vt:i4>
      </vt:variant>
      <vt:variant>
        <vt:i4>0</vt:i4>
      </vt:variant>
      <vt:variant>
        <vt:i4>5</vt:i4>
      </vt:variant>
      <vt:variant>
        <vt:lpwstr>https://www.liverpool.ac.uk/csis/about-us/</vt:lpwstr>
      </vt:variant>
      <vt:variant>
        <vt:lpwstr/>
      </vt:variant>
      <vt:variant>
        <vt:i4>4980801</vt:i4>
      </vt:variant>
      <vt:variant>
        <vt:i4>768</vt:i4>
      </vt:variant>
      <vt:variant>
        <vt:i4>0</vt:i4>
      </vt:variant>
      <vt:variant>
        <vt:i4>5</vt:i4>
      </vt:variant>
      <vt:variant>
        <vt:lpwstr>https://www.gla.ac.uk/news/archiveofnews/2018/september/headline_607154_en.html</vt:lpwstr>
      </vt:variant>
      <vt:variant>
        <vt:lpwstr/>
      </vt:variant>
      <vt:variant>
        <vt:i4>6029382</vt:i4>
      </vt:variant>
      <vt:variant>
        <vt:i4>765</vt:i4>
      </vt:variant>
      <vt:variant>
        <vt:i4>0</vt:i4>
      </vt:variant>
      <vt:variant>
        <vt:i4>5</vt:i4>
      </vt:variant>
      <vt:variant>
        <vt:lpwstr>https://www.ed.ac.uk/files/atoms/files/strategy-2030.pdf</vt:lpwstr>
      </vt:variant>
      <vt:variant>
        <vt:lpwstr/>
      </vt:variant>
      <vt:variant>
        <vt:i4>5570645</vt:i4>
      </vt:variant>
      <vt:variant>
        <vt:i4>762</vt:i4>
      </vt:variant>
      <vt:variant>
        <vt:i4>0</vt:i4>
      </vt:variant>
      <vt:variant>
        <vt:i4>5</vt:i4>
      </vt:variant>
      <vt:variant>
        <vt:lpwstr>https://www.ed.ac.uk/news/2023/mudan-skulls</vt:lpwstr>
      </vt:variant>
      <vt:variant>
        <vt:lpwstr>:~:text=The%20first%20repatriation%20at%20the,colonial%20period%20in%20the%201880s</vt:lpwstr>
      </vt:variant>
      <vt:variant>
        <vt:i4>7733344</vt:i4>
      </vt:variant>
      <vt:variant>
        <vt:i4>759</vt:i4>
      </vt:variant>
      <vt:variant>
        <vt:i4>0</vt:i4>
      </vt:variant>
      <vt:variant>
        <vt:i4>5</vt:i4>
      </vt:variant>
      <vt:variant>
        <vt:lpwstr>https://www.ed.ac.uk/about/people/officials/chancellor</vt:lpwstr>
      </vt:variant>
      <vt:variant>
        <vt:lpwstr/>
      </vt:variant>
      <vt:variant>
        <vt:i4>1245212</vt:i4>
      </vt:variant>
      <vt:variant>
        <vt:i4>756</vt:i4>
      </vt:variant>
      <vt:variant>
        <vt:i4>0</vt:i4>
      </vt:variant>
      <vt:variant>
        <vt:i4>5</vt:i4>
      </vt:variant>
      <vt:variant>
        <vt:lpwstr>https://www.ed.ac.uk/news/2023/minority-communities-to-play-key-role-in-universit</vt:lpwstr>
      </vt:variant>
      <vt:variant>
        <vt:lpwstr/>
      </vt:variant>
      <vt:variant>
        <vt:i4>3932210</vt:i4>
      </vt:variant>
      <vt:variant>
        <vt:i4>753</vt:i4>
      </vt:variant>
      <vt:variant>
        <vt:i4>0</vt:i4>
      </vt:variant>
      <vt:variant>
        <vt:i4>5</vt:i4>
      </vt:variant>
      <vt:variant>
        <vt:lpwstr>https://corporate-services.ed.ac.uk/our-departments/strategic-change-service/university-initiatives-portfolio-board</vt:lpwstr>
      </vt:variant>
      <vt:variant>
        <vt:lpwstr/>
      </vt:variant>
      <vt:variant>
        <vt:i4>3342445</vt:i4>
      </vt:variant>
      <vt:variant>
        <vt:i4>750</vt:i4>
      </vt:variant>
      <vt:variant>
        <vt:i4>0</vt:i4>
      </vt:variant>
      <vt:variant>
        <vt:i4>5</vt:i4>
      </vt:variant>
      <vt:variant>
        <vt:lpwstr>https://www.legislation.gov.uk/uksi/1971/1849/contents/made</vt:lpwstr>
      </vt:variant>
      <vt:variant>
        <vt:lpwstr/>
      </vt:variant>
      <vt:variant>
        <vt:i4>4784214</vt:i4>
      </vt:variant>
      <vt:variant>
        <vt:i4>747</vt:i4>
      </vt:variant>
      <vt:variant>
        <vt:i4>0</vt:i4>
      </vt:variant>
      <vt:variant>
        <vt:i4>5</vt:i4>
      </vt:variant>
      <vt:variant>
        <vt:lpwstr>https://www.durham.ac.uk/about-us/professional-services/equality-diversity-inclusion/strategy/race-equality/library-and-collections-/</vt:lpwstr>
      </vt:variant>
      <vt:variant>
        <vt:lpwstr/>
      </vt:variant>
      <vt:variant>
        <vt:i4>4259868</vt:i4>
      </vt:variant>
      <vt:variant>
        <vt:i4>744</vt:i4>
      </vt:variant>
      <vt:variant>
        <vt:i4>0</vt:i4>
      </vt:variant>
      <vt:variant>
        <vt:i4>5</vt:i4>
      </vt:variant>
      <vt:variant>
        <vt:lpwstr>https://www.abdn.ac.uk/about/strategy-and-governance/legacies-of-slavery/</vt:lpwstr>
      </vt:variant>
      <vt:variant>
        <vt:lpwstr/>
      </vt:variant>
      <vt:variant>
        <vt:i4>7012458</vt:i4>
      </vt:variant>
      <vt:variant>
        <vt:i4>741</vt:i4>
      </vt:variant>
      <vt:variant>
        <vt:i4>0</vt:i4>
      </vt:variant>
      <vt:variant>
        <vt:i4>5</vt:i4>
      </vt:variant>
      <vt:variant>
        <vt:lpwstr>https://www.un.org/unispal/document/auto-insert-204352/</vt:lpwstr>
      </vt:variant>
      <vt:variant>
        <vt:lpwstr/>
      </vt:variant>
      <vt:variant>
        <vt:i4>2424933</vt:i4>
      </vt:variant>
      <vt:variant>
        <vt:i4>738</vt:i4>
      </vt:variant>
      <vt:variant>
        <vt:i4>0</vt:i4>
      </vt:variant>
      <vt:variant>
        <vt:i4>5</vt:i4>
      </vt:variant>
      <vt:variant>
        <vt:lpwstr>https://www.un.org/en/observances/decade-people-african-descent</vt:lpwstr>
      </vt:variant>
      <vt:variant>
        <vt:lpwstr/>
      </vt:variant>
      <vt:variant>
        <vt:i4>6488127</vt:i4>
      </vt:variant>
      <vt:variant>
        <vt:i4>735</vt:i4>
      </vt:variant>
      <vt:variant>
        <vt:i4>0</vt:i4>
      </vt:variant>
      <vt:variant>
        <vt:i4>5</vt:i4>
      </vt:variant>
      <vt:variant>
        <vt:lpwstr>https://www.ohchr.org/en/instruments-mechanisms/instruments/basic-principles-and-guidelines-right-remedy-and-reparation</vt:lpwstr>
      </vt:variant>
      <vt:variant>
        <vt:lpwstr/>
      </vt:variant>
      <vt:variant>
        <vt:i4>7274609</vt:i4>
      </vt:variant>
      <vt:variant>
        <vt:i4>732</vt:i4>
      </vt:variant>
      <vt:variant>
        <vt:i4>0</vt:i4>
      </vt:variant>
      <vt:variant>
        <vt:i4>5</vt:i4>
      </vt:variant>
      <vt:variant>
        <vt:lpwstr>https://www.ethnicity-facts-figures.service.gov.uk/style-guide/writing-about-ethnicity/</vt:lpwstr>
      </vt:variant>
      <vt:variant>
        <vt:lpwstr>bame-and-bme</vt:lpwstr>
      </vt:variant>
      <vt:variant>
        <vt:i4>3604597</vt:i4>
      </vt:variant>
      <vt:variant>
        <vt:i4>729</vt:i4>
      </vt:variant>
      <vt:variant>
        <vt:i4>0</vt:i4>
      </vt:variant>
      <vt:variant>
        <vt:i4>5</vt:i4>
      </vt:variant>
      <vt:variant>
        <vt:lpwstr>https://www.ethnicity-facts-figures.service.gov.uk/uk-population-by-ethnicity/national-and-regional-populations/population-of-england-and-wales/latest/</vt:lpwstr>
      </vt:variant>
      <vt:variant>
        <vt:lpwstr/>
      </vt:variant>
      <vt:variant>
        <vt:i4>7798832</vt:i4>
      </vt:variant>
      <vt:variant>
        <vt:i4>726</vt:i4>
      </vt:variant>
      <vt:variant>
        <vt:i4>0</vt:i4>
      </vt:variant>
      <vt:variant>
        <vt:i4>5</vt:i4>
      </vt:variant>
      <vt:variant>
        <vt:lpwstr>https://www.ethnicity-facts-figures.service.gov.uk/uk-population-by-ethnicity/national-and-regional-populations/population-of-england-and-wales/latest/</vt:lpwstr>
      </vt:variant>
      <vt:variant>
        <vt:lpwstr>by-ethnicity-5-groups</vt:lpwstr>
      </vt:variant>
      <vt:variant>
        <vt:i4>7209056</vt:i4>
      </vt:variant>
      <vt:variant>
        <vt:i4>723</vt:i4>
      </vt:variant>
      <vt:variant>
        <vt:i4>0</vt:i4>
      </vt:variant>
      <vt:variant>
        <vt:i4>5</vt:i4>
      </vt:variant>
      <vt:variant>
        <vt:lpwstr>https://documents.manchester.ac.uk/display.aspx?DocID=51691</vt:lpwstr>
      </vt:variant>
      <vt:variant>
        <vt:lpwstr/>
      </vt:variant>
      <vt:variant>
        <vt:i4>7929980</vt:i4>
      </vt:variant>
      <vt:variant>
        <vt:i4>720</vt:i4>
      </vt:variant>
      <vt:variant>
        <vt:i4>0</vt:i4>
      </vt:variant>
      <vt:variant>
        <vt:i4>5</vt:i4>
      </vt:variant>
      <vt:variant>
        <vt:lpwstr>https://www.trg.ed.ac.uk/exhibition/accursed-share</vt:lpwstr>
      </vt:variant>
      <vt:variant>
        <vt:lpwstr/>
      </vt:variant>
      <vt:variant>
        <vt:i4>131096</vt:i4>
      </vt:variant>
      <vt:variant>
        <vt:i4>717</vt:i4>
      </vt:variant>
      <vt:variant>
        <vt:i4>0</vt:i4>
      </vt:variant>
      <vt:variant>
        <vt:i4>5</vt:i4>
      </vt:variant>
      <vt:variant>
        <vt:lpwstr>https://www.crer.org.uk/blog/census-2022-bme-population</vt:lpwstr>
      </vt:variant>
      <vt:variant>
        <vt:lpwstr>:~:text=Scotland's%20Population:%20An%20overview,Scotland's%20last%20census%20in%202011</vt:lpwstr>
      </vt:variant>
      <vt:variant>
        <vt:i4>4849733</vt:i4>
      </vt:variant>
      <vt:variant>
        <vt:i4>714</vt:i4>
      </vt:variant>
      <vt:variant>
        <vt:i4>0</vt:i4>
      </vt:variant>
      <vt:variant>
        <vt:i4>5</vt:i4>
      </vt:variant>
      <vt:variant>
        <vt:lpwstr>https://www.imperial.ac.uk/equality/activities/history-group/</vt:lpwstr>
      </vt:variant>
      <vt:variant>
        <vt:lpwstr/>
      </vt:variant>
      <vt:variant>
        <vt:i4>2293811</vt:i4>
      </vt:variant>
      <vt:variant>
        <vt:i4>711</vt:i4>
      </vt:variant>
      <vt:variant>
        <vt:i4>0</vt:i4>
      </vt:variant>
      <vt:variant>
        <vt:i4>5</vt:i4>
      </vt:variant>
      <vt:variant>
        <vt:lpwstr>https://www.eventbrite.co.uk/e/enslavement-brazil-and-the-gunning-lectures-tickets-1044925649747?aff=oddtdtcreator</vt:lpwstr>
      </vt:variant>
      <vt:variant>
        <vt:lpwstr/>
      </vt:variant>
      <vt:variant>
        <vt:i4>6422568</vt:i4>
      </vt:variant>
      <vt:variant>
        <vt:i4>708</vt:i4>
      </vt:variant>
      <vt:variant>
        <vt:i4>0</vt:i4>
      </vt:variant>
      <vt:variant>
        <vt:i4>5</vt:i4>
      </vt:variant>
      <vt:variant>
        <vt:lpwstr>https://histanthro.org/notes/decolonizing-or-recolonizing/</vt:lpwstr>
      </vt:variant>
      <vt:variant>
        <vt:lpwstr/>
      </vt:variant>
      <vt:variant>
        <vt:i4>1310789</vt:i4>
      </vt:variant>
      <vt:variant>
        <vt:i4>705</vt:i4>
      </vt:variant>
      <vt:variant>
        <vt:i4>0</vt:i4>
      </vt:variant>
      <vt:variant>
        <vt:i4>5</vt:i4>
      </vt:variant>
      <vt:variant>
        <vt:lpwstr>https://blogs.ed.ac.uk/decolonise/category/the-team/</vt:lpwstr>
      </vt:variant>
      <vt:variant>
        <vt:lpwstr/>
      </vt:variant>
      <vt:variant>
        <vt:i4>8061033</vt:i4>
      </vt:variant>
      <vt:variant>
        <vt:i4>702</vt:i4>
      </vt:variant>
      <vt:variant>
        <vt:i4>0</vt:i4>
      </vt:variant>
      <vt:variant>
        <vt:i4>5</vt:i4>
      </vt:variant>
      <vt:variant>
        <vt:lpwstr>https://edwebcontent.ed.ac.uk/sites/default/files/atoms/files/uoe_race_equality_and_anti-racist_action_plan.pdf</vt:lpwstr>
      </vt:variant>
      <vt:variant>
        <vt:lpwstr/>
      </vt:variant>
      <vt:variant>
        <vt:i4>4849665</vt:i4>
      </vt:variant>
      <vt:variant>
        <vt:i4>699</vt:i4>
      </vt:variant>
      <vt:variant>
        <vt:i4>0</vt:i4>
      </vt:variant>
      <vt:variant>
        <vt:i4>5</vt:i4>
      </vt:variant>
      <vt:variant>
        <vt:lpwstr>https://equality-diversity.ed.ac.uk/sites/default/files/2024-07/REAR Action Plan 2023.pdf</vt:lpwstr>
      </vt:variant>
      <vt:variant>
        <vt:lpwstr/>
      </vt:variant>
      <vt:variant>
        <vt:i4>7209022</vt:i4>
      </vt:variant>
      <vt:variant>
        <vt:i4>696</vt:i4>
      </vt:variant>
      <vt:variant>
        <vt:i4>0</vt:i4>
      </vt:variant>
      <vt:variant>
        <vt:i4>5</vt:i4>
      </vt:variant>
      <vt:variant>
        <vt:lpwstr>https://www.race.ed.ac.uk/podcast/</vt:lpwstr>
      </vt:variant>
      <vt:variant>
        <vt:lpwstr/>
      </vt:variant>
      <vt:variant>
        <vt:i4>1310742</vt:i4>
      </vt:variant>
      <vt:variant>
        <vt:i4>693</vt:i4>
      </vt:variant>
      <vt:variant>
        <vt:i4>0</vt:i4>
      </vt:variant>
      <vt:variant>
        <vt:i4>5</vt:i4>
      </vt:variant>
      <vt:variant>
        <vt:lpwstr>https://www.praler.net/post/global-citizenship-education-for-planet-repairs-action-gcepra-ghana-in-planet-repairs-action-dia</vt:lpwstr>
      </vt:variant>
      <vt:variant>
        <vt:lpwstr/>
      </vt:variant>
      <vt:variant>
        <vt:i4>7929914</vt:i4>
      </vt:variant>
      <vt:variant>
        <vt:i4>690</vt:i4>
      </vt:variant>
      <vt:variant>
        <vt:i4>0</vt:i4>
      </vt:variant>
      <vt:variant>
        <vt:i4>5</vt:i4>
      </vt:variant>
      <vt:variant>
        <vt:lpwstr>https://www.balliol.ox.ac.uk/sites/default/files/balliol_and_the_proceeds_of_slavery_-_project_report.pdf</vt:lpwstr>
      </vt:variant>
      <vt:variant>
        <vt:lpwstr/>
      </vt:variant>
      <vt:variant>
        <vt:i4>2883684</vt:i4>
      </vt:variant>
      <vt:variant>
        <vt:i4>687</vt:i4>
      </vt:variant>
      <vt:variant>
        <vt:i4>0</vt:i4>
      </vt:variant>
      <vt:variant>
        <vt:i4>5</vt:i4>
      </vt:variant>
      <vt:variant>
        <vt:lpwstr>https://www.bristol.ac.uk/media-library/sites/university/documents/university-of-bristol-legacies-of-slavery-report.pdf</vt:lpwstr>
      </vt:variant>
      <vt:variant>
        <vt:lpwstr/>
      </vt:variant>
      <vt:variant>
        <vt:i4>5832707</vt:i4>
      </vt:variant>
      <vt:variant>
        <vt:i4>684</vt:i4>
      </vt:variant>
      <vt:variant>
        <vt:i4>0</vt:i4>
      </vt:variant>
      <vt:variant>
        <vt:i4>5</vt:i4>
      </vt:variant>
      <vt:variant>
        <vt:lpwstr>https://www.measuringworth.com/calculators/ukcompare</vt:lpwstr>
      </vt:variant>
      <vt:variant>
        <vt:lpwstr/>
      </vt:variant>
      <vt:variant>
        <vt:i4>6815852</vt:i4>
      </vt:variant>
      <vt:variant>
        <vt:i4>681</vt:i4>
      </vt:variant>
      <vt:variant>
        <vt:i4>0</vt:i4>
      </vt:variant>
      <vt:variant>
        <vt:i4>5</vt:i4>
      </vt:variant>
      <vt:variant>
        <vt:lpwstr>https://www.ed.ac.uk/news/2021/addressing-contemporary-and-historic-racism/statement-from-principal</vt:lpwstr>
      </vt:variant>
      <vt:variant>
        <vt:lpwstr/>
      </vt:variant>
      <vt:variant>
        <vt:i4>2687085</vt:i4>
      </vt:variant>
      <vt:variant>
        <vt:i4>678</vt:i4>
      </vt:variant>
      <vt:variant>
        <vt:i4>0</vt:i4>
      </vt:variant>
      <vt:variant>
        <vt:i4>5</vt:i4>
      </vt:variant>
      <vt:variant>
        <vt:lpwstr>https://www.change.org/p/university-of-edinburgh-rename-david-hume-tower-at-uoe</vt:lpwstr>
      </vt:variant>
      <vt:variant>
        <vt:lpwstr/>
      </vt:variant>
      <vt:variant>
        <vt:i4>5767249</vt:i4>
      </vt:variant>
      <vt:variant>
        <vt:i4>675</vt:i4>
      </vt:variant>
      <vt:variant>
        <vt:i4>0</vt:i4>
      </vt:variant>
      <vt:variant>
        <vt:i4>5</vt:i4>
      </vt:variant>
      <vt:variant>
        <vt:lpwstr>https://www.kings.cam.ac.uk/news/2019/kings-college-research-slavery-past-and-present</vt:lpwstr>
      </vt:variant>
      <vt:variant>
        <vt:lpwstr/>
      </vt:variant>
      <vt:variant>
        <vt:i4>8192097</vt:i4>
      </vt:variant>
      <vt:variant>
        <vt:i4>672</vt:i4>
      </vt:variant>
      <vt:variant>
        <vt:i4>0</vt:i4>
      </vt:variant>
      <vt:variant>
        <vt:i4>5</vt:i4>
      </vt:variant>
      <vt:variant>
        <vt:lpwstr>https://mondoweiss.net/2023/09/how-britain-broke-international-law-to-stop-palestinian-independence-100-years-ago/</vt:lpwstr>
      </vt:variant>
      <vt:variant>
        <vt:lpwstr/>
      </vt:variant>
      <vt:variant>
        <vt:i4>7077945</vt:i4>
      </vt:variant>
      <vt:variant>
        <vt:i4>669</vt:i4>
      </vt:variant>
      <vt:variant>
        <vt:i4>0</vt:i4>
      </vt:variant>
      <vt:variant>
        <vt:i4>5</vt:i4>
      </vt:variant>
      <vt:variant>
        <vt:lpwstr>https://www.inosaar.llc.ed.ac.uk/sites/default/files/atoms/files/principles_of_participation_jul_2021.pdf</vt:lpwstr>
      </vt:variant>
      <vt:variant>
        <vt:lpwstr/>
      </vt:variant>
      <vt:variant>
        <vt:i4>7340089</vt:i4>
      </vt:variant>
      <vt:variant>
        <vt:i4>666</vt:i4>
      </vt:variant>
      <vt:variant>
        <vt:i4>0</vt:i4>
      </vt:variant>
      <vt:variant>
        <vt:i4>5</vt:i4>
      </vt:variant>
      <vt:variant>
        <vt:lpwstr>https://eur02.safelinks.protection.outlook.com/?url=https%3A%2F%2Fwww.icj-cij.org%2Fsites%2Fdefault%2Ffiles%2Fcase-related%2F192%2F192-20240126-ord-01-00-en.pdf&amp;data=05%7C02%7C%7C8cbebafbba2e44d00a1e08dd2022e1e3%7C2e9f06b016694589878910a06934dc61%7C0%7C0%7C638702056373989186%7CUnknown%7CTWFpbGZsb3d8eyJFbXB0eU1hcGkiOnRydWUsIlYiOiIwLjAuMDAwMCIsIlAiOiJXaW4zMiIsIkFOIjoiTWFpbCIsIldUIjoyfQ%3D%3D%7C0%7C%7C%7C&amp;sdata=6j4l3rkHma%2BZy17peNlbKnVauaGKbKEWhQ%2B%2FcB3yorM%3D&amp;reserved=0</vt:lpwstr>
      </vt:variant>
      <vt:variant>
        <vt:lpwstr/>
      </vt:variant>
      <vt:variant>
        <vt:i4>7864369</vt:i4>
      </vt:variant>
      <vt:variant>
        <vt:i4>663</vt:i4>
      </vt:variant>
      <vt:variant>
        <vt:i4>0</vt:i4>
      </vt:variant>
      <vt:variant>
        <vt:i4>5</vt:i4>
      </vt:variant>
      <vt:variant>
        <vt:lpwstr>https://www.icc-cpi.int/news/situation-state-palestine-icc-pre-trial-chamber-i-rejects-state-israels-challenges</vt:lpwstr>
      </vt:variant>
      <vt:variant>
        <vt:lpwstr/>
      </vt:variant>
      <vt:variant>
        <vt:i4>6750253</vt:i4>
      </vt:variant>
      <vt:variant>
        <vt:i4>660</vt:i4>
      </vt:variant>
      <vt:variant>
        <vt:i4>0</vt:i4>
      </vt:variant>
      <vt:variant>
        <vt:i4>5</vt:i4>
      </vt:variant>
      <vt:variant>
        <vt:lpwstr>https://www.historicenvironment.scot/archives-and-research/publications/publication/?publicationId=e192ea9f-0d7e-4745-b499-b0fb010a167a</vt:lpwstr>
      </vt:variant>
      <vt:variant>
        <vt:lpwstr/>
      </vt:variant>
      <vt:variant>
        <vt:i4>786455</vt:i4>
      </vt:variant>
      <vt:variant>
        <vt:i4>657</vt:i4>
      </vt:variant>
      <vt:variant>
        <vt:i4>0</vt:i4>
      </vt:variant>
      <vt:variant>
        <vt:i4>5</vt:i4>
      </vt:variant>
      <vt:variant>
        <vt:lpwstr>https://researchonline.lshtm.ac.uk/id/eprint/4666958/</vt:lpwstr>
      </vt:variant>
      <vt:variant>
        <vt:lpwstr/>
      </vt:variant>
      <vt:variant>
        <vt:i4>7405610</vt:i4>
      </vt:variant>
      <vt:variant>
        <vt:i4>654</vt:i4>
      </vt:variant>
      <vt:variant>
        <vt:i4>0</vt:i4>
      </vt:variant>
      <vt:variant>
        <vt:i4>5</vt:i4>
      </vt:variant>
      <vt:variant>
        <vt:lpwstr>https://legacyofslavery.harvard.edu/report/legacies-of-slavery-in-scholarship-race-science</vt:lpwstr>
      </vt:variant>
      <vt:variant>
        <vt:lpwstr/>
      </vt:variant>
      <vt:variant>
        <vt:i4>6029401</vt:i4>
      </vt:variant>
      <vt:variant>
        <vt:i4>651</vt:i4>
      </vt:variant>
      <vt:variant>
        <vt:i4>0</vt:i4>
      </vt:variant>
      <vt:variant>
        <vt:i4>5</vt:i4>
      </vt:variant>
      <vt:variant>
        <vt:lpwstr>https://www.dundee.ac.uk/corporate-information/founders-project-final-report</vt:lpwstr>
      </vt:variant>
      <vt:variant>
        <vt:lpwstr/>
      </vt:variant>
      <vt:variant>
        <vt:i4>4522050</vt:i4>
      </vt:variant>
      <vt:variant>
        <vt:i4>648</vt:i4>
      </vt:variant>
      <vt:variant>
        <vt:i4>0</vt:i4>
      </vt:variant>
      <vt:variant>
        <vt:i4>5</vt:i4>
      </vt:variant>
      <vt:variant>
        <vt:lpwstr>https://institute-academic-development.ed.ac.uk/learning-teaching/funding/funding/previous-projects/year/march-2021/inclusiveness-in-internationalisation</vt:lpwstr>
      </vt:variant>
      <vt:variant>
        <vt:lpwstr/>
      </vt:variant>
      <vt:variant>
        <vt:i4>7077991</vt:i4>
      </vt:variant>
      <vt:variant>
        <vt:i4>645</vt:i4>
      </vt:variant>
      <vt:variant>
        <vt:i4>0</vt:i4>
      </vt:variant>
      <vt:variant>
        <vt:i4>5</vt:i4>
      </vt:variant>
      <vt:variant>
        <vt:lpwstr>https://www.equalityhumanrights.com/sites/default/files/racial-harassment-inquiry-survey-of-university-students.pdf</vt:lpwstr>
      </vt:variant>
      <vt:variant>
        <vt:lpwstr/>
      </vt:variant>
      <vt:variant>
        <vt:i4>8126497</vt:i4>
      </vt:variant>
      <vt:variant>
        <vt:i4>642</vt:i4>
      </vt:variant>
      <vt:variant>
        <vt:i4>0</vt:i4>
      </vt:variant>
      <vt:variant>
        <vt:i4>5</vt:i4>
      </vt:variant>
      <vt:variant>
        <vt:lpwstr>https://exhibitions.ed.ac.uk/exhibitions/dreams-of-darien/</vt:lpwstr>
      </vt:variant>
      <vt:variant>
        <vt:lpwstr/>
      </vt:variant>
      <vt:variant>
        <vt:i4>6160391</vt:i4>
      </vt:variant>
      <vt:variant>
        <vt:i4>639</vt:i4>
      </vt:variant>
      <vt:variant>
        <vt:i4>0</vt:i4>
      </vt:variant>
      <vt:variant>
        <vt:i4>5</vt:i4>
      </vt:variant>
      <vt:variant>
        <vt:lpwstr>https://sites.manchester.ac.uk/salc-making-a-difference/2021/08/18/exploring-the-legacies-of-slavery-and-colonialism-at-the-university-of-manchester/</vt:lpwstr>
      </vt:variant>
      <vt:variant>
        <vt:lpwstr/>
      </vt:variant>
      <vt:variant>
        <vt:i4>5963840</vt:i4>
      </vt:variant>
      <vt:variant>
        <vt:i4>636</vt:i4>
      </vt:variant>
      <vt:variant>
        <vt:i4>0</vt:i4>
      </vt:variant>
      <vt:variant>
        <vt:i4>5</vt:i4>
      </vt:variant>
      <vt:variant>
        <vt:lpwstr>https://anatomicalmuseum.wordpress.com/2021/05/25/collections-uncovered-omdurman-battlefield-skulls/</vt:lpwstr>
      </vt:variant>
      <vt:variant>
        <vt:lpwstr/>
      </vt:variant>
      <vt:variant>
        <vt:i4>7143461</vt:i4>
      </vt:variant>
      <vt:variant>
        <vt:i4>633</vt:i4>
      </vt:variant>
      <vt:variant>
        <vt:i4>0</vt:i4>
      </vt:variant>
      <vt:variant>
        <vt:i4>5</vt:i4>
      </vt:variant>
      <vt:variant>
        <vt:lpwstr>https://doi.org/10.7488/ds/7844</vt:lpwstr>
      </vt:variant>
      <vt:variant>
        <vt:lpwstr/>
      </vt:variant>
      <vt:variant>
        <vt:i4>3342443</vt:i4>
      </vt:variant>
      <vt:variant>
        <vt:i4>630</vt:i4>
      </vt:variant>
      <vt:variant>
        <vt:i4>0</vt:i4>
      </vt:variant>
      <vt:variant>
        <vt:i4>5</vt:i4>
      </vt:variant>
      <vt:variant>
        <vt:lpwstr>https://thepolyphony.org/2024/08/27/race-empire-uoe-conference-review/</vt:lpwstr>
      </vt:variant>
      <vt:variant>
        <vt:lpwstr/>
      </vt:variant>
      <vt:variant>
        <vt:i4>4390988</vt:i4>
      </vt:variant>
      <vt:variant>
        <vt:i4>627</vt:i4>
      </vt:variant>
      <vt:variant>
        <vt:i4>0</vt:i4>
      </vt:variant>
      <vt:variant>
        <vt:i4>5</vt:i4>
      </vt:variant>
      <vt:variant>
        <vt:lpwstr>https://sheffieldandslavery.wordpress.com/report/</vt:lpwstr>
      </vt:variant>
      <vt:variant>
        <vt:lpwstr/>
      </vt:variant>
      <vt:variant>
        <vt:i4>1048641</vt:i4>
      </vt:variant>
      <vt:variant>
        <vt:i4>624</vt:i4>
      </vt:variant>
      <vt:variant>
        <vt:i4>0</vt:i4>
      </vt:variant>
      <vt:variant>
        <vt:i4>5</vt:i4>
      </vt:variant>
      <vt:variant>
        <vt:lpwstr>https://edwebcontent.ed.ac.uk/sites/default/files/atoms/files/thematicreview2018-19-bme-students-finalreport.pdf</vt:lpwstr>
      </vt:variant>
      <vt:variant>
        <vt:lpwstr/>
      </vt:variant>
      <vt:variant>
        <vt:i4>1376344</vt:i4>
      </vt:variant>
      <vt:variant>
        <vt:i4>621</vt:i4>
      </vt:variant>
      <vt:variant>
        <vt:i4>0</vt:i4>
      </vt:variant>
      <vt:variant>
        <vt:i4>5</vt:i4>
      </vt:variant>
      <vt:variant>
        <vt:lpwstr>https://www.cam.ac.uk/about-the-university/advisory-group-on-legacies-of-enslavement-final-report</vt:lpwstr>
      </vt:variant>
      <vt:variant>
        <vt:lpwstr/>
      </vt:variant>
      <vt:variant>
        <vt:i4>7864444</vt:i4>
      </vt:variant>
      <vt:variant>
        <vt:i4>618</vt:i4>
      </vt:variant>
      <vt:variant>
        <vt:i4>0</vt:i4>
      </vt:variant>
      <vt:variant>
        <vt:i4>5</vt:i4>
      </vt:variant>
      <vt:variant>
        <vt:lpwstr>https://blogs.ed.ac.uk/decolonise/2023/05/09/what-are-principles-of-participation-and-why-do-we-need-them/</vt:lpwstr>
      </vt:variant>
      <vt:variant>
        <vt:lpwstr/>
      </vt:variant>
      <vt:variant>
        <vt:i4>4980767</vt:i4>
      </vt:variant>
      <vt:variant>
        <vt:i4>615</vt:i4>
      </vt:variant>
      <vt:variant>
        <vt:i4>0</vt:i4>
      </vt:variant>
      <vt:variant>
        <vt:i4>5</vt:i4>
      </vt:variant>
      <vt:variant>
        <vt:lpwstr>https://www.edinburgh.gov.uk/edinburghslaverycolonialism</vt:lpwstr>
      </vt:variant>
      <vt:variant>
        <vt:lpwstr/>
      </vt:variant>
      <vt:variant>
        <vt:i4>2097270</vt:i4>
      </vt:variant>
      <vt:variant>
        <vt:i4>612</vt:i4>
      </vt:variant>
      <vt:variant>
        <vt:i4>0</vt:i4>
      </vt:variant>
      <vt:variant>
        <vt:i4>5</vt:i4>
      </vt:variant>
      <vt:variant>
        <vt:lpwstr>https://corporate-services.ed.ac.uk/our-departments/university-initiatives-portfolio-board</vt:lpwstr>
      </vt:variant>
      <vt:variant>
        <vt:lpwstr/>
      </vt:variant>
      <vt:variant>
        <vt:i4>7798818</vt:i4>
      </vt:variant>
      <vt:variant>
        <vt:i4>609</vt:i4>
      </vt:variant>
      <vt:variant>
        <vt:i4>0</vt:i4>
      </vt:variant>
      <vt:variant>
        <vt:i4>5</vt:i4>
      </vt:variant>
      <vt:variant>
        <vt:lpwstr>https://strategy-2030.ed.ac.uk/</vt:lpwstr>
      </vt:variant>
      <vt:variant>
        <vt:lpwstr/>
      </vt:variant>
      <vt:variant>
        <vt:i4>85</vt:i4>
      </vt:variant>
      <vt:variant>
        <vt:i4>606</vt:i4>
      </vt:variant>
      <vt:variant>
        <vt:i4>0</vt:i4>
      </vt:variant>
      <vt:variant>
        <vt:i4>5</vt:i4>
      </vt:variant>
      <vt:variant>
        <vt:lpwstr>https://global.ed.ac.uk/uncovered</vt:lpwstr>
      </vt:variant>
      <vt:variant>
        <vt:lpwstr/>
      </vt:variant>
      <vt:variant>
        <vt:i4>5636125</vt:i4>
      </vt:variant>
      <vt:variant>
        <vt:i4>603</vt:i4>
      </vt:variant>
      <vt:variant>
        <vt:i4>0</vt:i4>
      </vt:variant>
      <vt:variant>
        <vt:i4>5</vt:i4>
      </vt:variant>
      <vt:variant>
        <vt:lpwstr>https://blogs.ed.ac.uk/rigen/2022/11/28/is-there-a-tipping-point-before-we-pivot-collectively-and-decisively-for-racial-justice/</vt:lpwstr>
      </vt:variant>
      <vt:variant>
        <vt:lpwstr/>
      </vt:variant>
      <vt:variant>
        <vt:i4>2359337</vt:i4>
      </vt:variant>
      <vt:variant>
        <vt:i4>600</vt:i4>
      </vt:variant>
      <vt:variant>
        <vt:i4>0</vt:i4>
      </vt:variant>
      <vt:variant>
        <vt:i4>5</vt:i4>
      </vt:variant>
      <vt:variant>
        <vt:lpwstr>https://www.ed.ac.uk/education/rke/our-research/social-justice-inclusion/rigen</vt:lpwstr>
      </vt:variant>
      <vt:variant>
        <vt:lpwstr/>
      </vt:variant>
      <vt:variant>
        <vt:i4>3538988</vt:i4>
      </vt:variant>
      <vt:variant>
        <vt:i4>597</vt:i4>
      </vt:variant>
      <vt:variant>
        <vt:i4>0</vt:i4>
      </vt:variant>
      <vt:variant>
        <vt:i4>5</vt:i4>
      </vt:variant>
      <vt:variant>
        <vt:lpwstr>https://www.race.ed.ac.uk/teaching/</vt:lpwstr>
      </vt:variant>
      <vt:variant>
        <vt:lpwstr/>
      </vt:variant>
      <vt:variant>
        <vt:i4>26</vt:i4>
      </vt:variant>
      <vt:variant>
        <vt:i4>594</vt:i4>
      </vt:variant>
      <vt:variant>
        <vt:i4>0</vt:i4>
      </vt:variant>
      <vt:variant>
        <vt:i4>5</vt:i4>
      </vt:variant>
      <vt:variant>
        <vt:lpwstr>https://www.race.ed.ac.uk/decolonising-development-looking-back-looking-forward/</vt:lpwstr>
      </vt:variant>
      <vt:variant>
        <vt:lpwstr/>
      </vt:variant>
      <vt:variant>
        <vt:i4>7864376</vt:i4>
      </vt:variant>
      <vt:variant>
        <vt:i4>591</vt:i4>
      </vt:variant>
      <vt:variant>
        <vt:i4>0</vt:i4>
      </vt:variant>
      <vt:variant>
        <vt:i4>5</vt:i4>
      </vt:variant>
      <vt:variant>
        <vt:lpwstr>https://www.ed.ac.uk/profile/omolabake-fakunle</vt:lpwstr>
      </vt:variant>
      <vt:variant>
        <vt:lpwstr/>
      </vt:variant>
      <vt:variant>
        <vt:i4>7864376</vt:i4>
      </vt:variant>
      <vt:variant>
        <vt:i4>588</vt:i4>
      </vt:variant>
      <vt:variant>
        <vt:i4>0</vt:i4>
      </vt:variant>
      <vt:variant>
        <vt:i4>5</vt:i4>
      </vt:variant>
      <vt:variant>
        <vt:lpwstr>https://www.ed.ac.uk/profile/omolabake-fakunle</vt:lpwstr>
      </vt:variant>
      <vt:variant>
        <vt:lpwstr/>
      </vt:variant>
      <vt:variant>
        <vt:i4>2359347</vt:i4>
      </vt:variant>
      <vt:variant>
        <vt:i4>585</vt:i4>
      </vt:variant>
      <vt:variant>
        <vt:i4>0</vt:i4>
      </vt:variant>
      <vt:variant>
        <vt:i4>5</vt:i4>
      </vt:variant>
      <vt:variant>
        <vt:lpwstr>https://www.ed.ac.uk/staff/teaching-matters/curriculum-transformation-programme</vt:lpwstr>
      </vt:variant>
      <vt:variant>
        <vt:lpwstr/>
      </vt:variant>
      <vt:variant>
        <vt:i4>7274543</vt:i4>
      </vt:variant>
      <vt:variant>
        <vt:i4>582</vt:i4>
      </vt:variant>
      <vt:variant>
        <vt:i4>0</vt:i4>
      </vt:variant>
      <vt:variant>
        <vt:i4>5</vt:i4>
      </vt:variant>
      <vt:variant>
        <vt:lpwstr>https://wedontsettle.com/about/</vt:lpwstr>
      </vt:variant>
      <vt:variant>
        <vt:lpwstr/>
      </vt:variant>
      <vt:variant>
        <vt:i4>983125</vt:i4>
      </vt:variant>
      <vt:variant>
        <vt:i4>579</vt:i4>
      </vt:variant>
      <vt:variant>
        <vt:i4>0</vt:i4>
      </vt:variant>
      <vt:variant>
        <vt:i4>5</vt:i4>
      </vt:variant>
      <vt:variant>
        <vt:lpwstr>https://www.birmingham.ac.uk/events/the-exchange/community/case-study-africanize</vt:lpwstr>
      </vt:variant>
      <vt:variant>
        <vt:lpwstr/>
      </vt:variant>
      <vt:variant>
        <vt:i4>7864352</vt:i4>
      </vt:variant>
      <vt:variant>
        <vt:i4>576</vt:i4>
      </vt:variant>
      <vt:variant>
        <vt:i4>0</vt:i4>
      </vt:variant>
      <vt:variant>
        <vt:i4>5</vt:i4>
      </vt:variant>
      <vt:variant>
        <vt:lpwstr>https://blackculturalarchives.org/</vt:lpwstr>
      </vt:variant>
      <vt:variant>
        <vt:lpwstr/>
      </vt:variant>
      <vt:variant>
        <vt:i4>3932244</vt:i4>
      </vt:variant>
      <vt:variant>
        <vt:i4>573</vt:i4>
      </vt:variant>
      <vt:variant>
        <vt:i4>0</vt:i4>
      </vt:variant>
      <vt:variant>
        <vt:i4>5</vt:i4>
      </vt:variant>
      <vt:variant>
        <vt:lpwstr>https://blogs.ed.ac.uk/decolonise/wp-content/uploads/sites/7804/2025/02/DTA_Correcting-Our-Collecting-Bespoke-Edinburgh-Group.pdf</vt:lpwstr>
      </vt:variant>
      <vt:variant>
        <vt:lpwstr/>
      </vt:variant>
      <vt:variant>
        <vt:i4>2228324</vt:i4>
      </vt:variant>
      <vt:variant>
        <vt:i4>570</vt:i4>
      </vt:variant>
      <vt:variant>
        <vt:i4>0</vt:i4>
      </vt:variant>
      <vt:variant>
        <vt:i4>5</vt:i4>
      </vt:variant>
      <vt:variant>
        <vt:lpwstr>https://www.decolonisingthearchive.com/</vt:lpwstr>
      </vt:variant>
      <vt:variant>
        <vt:lpwstr/>
      </vt:variant>
      <vt:variant>
        <vt:i4>2228324</vt:i4>
      </vt:variant>
      <vt:variant>
        <vt:i4>567</vt:i4>
      </vt:variant>
      <vt:variant>
        <vt:i4>0</vt:i4>
      </vt:variant>
      <vt:variant>
        <vt:i4>5</vt:i4>
      </vt:variant>
      <vt:variant>
        <vt:lpwstr>https://www.decolonisingthearchive.com/</vt:lpwstr>
      </vt:variant>
      <vt:variant>
        <vt:lpwstr/>
      </vt:variant>
      <vt:variant>
        <vt:i4>4063353</vt:i4>
      </vt:variant>
      <vt:variant>
        <vt:i4>564</vt:i4>
      </vt:variant>
      <vt:variant>
        <vt:i4>0</vt:i4>
      </vt:variant>
      <vt:variant>
        <vt:i4>5</vt:i4>
      </vt:variant>
      <vt:variant>
        <vt:lpwstr>https://hackney.gov.uk/archives-collections</vt:lpwstr>
      </vt:variant>
      <vt:variant>
        <vt:lpwstr/>
      </vt:variant>
      <vt:variant>
        <vt:i4>1638417</vt:i4>
      </vt:variant>
      <vt:variant>
        <vt:i4>561</vt:i4>
      </vt:variant>
      <vt:variant>
        <vt:i4>0</vt:i4>
      </vt:variant>
      <vt:variant>
        <vt:i4>5</vt:i4>
      </vt:variant>
      <vt:variant>
        <vt:lpwstr>https://efi.ed.ac.uk/</vt:lpwstr>
      </vt:variant>
      <vt:variant>
        <vt:lpwstr/>
      </vt:variant>
      <vt:variant>
        <vt:i4>1900573</vt:i4>
      </vt:variant>
      <vt:variant>
        <vt:i4>558</vt:i4>
      </vt:variant>
      <vt:variant>
        <vt:i4>0</vt:i4>
      </vt:variant>
      <vt:variant>
        <vt:i4>5</vt:i4>
      </vt:variant>
      <vt:variant>
        <vt:lpwstr>https://janicetullock.co.uk/</vt:lpwstr>
      </vt:variant>
      <vt:variant>
        <vt:lpwstr/>
      </vt:variant>
      <vt:variant>
        <vt:i4>5505089</vt:i4>
      </vt:variant>
      <vt:variant>
        <vt:i4>555</vt:i4>
      </vt:variant>
      <vt:variant>
        <vt:i4>0</vt:i4>
      </vt:variant>
      <vt:variant>
        <vt:i4>5</vt:i4>
      </vt:variant>
      <vt:variant>
        <vt:lpwstr>https://www.maangamizitrust.org/</vt:lpwstr>
      </vt:variant>
      <vt:variant>
        <vt:lpwstr/>
      </vt:variant>
      <vt:variant>
        <vt:i4>8126501</vt:i4>
      </vt:variant>
      <vt:variant>
        <vt:i4>552</vt:i4>
      </vt:variant>
      <vt:variant>
        <vt:i4>0</vt:i4>
      </vt:variant>
      <vt:variant>
        <vt:i4>5</vt:i4>
      </vt:variant>
      <vt:variant>
        <vt:lpwstr>https://fjssgroup.org/</vt:lpwstr>
      </vt:variant>
      <vt:variant>
        <vt:lpwstr/>
      </vt:variant>
      <vt:variant>
        <vt:i4>786526</vt:i4>
      </vt:variant>
      <vt:variant>
        <vt:i4>549</vt:i4>
      </vt:variant>
      <vt:variant>
        <vt:i4>0</vt:i4>
      </vt:variant>
      <vt:variant>
        <vt:i4>5</vt:i4>
      </vt:variant>
      <vt:variant>
        <vt:lpwstr>https://kwisa.org.uk/</vt:lpwstr>
      </vt:variant>
      <vt:variant>
        <vt:lpwstr/>
      </vt:variant>
      <vt:variant>
        <vt:i4>3145807</vt:i4>
      </vt:variant>
      <vt:variant>
        <vt:i4>546</vt:i4>
      </vt:variant>
      <vt:variant>
        <vt:i4>0</vt:i4>
      </vt:variant>
      <vt:variant>
        <vt:i4>5</vt:i4>
      </vt:variant>
      <vt:variant>
        <vt:lpwstr>https://www.facebook.com/acssscot/?locale=en_GB</vt:lpwstr>
      </vt:variant>
      <vt:variant>
        <vt:lpwstr/>
      </vt:variant>
      <vt:variant>
        <vt:i4>5046340</vt:i4>
      </vt:variant>
      <vt:variant>
        <vt:i4>543</vt:i4>
      </vt:variant>
      <vt:variant>
        <vt:i4>0</vt:i4>
      </vt:variant>
      <vt:variant>
        <vt:i4>5</vt:i4>
      </vt:variant>
      <vt:variant>
        <vt:lpwstr>https://scottishrefugeecouncil.org.uk/places/sudanese-community-in-edinburgh/</vt:lpwstr>
      </vt:variant>
      <vt:variant>
        <vt:lpwstr/>
      </vt:variant>
      <vt:variant>
        <vt:i4>3407975</vt:i4>
      </vt:variant>
      <vt:variant>
        <vt:i4>540</vt:i4>
      </vt:variant>
      <vt:variant>
        <vt:i4>0</vt:i4>
      </vt:variant>
      <vt:variant>
        <vt:i4>5</vt:i4>
      </vt:variant>
      <vt:variant>
        <vt:lpwstr>https://www.scottishstorytellingcentre.com/</vt:lpwstr>
      </vt:variant>
      <vt:variant>
        <vt:lpwstr/>
      </vt:variant>
      <vt:variant>
        <vt:i4>983120</vt:i4>
      </vt:variant>
      <vt:variant>
        <vt:i4>537</vt:i4>
      </vt:variant>
      <vt:variant>
        <vt:i4>0</vt:i4>
      </vt:variant>
      <vt:variant>
        <vt:i4>5</vt:i4>
      </vt:variant>
      <vt:variant>
        <vt:lpwstr>https://blogs.ed.ac.uk/decolonise/2023/10/20/restitution-and-the-anatomical-museum-workshop/</vt:lpwstr>
      </vt:variant>
      <vt:variant>
        <vt:lpwstr/>
      </vt:variant>
      <vt:variant>
        <vt:i4>4784151</vt:i4>
      </vt:variant>
      <vt:variant>
        <vt:i4>534</vt:i4>
      </vt:variant>
      <vt:variant>
        <vt:i4>0</vt:i4>
      </vt:variant>
      <vt:variant>
        <vt:i4>5</vt:i4>
      </vt:variant>
      <vt:variant>
        <vt:lpwstr>https://blogs.ed.ac.uk/decolonise/2024/01/25/community-anchor-invitation/</vt:lpwstr>
      </vt:variant>
      <vt:variant>
        <vt:lpwstr/>
      </vt:variant>
      <vt:variant>
        <vt:i4>4784151</vt:i4>
      </vt:variant>
      <vt:variant>
        <vt:i4>531</vt:i4>
      </vt:variant>
      <vt:variant>
        <vt:i4>0</vt:i4>
      </vt:variant>
      <vt:variant>
        <vt:i4>5</vt:i4>
      </vt:variant>
      <vt:variant>
        <vt:lpwstr>https://blogs.ed.ac.uk/decolonise/2024/01/25/community-anchor-invitation/</vt:lpwstr>
      </vt:variant>
      <vt:variant>
        <vt:lpwstr/>
      </vt:variant>
      <vt:variant>
        <vt:i4>7209022</vt:i4>
      </vt:variant>
      <vt:variant>
        <vt:i4>528</vt:i4>
      </vt:variant>
      <vt:variant>
        <vt:i4>0</vt:i4>
      </vt:variant>
      <vt:variant>
        <vt:i4>5</vt:i4>
      </vt:variant>
      <vt:variant>
        <vt:lpwstr>https://www.race.ed.ac.uk/podcast/</vt:lpwstr>
      </vt:variant>
      <vt:variant>
        <vt:lpwstr/>
      </vt:variant>
      <vt:variant>
        <vt:i4>4063295</vt:i4>
      </vt:variant>
      <vt:variant>
        <vt:i4>525</vt:i4>
      </vt:variant>
      <vt:variant>
        <vt:i4>0</vt:i4>
      </vt:variant>
      <vt:variant>
        <vt:i4>5</vt:i4>
      </vt:variant>
      <vt:variant>
        <vt:lpwstr>https://www.race.ed.ac.uk/</vt:lpwstr>
      </vt:variant>
      <vt:variant>
        <vt:lpwstr/>
      </vt:variant>
      <vt:variant>
        <vt:i4>7733299</vt:i4>
      </vt:variant>
      <vt:variant>
        <vt:i4>522</vt:i4>
      </vt:variant>
      <vt:variant>
        <vt:i4>0</vt:i4>
      </vt:variant>
      <vt:variant>
        <vt:i4>5</vt:i4>
      </vt:variant>
      <vt:variant>
        <vt:lpwstr>https://soundcloud.com/raceedpodcast/episode-13-pt-2-on-reparations-at-the-university-of-edinburgh</vt:lpwstr>
      </vt:variant>
      <vt:variant>
        <vt:lpwstr/>
      </vt:variant>
      <vt:variant>
        <vt:i4>786447</vt:i4>
      </vt:variant>
      <vt:variant>
        <vt:i4>519</vt:i4>
      </vt:variant>
      <vt:variant>
        <vt:i4>0</vt:i4>
      </vt:variant>
      <vt:variant>
        <vt:i4>5</vt:i4>
      </vt:variant>
      <vt:variant>
        <vt:lpwstr>https://soundcloud.com/raceedpodcast/ep-13-on-reparations-at-the-university-of-edinburgh-pt-1</vt:lpwstr>
      </vt:variant>
      <vt:variant>
        <vt:lpwstr/>
      </vt:variant>
      <vt:variant>
        <vt:i4>1245212</vt:i4>
      </vt:variant>
      <vt:variant>
        <vt:i4>516</vt:i4>
      </vt:variant>
      <vt:variant>
        <vt:i4>0</vt:i4>
      </vt:variant>
      <vt:variant>
        <vt:i4>5</vt:i4>
      </vt:variant>
      <vt:variant>
        <vt:lpwstr>https://www.ed.ac.uk/news/2023/minority-communities-to-play-key-role-in-universit</vt:lpwstr>
      </vt:variant>
      <vt:variant>
        <vt:lpwstr/>
      </vt:variant>
      <vt:variant>
        <vt:i4>5636173</vt:i4>
      </vt:variant>
      <vt:variant>
        <vt:i4>513</vt:i4>
      </vt:variant>
      <vt:variant>
        <vt:i4>0</vt:i4>
      </vt:variant>
      <vt:variant>
        <vt:i4>5</vt:i4>
      </vt:variant>
      <vt:variant>
        <vt:lpwstr>https://blogs.ed.ac.uk/decolonise/2023/07/11/decolonised-transformations-inaugural-event-recapitulation/</vt:lpwstr>
      </vt:variant>
      <vt:variant>
        <vt:lpwstr/>
      </vt:variant>
      <vt:variant>
        <vt:i4>7929980</vt:i4>
      </vt:variant>
      <vt:variant>
        <vt:i4>510</vt:i4>
      </vt:variant>
      <vt:variant>
        <vt:i4>0</vt:i4>
      </vt:variant>
      <vt:variant>
        <vt:i4>5</vt:i4>
      </vt:variant>
      <vt:variant>
        <vt:lpwstr>https://www.trg.ed.ac.uk/exhibition/accursed-share</vt:lpwstr>
      </vt:variant>
      <vt:variant>
        <vt:lpwstr/>
      </vt:variant>
      <vt:variant>
        <vt:i4>4849753</vt:i4>
      </vt:variant>
      <vt:variant>
        <vt:i4>507</vt:i4>
      </vt:variant>
      <vt:variant>
        <vt:i4>0</vt:i4>
      </vt:variant>
      <vt:variant>
        <vt:i4>5</vt:i4>
      </vt:variant>
      <vt:variant>
        <vt:lpwstr>https://www.runnymedetrust.org/publications/finding-common-cause-building-research-collaborations-between-universities-and-black-and-minority-ethnic-communities</vt:lpwstr>
      </vt:variant>
      <vt:variant>
        <vt:lpwstr/>
      </vt:variant>
      <vt:variant>
        <vt:i4>1572871</vt:i4>
      </vt:variant>
      <vt:variant>
        <vt:i4>504</vt:i4>
      </vt:variant>
      <vt:variant>
        <vt:i4>0</vt:i4>
      </vt:variant>
      <vt:variant>
        <vt:i4>5</vt:i4>
      </vt:variant>
      <vt:variant>
        <vt:lpwstr>https://www.inosaar.llc.ed.ac.uk/</vt:lpwstr>
      </vt:variant>
      <vt:variant>
        <vt:lpwstr/>
      </vt:variant>
      <vt:variant>
        <vt:i4>8323133</vt:i4>
      </vt:variant>
      <vt:variant>
        <vt:i4>501</vt:i4>
      </vt:variant>
      <vt:variant>
        <vt:i4>0</vt:i4>
      </vt:variant>
      <vt:variant>
        <vt:i4>5</vt:i4>
      </vt:variant>
      <vt:variant>
        <vt:lpwstr>https://blogs.ed.ac.uk/decolonise/category/principles-of-participation/</vt:lpwstr>
      </vt:variant>
      <vt:variant>
        <vt:lpwstr/>
      </vt:variant>
      <vt:variant>
        <vt:i4>5505089</vt:i4>
      </vt:variant>
      <vt:variant>
        <vt:i4>498</vt:i4>
      </vt:variant>
      <vt:variant>
        <vt:i4>0</vt:i4>
      </vt:variant>
      <vt:variant>
        <vt:i4>5</vt:i4>
      </vt:variant>
      <vt:variant>
        <vt:lpwstr>https://www.thandie.art/</vt:lpwstr>
      </vt:variant>
      <vt:variant>
        <vt:lpwstr/>
      </vt:variant>
      <vt:variant>
        <vt:i4>2949157</vt:i4>
      </vt:variant>
      <vt:variant>
        <vt:i4>495</vt:i4>
      </vt:variant>
      <vt:variant>
        <vt:i4>0</vt:i4>
      </vt:variant>
      <vt:variant>
        <vt:i4>5</vt:i4>
      </vt:variant>
      <vt:variant>
        <vt:lpwstr>https://blogs.ed.ac.uk/decolonise/</vt:lpwstr>
      </vt:variant>
      <vt:variant>
        <vt:lpwstr/>
      </vt:variant>
      <vt:variant>
        <vt:i4>7012412</vt:i4>
      </vt:variant>
      <vt:variant>
        <vt:i4>492</vt:i4>
      </vt:variant>
      <vt:variant>
        <vt:i4>0</vt:i4>
      </vt:variant>
      <vt:variant>
        <vt:i4>5</vt:i4>
      </vt:variant>
      <vt:variant>
        <vt:lpwstr>https://www.ed.ac.uk/local</vt:lpwstr>
      </vt:variant>
      <vt:variant>
        <vt:lpwstr/>
      </vt:variant>
      <vt:variant>
        <vt:i4>4063295</vt:i4>
      </vt:variant>
      <vt:variant>
        <vt:i4>489</vt:i4>
      </vt:variant>
      <vt:variant>
        <vt:i4>0</vt:i4>
      </vt:variant>
      <vt:variant>
        <vt:i4>5</vt:i4>
      </vt:variant>
      <vt:variant>
        <vt:lpwstr>https://www.race.ed.ac.uk/</vt:lpwstr>
      </vt:variant>
      <vt:variant>
        <vt:lpwstr/>
      </vt:variant>
      <vt:variant>
        <vt:i4>786501</vt:i4>
      </vt:variant>
      <vt:variant>
        <vt:i4>486</vt:i4>
      </vt:variant>
      <vt:variant>
        <vt:i4>0</vt:i4>
      </vt:variant>
      <vt:variant>
        <vt:i4>5</vt:i4>
      </vt:variant>
      <vt:variant>
        <vt:lpwstr>https://equality-diversity.ed.ac.uk/edi-groups/race-equality-network-eren</vt:lpwstr>
      </vt:variant>
      <vt:variant>
        <vt:lpwstr/>
      </vt:variant>
      <vt:variant>
        <vt:i4>2949157</vt:i4>
      </vt:variant>
      <vt:variant>
        <vt:i4>483</vt:i4>
      </vt:variant>
      <vt:variant>
        <vt:i4>0</vt:i4>
      </vt:variant>
      <vt:variant>
        <vt:i4>5</vt:i4>
      </vt:variant>
      <vt:variant>
        <vt:lpwstr>https://blogs.ed.ac.uk/decolonise/</vt:lpwstr>
      </vt:variant>
      <vt:variant>
        <vt:lpwstr/>
      </vt:variant>
      <vt:variant>
        <vt:i4>4784151</vt:i4>
      </vt:variant>
      <vt:variant>
        <vt:i4>480</vt:i4>
      </vt:variant>
      <vt:variant>
        <vt:i4>0</vt:i4>
      </vt:variant>
      <vt:variant>
        <vt:i4>5</vt:i4>
      </vt:variant>
      <vt:variant>
        <vt:lpwstr>https://blogs.ed.ac.uk/decolonise/2024/01/25/community-anchor-invitation/</vt:lpwstr>
      </vt:variant>
      <vt:variant>
        <vt:lpwstr/>
      </vt:variant>
      <vt:variant>
        <vt:i4>8323133</vt:i4>
      </vt:variant>
      <vt:variant>
        <vt:i4>477</vt:i4>
      </vt:variant>
      <vt:variant>
        <vt:i4>0</vt:i4>
      </vt:variant>
      <vt:variant>
        <vt:i4>5</vt:i4>
      </vt:variant>
      <vt:variant>
        <vt:lpwstr>https://blogs.ed.ac.uk/decolonise/category/principles-of-participation/</vt:lpwstr>
      </vt:variant>
      <vt:variant>
        <vt:lpwstr/>
      </vt:variant>
      <vt:variant>
        <vt:i4>4849665</vt:i4>
      </vt:variant>
      <vt:variant>
        <vt:i4>474</vt:i4>
      </vt:variant>
      <vt:variant>
        <vt:i4>0</vt:i4>
      </vt:variant>
      <vt:variant>
        <vt:i4>5</vt:i4>
      </vt:variant>
      <vt:variant>
        <vt:lpwstr>https://equality-diversity.ed.ac.uk/sites/default/files/2024-07/REAR Action Plan 2023.pdf</vt:lpwstr>
      </vt:variant>
      <vt:variant>
        <vt:lpwstr/>
      </vt:variant>
      <vt:variant>
        <vt:i4>7471206</vt:i4>
      </vt:variant>
      <vt:variant>
        <vt:i4>471</vt:i4>
      </vt:variant>
      <vt:variant>
        <vt:i4>0</vt:i4>
      </vt:variant>
      <vt:variant>
        <vt:i4>5</vt:i4>
      </vt:variant>
      <vt:variant>
        <vt:lpwstr>https://www.ed.ac.uk/files/atoms/files/finalreport-curriculumpromoteinclusionequalitydiversity.pdf</vt:lpwstr>
      </vt:variant>
      <vt:variant>
        <vt:lpwstr/>
      </vt:variant>
      <vt:variant>
        <vt:i4>1376350</vt:i4>
      </vt:variant>
      <vt:variant>
        <vt:i4>468</vt:i4>
      </vt:variant>
      <vt:variant>
        <vt:i4>0</vt:i4>
      </vt:variant>
      <vt:variant>
        <vt:i4>5</vt:i4>
      </vt:variant>
      <vt:variant>
        <vt:lpwstr>https://www.ed.ac.uk/files/atoms/files/thematicreview2018-19-bme-students-finalreport.pdf</vt:lpwstr>
      </vt:variant>
      <vt:variant>
        <vt:lpwstr/>
      </vt:variant>
      <vt:variant>
        <vt:i4>5767174</vt:i4>
      </vt:variant>
      <vt:variant>
        <vt:i4>465</vt:i4>
      </vt:variant>
      <vt:variant>
        <vt:i4>0</vt:i4>
      </vt:variant>
      <vt:variant>
        <vt:i4>5</vt:i4>
      </vt:variant>
      <vt:variant>
        <vt:lpwstr>https://divinity.ed.ac.uk/news-events/public-lecture-series/gunning-lectures</vt:lpwstr>
      </vt:variant>
      <vt:variant>
        <vt:lpwstr/>
      </vt:variant>
      <vt:variant>
        <vt:i4>8126497</vt:i4>
      </vt:variant>
      <vt:variant>
        <vt:i4>462</vt:i4>
      </vt:variant>
      <vt:variant>
        <vt:i4>0</vt:i4>
      </vt:variant>
      <vt:variant>
        <vt:i4>5</vt:i4>
      </vt:variant>
      <vt:variant>
        <vt:lpwstr>https://exhibitions.ed.ac.uk/exhibitions/dreams-of-darien/</vt:lpwstr>
      </vt:variant>
      <vt:variant>
        <vt:lpwstr/>
      </vt:variant>
      <vt:variant>
        <vt:i4>8126497</vt:i4>
      </vt:variant>
      <vt:variant>
        <vt:i4>459</vt:i4>
      </vt:variant>
      <vt:variant>
        <vt:i4>0</vt:i4>
      </vt:variant>
      <vt:variant>
        <vt:i4>5</vt:i4>
      </vt:variant>
      <vt:variant>
        <vt:lpwstr>https://exhibitions.ed.ac.uk/exhibitions/dreams-of-darien/</vt:lpwstr>
      </vt:variant>
      <vt:variant>
        <vt:lpwstr/>
      </vt:variant>
      <vt:variant>
        <vt:i4>6488127</vt:i4>
      </vt:variant>
      <vt:variant>
        <vt:i4>456</vt:i4>
      </vt:variant>
      <vt:variant>
        <vt:i4>0</vt:i4>
      </vt:variant>
      <vt:variant>
        <vt:i4>5</vt:i4>
      </vt:variant>
      <vt:variant>
        <vt:lpwstr>https://www.ohchr.org/en/instruments-mechanisms/instruments/basic-principles-and-guidelines-right-remedy-and-reparation</vt:lpwstr>
      </vt:variant>
      <vt:variant>
        <vt:lpwstr/>
      </vt:variant>
      <vt:variant>
        <vt:i4>2949157</vt:i4>
      </vt:variant>
      <vt:variant>
        <vt:i4>453</vt:i4>
      </vt:variant>
      <vt:variant>
        <vt:i4>0</vt:i4>
      </vt:variant>
      <vt:variant>
        <vt:i4>5</vt:i4>
      </vt:variant>
      <vt:variant>
        <vt:lpwstr>https://blogs.ed.ac.uk/decolonise/</vt:lpwstr>
      </vt:variant>
      <vt:variant>
        <vt:lpwstr/>
      </vt:variant>
      <vt:variant>
        <vt:i4>2949157</vt:i4>
      </vt:variant>
      <vt:variant>
        <vt:i4>450</vt:i4>
      </vt:variant>
      <vt:variant>
        <vt:i4>0</vt:i4>
      </vt:variant>
      <vt:variant>
        <vt:i4>5</vt:i4>
      </vt:variant>
      <vt:variant>
        <vt:lpwstr>https://blogs.ed.ac.uk/decolonise/</vt:lpwstr>
      </vt:variant>
      <vt:variant>
        <vt:lpwstr/>
      </vt:variant>
      <vt:variant>
        <vt:i4>8192048</vt:i4>
      </vt:variant>
      <vt:variant>
        <vt:i4>447</vt:i4>
      </vt:variant>
      <vt:variant>
        <vt:i4>0</vt:i4>
      </vt:variant>
      <vt:variant>
        <vt:i4>5</vt:i4>
      </vt:variant>
      <vt:variant>
        <vt:lpwstr>https://www.exeter.ox.ac.uk/documents/Exeter-College-and-the-Legacies-of-Slavery-Report.pdf</vt:lpwstr>
      </vt:variant>
      <vt:variant>
        <vt:lpwstr/>
      </vt:variant>
      <vt:variant>
        <vt:i4>3145837</vt:i4>
      </vt:variant>
      <vt:variant>
        <vt:i4>444</vt:i4>
      </vt:variant>
      <vt:variant>
        <vt:i4>0</vt:i4>
      </vt:variant>
      <vt:variant>
        <vt:i4>5</vt:i4>
      </vt:variant>
      <vt:variant>
        <vt:lpwstr>https://www.gla.ac.uk/media/Media_607547_smxx.pdf</vt:lpwstr>
      </vt:variant>
      <vt:variant>
        <vt:lpwstr/>
      </vt:variant>
      <vt:variant>
        <vt:i4>2097279</vt:i4>
      </vt:variant>
      <vt:variant>
        <vt:i4>441</vt:i4>
      </vt:variant>
      <vt:variant>
        <vt:i4>0</vt:i4>
      </vt:variant>
      <vt:variant>
        <vt:i4>5</vt:i4>
      </vt:variant>
      <vt:variant>
        <vt:lpwstr>https://www.strath.ac.uk/whystrathclyde/news/2023/reportshedslightonhistoricallinkstotransatlanticslavery/</vt:lpwstr>
      </vt:variant>
      <vt:variant>
        <vt:lpwstr>:~:text=The%20University%20of%20Strathclyde%20has,from%20money%20derived%20from%20slavery</vt:lpwstr>
      </vt:variant>
      <vt:variant>
        <vt:i4>2097279</vt:i4>
      </vt:variant>
      <vt:variant>
        <vt:i4>438</vt:i4>
      </vt:variant>
      <vt:variant>
        <vt:i4>0</vt:i4>
      </vt:variant>
      <vt:variant>
        <vt:i4>5</vt:i4>
      </vt:variant>
      <vt:variant>
        <vt:lpwstr>https://www.strath.ac.uk/whystrathclyde/news/2023/reportshedslightonhistoricallinkstotransatlanticslavery/</vt:lpwstr>
      </vt:variant>
      <vt:variant>
        <vt:lpwstr>:~:text=The%20University%20of%20Strathclyde%20has,from%20money%20derived%20from%20slavery</vt:lpwstr>
      </vt:variant>
      <vt:variant>
        <vt:i4>7405666</vt:i4>
      </vt:variant>
      <vt:variant>
        <vt:i4>435</vt:i4>
      </vt:variant>
      <vt:variant>
        <vt:i4>0</vt:i4>
      </vt:variant>
      <vt:variant>
        <vt:i4>5</vt:i4>
      </vt:variant>
      <vt:variant>
        <vt:lpwstr>https://www.ucl.ac.uk/lbs/</vt:lpwstr>
      </vt:variant>
      <vt:variant>
        <vt:lpwstr/>
      </vt:variant>
      <vt:variant>
        <vt:i4>7077987</vt:i4>
      </vt:variant>
      <vt:variant>
        <vt:i4>432</vt:i4>
      </vt:variant>
      <vt:variant>
        <vt:i4>0</vt:i4>
      </vt:variant>
      <vt:variant>
        <vt:i4>5</vt:i4>
      </vt:variant>
      <vt:variant>
        <vt:lpwstr>https://www.liverpool.ac.uk/csis/about-us/</vt:lpwstr>
      </vt:variant>
      <vt:variant>
        <vt:lpwstr/>
      </vt:variant>
      <vt:variant>
        <vt:i4>4980801</vt:i4>
      </vt:variant>
      <vt:variant>
        <vt:i4>429</vt:i4>
      </vt:variant>
      <vt:variant>
        <vt:i4>0</vt:i4>
      </vt:variant>
      <vt:variant>
        <vt:i4>5</vt:i4>
      </vt:variant>
      <vt:variant>
        <vt:lpwstr>https://www.gla.ac.uk/news/archiveofnews/2018/september/headline_607154_en.html</vt:lpwstr>
      </vt:variant>
      <vt:variant>
        <vt:lpwstr/>
      </vt:variant>
      <vt:variant>
        <vt:i4>6291554</vt:i4>
      </vt:variant>
      <vt:variant>
        <vt:i4>426</vt:i4>
      </vt:variant>
      <vt:variant>
        <vt:i4>0</vt:i4>
      </vt:variant>
      <vt:variant>
        <vt:i4>5</vt:i4>
      </vt:variant>
      <vt:variant>
        <vt:lpwstr>https://slavery.virginia.edu/universities-studying-slavery/</vt:lpwstr>
      </vt:variant>
      <vt:variant>
        <vt:lpwstr/>
      </vt:variant>
      <vt:variant>
        <vt:i4>6291554</vt:i4>
      </vt:variant>
      <vt:variant>
        <vt:i4>423</vt:i4>
      </vt:variant>
      <vt:variant>
        <vt:i4>0</vt:i4>
      </vt:variant>
      <vt:variant>
        <vt:i4>5</vt:i4>
      </vt:variant>
      <vt:variant>
        <vt:lpwstr>https://slavery.virginia.edu/universities-studying-slavery/</vt:lpwstr>
      </vt:variant>
      <vt:variant>
        <vt:lpwstr/>
      </vt:variant>
      <vt:variant>
        <vt:i4>3276854</vt:i4>
      </vt:variant>
      <vt:variant>
        <vt:i4>420</vt:i4>
      </vt:variant>
      <vt:variant>
        <vt:i4>0</vt:i4>
      </vt:variant>
      <vt:variant>
        <vt:i4>5</vt:i4>
      </vt:variant>
      <vt:variant>
        <vt:lpwstr>https://legacyofslavery.harvard.edu/report</vt:lpwstr>
      </vt:variant>
      <vt:variant>
        <vt:lpwstr/>
      </vt:variant>
      <vt:variant>
        <vt:i4>8257647</vt:i4>
      </vt:variant>
      <vt:variant>
        <vt:i4>417</vt:i4>
      </vt:variant>
      <vt:variant>
        <vt:i4>0</vt:i4>
      </vt:variant>
      <vt:variant>
        <vt:i4>5</vt:i4>
      </vt:variant>
      <vt:variant>
        <vt:lpwstr>https://slaveryarchive.georgetown.edu/</vt:lpwstr>
      </vt:variant>
      <vt:variant>
        <vt:lpwstr/>
      </vt:variant>
      <vt:variant>
        <vt:i4>7995509</vt:i4>
      </vt:variant>
      <vt:variant>
        <vt:i4>414</vt:i4>
      </vt:variant>
      <vt:variant>
        <vt:i4>0</vt:i4>
      </vt:variant>
      <vt:variant>
        <vt:i4>5</vt:i4>
      </vt:variant>
      <vt:variant>
        <vt:lpwstr>https://www.wm.edu/sites/lemonproject/</vt:lpwstr>
      </vt:variant>
      <vt:variant>
        <vt:lpwstr/>
      </vt:variant>
      <vt:variant>
        <vt:i4>4063295</vt:i4>
      </vt:variant>
      <vt:variant>
        <vt:i4>411</vt:i4>
      </vt:variant>
      <vt:variant>
        <vt:i4>0</vt:i4>
      </vt:variant>
      <vt:variant>
        <vt:i4>5</vt:i4>
      </vt:variant>
      <vt:variant>
        <vt:lpwstr>https://www.race.ed.ac.uk/</vt:lpwstr>
      </vt:variant>
      <vt:variant>
        <vt:lpwstr/>
      </vt:variant>
      <vt:variant>
        <vt:i4>1441799</vt:i4>
      </vt:variant>
      <vt:variant>
        <vt:i4>408</vt:i4>
      </vt:variant>
      <vt:variant>
        <vt:i4>0</vt:i4>
      </vt:variant>
      <vt:variant>
        <vt:i4>5</vt:i4>
      </vt:variant>
      <vt:variant>
        <vt:lpwstr>https://www.ed.ac.uk/equality-diversity/edi-groups/race-equality-network-eren</vt:lpwstr>
      </vt:variant>
      <vt:variant>
        <vt:lpwstr/>
      </vt:variant>
      <vt:variant>
        <vt:i4>1572871</vt:i4>
      </vt:variant>
      <vt:variant>
        <vt:i4>405</vt:i4>
      </vt:variant>
      <vt:variant>
        <vt:i4>0</vt:i4>
      </vt:variant>
      <vt:variant>
        <vt:i4>5</vt:i4>
      </vt:variant>
      <vt:variant>
        <vt:lpwstr>https://www.inosaar.llc.ed.ac.uk/</vt:lpwstr>
      </vt:variant>
      <vt:variant>
        <vt:lpwstr/>
      </vt:variant>
      <vt:variant>
        <vt:i4>4325424</vt:i4>
      </vt:variant>
      <vt:variant>
        <vt:i4>402</vt:i4>
      </vt:variant>
      <vt:variant>
        <vt:i4>0</vt:i4>
      </vt:variant>
      <vt:variant>
        <vt:i4>5</vt:i4>
      </vt:variant>
      <vt:variant>
        <vt:lpwstr>https://www.facebook.com/blckedmovement/?locale=en_GB</vt:lpwstr>
      </vt:variant>
      <vt:variant>
        <vt:lpwstr/>
      </vt:variant>
      <vt:variant>
        <vt:i4>8323133</vt:i4>
      </vt:variant>
      <vt:variant>
        <vt:i4>399</vt:i4>
      </vt:variant>
      <vt:variant>
        <vt:i4>0</vt:i4>
      </vt:variant>
      <vt:variant>
        <vt:i4>5</vt:i4>
      </vt:variant>
      <vt:variant>
        <vt:lpwstr>https://blogs.ed.ac.uk/decolonise/category/principles-of-participation/</vt:lpwstr>
      </vt:variant>
      <vt:variant>
        <vt:lpwstr/>
      </vt:variant>
      <vt:variant>
        <vt:i4>2424933</vt:i4>
      </vt:variant>
      <vt:variant>
        <vt:i4>396</vt:i4>
      </vt:variant>
      <vt:variant>
        <vt:i4>0</vt:i4>
      </vt:variant>
      <vt:variant>
        <vt:i4>5</vt:i4>
      </vt:variant>
      <vt:variant>
        <vt:lpwstr>https://www.un.org/en/observances/decade-people-african-descent</vt:lpwstr>
      </vt:variant>
      <vt:variant>
        <vt:lpwstr/>
      </vt:variant>
      <vt:variant>
        <vt:i4>2818155</vt:i4>
      </vt:variant>
      <vt:variant>
        <vt:i4>393</vt:i4>
      </vt:variant>
      <vt:variant>
        <vt:i4>0</vt:i4>
      </vt:variant>
      <vt:variant>
        <vt:i4>5</vt:i4>
      </vt:variant>
      <vt:variant>
        <vt:lpwstr>https://www.sikhsanjog.com/</vt:lpwstr>
      </vt:variant>
      <vt:variant>
        <vt:lpwstr/>
      </vt:variant>
      <vt:variant>
        <vt:i4>4063359</vt:i4>
      </vt:variant>
      <vt:variant>
        <vt:i4>390</vt:i4>
      </vt:variant>
      <vt:variant>
        <vt:i4>0</vt:i4>
      </vt:variant>
      <vt:variant>
        <vt:i4>5</vt:i4>
      </vt:variant>
      <vt:variant>
        <vt:lpwstr>https://www.praler.net/</vt:lpwstr>
      </vt:variant>
      <vt:variant>
        <vt:lpwstr/>
      </vt:variant>
      <vt:variant>
        <vt:i4>2818157</vt:i4>
      </vt:variant>
      <vt:variant>
        <vt:i4>387</vt:i4>
      </vt:variant>
      <vt:variant>
        <vt:i4>0</vt:i4>
      </vt:variant>
      <vt:variant>
        <vt:i4>5</vt:i4>
      </vt:variant>
      <vt:variant>
        <vt:lpwstr>https://www.parisc.org/</vt:lpwstr>
      </vt:variant>
      <vt:variant>
        <vt:lpwstr/>
      </vt:variant>
      <vt:variant>
        <vt:i4>6357046</vt:i4>
      </vt:variant>
      <vt:variant>
        <vt:i4>384</vt:i4>
      </vt:variant>
      <vt:variant>
        <vt:i4>0</vt:i4>
      </vt:variant>
      <vt:variant>
        <vt:i4>5</vt:i4>
      </vt:variant>
      <vt:variant>
        <vt:lpwstr>https://www.facebook.com/INOSAARRepAfrika/</vt:lpwstr>
      </vt:variant>
      <vt:variant>
        <vt:lpwstr/>
      </vt:variant>
      <vt:variant>
        <vt:i4>983050</vt:i4>
      </vt:variant>
      <vt:variant>
        <vt:i4>381</vt:i4>
      </vt:variant>
      <vt:variant>
        <vt:i4>0</vt:i4>
      </vt:variant>
      <vt:variant>
        <vt:i4>5</vt:i4>
      </vt:variant>
      <vt:variant>
        <vt:lpwstr>https://www.thediasporaproject.co.uk/</vt:lpwstr>
      </vt:variant>
      <vt:variant>
        <vt:lpwstr/>
      </vt:variant>
      <vt:variant>
        <vt:i4>2818105</vt:i4>
      </vt:variant>
      <vt:variant>
        <vt:i4>378</vt:i4>
      </vt:variant>
      <vt:variant>
        <vt:i4>0</vt:i4>
      </vt:variant>
      <vt:variant>
        <vt:i4>5</vt:i4>
      </vt:variant>
      <vt:variant>
        <vt:lpwstr>https://www.linkedin.com/company/african-caribbean-medical-society-edinburgh/?originalSubdomain=uk</vt:lpwstr>
      </vt:variant>
      <vt:variant>
        <vt:lpwstr/>
      </vt:variant>
      <vt:variant>
        <vt:i4>7798883</vt:i4>
      </vt:variant>
      <vt:variant>
        <vt:i4>375</vt:i4>
      </vt:variant>
      <vt:variant>
        <vt:i4>0</vt:i4>
      </vt:variant>
      <vt:variant>
        <vt:i4>5</vt:i4>
      </vt:variant>
      <vt:variant>
        <vt:lpwstr>https://www.ed.ac.uk/profile/ninifangdr</vt:lpwstr>
      </vt:variant>
      <vt:variant>
        <vt:lpwstr/>
      </vt:variant>
      <vt:variant>
        <vt:i4>5570649</vt:i4>
      </vt:variant>
      <vt:variant>
        <vt:i4>372</vt:i4>
      </vt:variant>
      <vt:variant>
        <vt:i4>0</vt:i4>
      </vt:variant>
      <vt:variant>
        <vt:i4>5</vt:i4>
      </vt:variant>
      <vt:variant>
        <vt:lpwstr>https://www.sps.ed.ac.uk/staff/roger-jeffery</vt:lpwstr>
      </vt:variant>
      <vt:variant>
        <vt:lpwstr/>
      </vt:variant>
      <vt:variant>
        <vt:i4>2359347</vt:i4>
      </vt:variant>
      <vt:variant>
        <vt:i4>369</vt:i4>
      </vt:variant>
      <vt:variant>
        <vt:i4>0</vt:i4>
      </vt:variant>
      <vt:variant>
        <vt:i4>5</vt:i4>
      </vt:variant>
      <vt:variant>
        <vt:lpwstr>https://www.ed.ac.uk/staff/teaching-matters/curriculum-transformation-programme</vt:lpwstr>
      </vt:variant>
      <vt:variant>
        <vt:lpwstr/>
      </vt:variant>
      <vt:variant>
        <vt:i4>7864376</vt:i4>
      </vt:variant>
      <vt:variant>
        <vt:i4>366</vt:i4>
      </vt:variant>
      <vt:variant>
        <vt:i4>0</vt:i4>
      </vt:variant>
      <vt:variant>
        <vt:i4>5</vt:i4>
      </vt:variant>
      <vt:variant>
        <vt:lpwstr>https://www.ed.ac.uk/profile/omolabake-fakunle</vt:lpwstr>
      </vt:variant>
      <vt:variant>
        <vt:lpwstr/>
      </vt:variant>
      <vt:variant>
        <vt:i4>4784151</vt:i4>
      </vt:variant>
      <vt:variant>
        <vt:i4>363</vt:i4>
      </vt:variant>
      <vt:variant>
        <vt:i4>0</vt:i4>
      </vt:variant>
      <vt:variant>
        <vt:i4>5</vt:i4>
      </vt:variant>
      <vt:variant>
        <vt:lpwstr>https://blogs.ed.ac.uk/decolonise/2024/01/25/community-anchor-invitation/</vt:lpwstr>
      </vt:variant>
      <vt:variant>
        <vt:lpwstr/>
      </vt:variant>
      <vt:variant>
        <vt:i4>3539002</vt:i4>
      </vt:variant>
      <vt:variant>
        <vt:i4>360</vt:i4>
      </vt:variant>
      <vt:variant>
        <vt:i4>0</vt:i4>
      </vt:variant>
      <vt:variant>
        <vt:i4>5</vt:i4>
      </vt:variant>
      <vt:variant>
        <vt:lpwstr>https://www.eusa.ed.ac.uk/yourvoice/yourrepresentatives/liberationofficers</vt:lpwstr>
      </vt:variant>
      <vt:variant>
        <vt:lpwstr/>
      </vt:variant>
      <vt:variant>
        <vt:i4>2424869</vt:i4>
      </vt:variant>
      <vt:variant>
        <vt:i4>357</vt:i4>
      </vt:variant>
      <vt:variant>
        <vt:i4>0</vt:i4>
      </vt:variant>
      <vt:variant>
        <vt:i4>5</vt:i4>
      </vt:variant>
      <vt:variant>
        <vt:lpwstr>https://www.fjssgroup.org/</vt:lpwstr>
      </vt:variant>
      <vt:variant>
        <vt:lpwstr/>
      </vt:variant>
      <vt:variant>
        <vt:i4>1704031</vt:i4>
      </vt:variant>
      <vt:variant>
        <vt:i4>354</vt:i4>
      </vt:variant>
      <vt:variant>
        <vt:i4>0</vt:i4>
      </vt:variant>
      <vt:variant>
        <vt:i4>5</vt:i4>
      </vt:variant>
      <vt:variant>
        <vt:lpwstr>https://www.crer.org.uk/</vt:lpwstr>
      </vt:variant>
      <vt:variant>
        <vt:lpwstr/>
      </vt:variant>
      <vt:variant>
        <vt:i4>1572871</vt:i4>
      </vt:variant>
      <vt:variant>
        <vt:i4>351</vt:i4>
      </vt:variant>
      <vt:variant>
        <vt:i4>0</vt:i4>
      </vt:variant>
      <vt:variant>
        <vt:i4>5</vt:i4>
      </vt:variant>
      <vt:variant>
        <vt:lpwstr>https://www.inosaar.llc.ed.ac.uk/</vt:lpwstr>
      </vt:variant>
      <vt:variant>
        <vt:lpwstr/>
      </vt:variant>
      <vt:variant>
        <vt:i4>720960</vt:i4>
      </vt:variant>
      <vt:variant>
        <vt:i4>348</vt:i4>
      </vt:variant>
      <vt:variant>
        <vt:i4>0</vt:i4>
      </vt:variant>
      <vt:variant>
        <vt:i4>5</vt:i4>
      </vt:variant>
      <vt:variant>
        <vt:lpwstr>https://www.facebook.com/parcoeinfo/</vt:lpwstr>
      </vt:variant>
      <vt:variant>
        <vt:lpwstr/>
      </vt:variant>
      <vt:variant>
        <vt:i4>5636105</vt:i4>
      </vt:variant>
      <vt:variant>
        <vt:i4>345</vt:i4>
      </vt:variant>
      <vt:variant>
        <vt:i4>0</vt:i4>
      </vt:variant>
      <vt:variant>
        <vt:i4>5</vt:i4>
      </vt:variant>
      <vt:variant>
        <vt:lpwstr>https://blogs.ed.ac.uk/decolonise/2024/02/08/members-bios-affected-community-members/</vt:lpwstr>
      </vt:variant>
      <vt:variant>
        <vt:lpwstr/>
      </vt:variant>
      <vt:variant>
        <vt:i4>5636105</vt:i4>
      </vt:variant>
      <vt:variant>
        <vt:i4>342</vt:i4>
      </vt:variant>
      <vt:variant>
        <vt:i4>0</vt:i4>
      </vt:variant>
      <vt:variant>
        <vt:i4>5</vt:i4>
      </vt:variant>
      <vt:variant>
        <vt:lpwstr>https://blogs.ed.ac.uk/decolonise/2024/02/08/members-bios-affected-community-members/</vt:lpwstr>
      </vt:variant>
      <vt:variant>
        <vt:lpwstr/>
      </vt:variant>
      <vt:variant>
        <vt:i4>8192112</vt:i4>
      </vt:variant>
      <vt:variant>
        <vt:i4>339</vt:i4>
      </vt:variant>
      <vt:variant>
        <vt:i4>0</vt:i4>
      </vt:variant>
      <vt:variant>
        <vt:i4>5</vt:i4>
      </vt:variant>
      <vt:variant>
        <vt:lpwstr>https://www.iash.ed.ac.uk/profile/samantha-likonde</vt:lpwstr>
      </vt:variant>
      <vt:variant>
        <vt:lpwstr/>
      </vt:variant>
      <vt:variant>
        <vt:i4>4063295</vt:i4>
      </vt:variant>
      <vt:variant>
        <vt:i4>336</vt:i4>
      </vt:variant>
      <vt:variant>
        <vt:i4>0</vt:i4>
      </vt:variant>
      <vt:variant>
        <vt:i4>5</vt:i4>
      </vt:variant>
      <vt:variant>
        <vt:lpwstr>https://www.race.ed.ac.uk/</vt:lpwstr>
      </vt:variant>
      <vt:variant>
        <vt:lpwstr/>
      </vt:variant>
      <vt:variant>
        <vt:i4>2949247</vt:i4>
      </vt:variant>
      <vt:variant>
        <vt:i4>333</vt:i4>
      </vt:variant>
      <vt:variant>
        <vt:i4>0</vt:i4>
      </vt:variant>
      <vt:variant>
        <vt:i4>5</vt:i4>
      </vt:variant>
      <vt:variant>
        <vt:lpwstr>https://www.gla.ac.uk/schools/socialpolitical/staff/nasarmeer/</vt:lpwstr>
      </vt:variant>
      <vt:variant>
        <vt:lpwstr/>
      </vt:variant>
      <vt:variant>
        <vt:i4>852039</vt:i4>
      </vt:variant>
      <vt:variant>
        <vt:i4>330</vt:i4>
      </vt:variant>
      <vt:variant>
        <vt:i4>0</vt:i4>
      </vt:variant>
      <vt:variant>
        <vt:i4>5</vt:i4>
      </vt:variant>
      <vt:variant>
        <vt:lpwstr>https://www.ed.ac.uk/profile/daryl-green</vt:lpwstr>
      </vt:variant>
      <vt:variant>
        <vt:lpwstr/>
      </vt:variant>
      <vt:variant>
        <vt:i4>1376321</vt:i4>
      </vt:variant>
      <vt:variant>
        <vt:i4>327</vt:i4>
      </vt:variant>
      <vt:variant>
        <vt:i4>0</vt:i4>
      </vt:variant>
      <vt:variant>
        <vt:i4>5</vt:i4>
      </vt:variant>
      <vt:variant>
        <vt:lpwstr>https://www.ed.ac.uk/profile/diana-paton</vt:lpwstr>
      </vt:variant>
      <vt:variant>
        <vt:lpwstr/>
      </vt:variant>
      <vt:variant>
        <vt:i4>5636171</vt:i4>
      </vt:variant>
      <vt:variant>
        <vt:i4>324</vt:i4>
      </vt:variant>
      <vt:variant>
        <vt:i4>0</vt:i4>
      </vt:variant>
      <vt:variant>
        <vt:i4>5</vt:i4>
      </vt:variant>
      <vt:variant>
        <vt:lpwstr>https://blogs.ed.ac.uk/decolonise/2024/02/08/members-bios-research-assistant/</vt:lpwstr>
      </vt:variant>
      <vt:variant>
        <vt:lpwstr/>
      </vt:variant>
      <vt:variant>
        <vt:i4>8257635</vt:i4>
      </vt:variant>
      <vt:variant>
        <vt:i4>321</vt:i4>
      </vt:variant>
      <vt:variant>
        <vt:i4>0</vt:i4>
      </vt:variant>
      <vt:variant>
        <vt:i4>5</vt:i4>
      </vt:variant>
      <vt:variant>
        <vt:lpwstr>https://www.sps.ed.ac.uk/staff/nicola-perugini</vt:lpwstr>
      </vt:variant>
      <vt:variant>
        <vt:lpwstr/>
      </vt:variant>
      <vt:variant>
        <vt:i4>6750332</vt:i4>
      </vt:variant>
      <vt:variant>
        <vt:i4>318</vt:i4>
      </vt:variant>
      <vt:variant>
        <vt:i4>0</vt:i4>
      </vt:variant>
      <vt:variant>
        <vt:i4>5</vt:i4>
      </vt:variant>
      <vt:variant>
        <vt:lpwstr>https://www.sps.ed.ac.uk/staff/shaira-vadasaria</vt:lpwstr>
      </vt:variant>
      <vt:variant>
        <vt:lpwstr/>
      </vt:variant>
      <vt:variant>
        <vt:i4>3604607</vt:i4>
      </vt:variant>
      <vt:variant>
        <vt:i4>315</vt:i4>
      </vt:variant>
      <vt:variant>
        <vt:i4>0</vt:i4>
      </vt:variant>
      <vt:variant>
        <vt:i4>5</vt:i4>
      </vt:variant>
      <vt:variant>
        <vt:lpwstr>https://www.iash.ed.ac.uk/profile/dr-yarong-xie</vt:lpwstr>
      </vt:variant>
      <vt:variant>
        <vt:lpwstr/>
      </vt:variant>
      <vt:variant>
        <vt:i4>1179731</vt:i4>
      </vt:variant>
      <vt:variant>
        <vt:i4>312</vt:i4>
      </vt:variant>
      <vt:variant>
        <vt:i4>0</vt:i4>
      </vt:variant>
      <vt:variant>
        <vt:i4>5</vt:i4>
      </vt:variant>
      <vt:variant>
        <vt:lpwstr>https://www.iash.ed.ac.uk/profile/dr-ian-stewart</vt:lpwstr>
      </vt:variant>
      <vt:variant>
        <vt:lpwstr/>
      </vt:variant>
      <vt:variant>
        <vt:i4>6750256</vt:i4>
      </vt:variant>
      <vt:variant>
        <vt:i4>309</vt:i4>
      </vt:variant>
      <vt:variant>
        <vt:i4>0</vt:i4>
      </vt:variant>
      <vt:variant>
        <vt:i4>5</vt:i4>
      </vt:variant>
      <vt:variant>
        <vt:lpwstr>https://www.iash.ed.ac.uk/profile/dr-simon-buck</vt:lpwstr>
      </vt:variant>
      <vt:variant>
        <vt:lpwstr/>
      </vt:variant>
      <vt:variant>
        <vt:i4>4849665</vt:i4>
      </vt:variant>
      <vt:variant>
        <vt:i4>306</vt:i4>
      </vt:variant>
      <vt:variant>
        <vt:i4>0</vt:i4>
      </vt:variant>
      <vt:variant>
        <vt:i4>5</vt:i4>
      </vt:variant>
      <vt:variant>
        <vt:lpwstr>https://equality-diversity.ed.ac.uk/sites/default/files/2024-07/REAR Action Plan 2023.pdf</vt:lpwstr>
      </vt:variant>
      <vt:variant>
        <vt:lpwstr/>
      </vt:variant>
      <vt:variant>
        <vt:i4>5963859</vt:i4>
      </vt:variant>
      <vt:variant>
        <vt:i4>303</vt:i4>
      </vt:variant>
      <vt:variant>
        <vt:i4>0</vt:i4>
      </vt:variant>
      <vt:variant>
        <vt:i4>5</vt:i4>
      </vt:variant>
      <vt:variant>
        <vt:lpwstr>https://www.ed.ac.uk/files/atoms/files/uoe_race_equality_and_anti-racist_action_plan.pdf</vt:lpwstr>
      </vt:variant>
      <vt:variant>
        <vt:lpwstr/>
      </vt:variant>
      <vt:variant>
        <vt:i4>6815852</vt:i4>
      </vt:variant>
      <vt:variant>
        <vt:i4>300</vt:i4>
      </vt:variant>
      <vt:variant>
        <vt:i4>0</vt:i4>
      </vt:variant>
      <vt:variant>
        <vt:i4>5</vt:i4>
      </vt:variant>
      <vt:variant>
        <vt:lpwstr>https://www.ed.ac.uk/news/2021/addressing-contemporary-and-historic-racism/statement-from-principal</vt:lpwstr>
      </vt:variant>
      <vt:variant>
        <vt:lpwstr/>
      </vt:variant>
      <vt:variant>
        <vt:i4>4849665</vt:i4>
      </vt:variant>
      <vt:variant>
        <vt:i4>297</vt:i4>
      </vt:variant>
      <vt:variant>
        <vt:i4>0</vt:i4>
      </vt:variant>
      <vt:variant>
        <vt:i4>5</vt:i4>
      </vt:variant>
      <vt:variant>
        <vt:lpwstr>https://equality-diversity.ed.ac.uk/sites/default/files/2024-07/REAR Action Plan 2023.pdf</vt:lpwstr>
      </vt:variant>
      <vt:variant>
        <vt:lpwstr/>
      </vt:variant>
      <vt:variant>
        <vt:i4>5963859</vt:i4>
      </vt:variant>
      <vt:variant>
        <vt:i4>294</vt:i4>
      </vt:variant>
      <vt:variant>
        <vt:i4>0</vt:i4>
      </vt:variant>
      <vt:variant>
        <vt:i4>5</vt:i4>
      </vt:variant>
      <vt:variant>
        <vt:lpwstr>https://www.ed.ac.uk/files/atoms/files/uoe_race_equality_and_anti-racist_action_plan.pdf</vt:lpwstr>
      </vt:variant>
      <vt:variant>
        <vt:lpwstr/>
      </vt:variant>
      <vt:variant>
        <vt:i4>2949157</vt:i4>
      </vt:variant>
      <vt:variant>
        <vt:i4>291</vt:i4>
      </vt:variant>
      <vt:variant>
        <vt:i4>0</vt:i4>
      </vt:variant>
      <vt:variant>
        <vt:i4>5</vt:i4>
      </vt:variant>
      <vt:variant>
        <vt:lpwstr>https://blogs.ed.ac.uk/decolonise/</vt:lpwstr>
      </vt:variant>
      <vt:variant>
        <vt:lpwstr/>
      </vt:variant>
      <vt:variant>
        <vt:i4>1310770</vt:i4>
      </vt:variant>
      <vt:variant>
        <vt:i4>284</vt:i4>
      </vt:variant>
      <vt:variant>
        <vt:i4>0</vt:i4>
      </vt:variant>
      <vt:variant>
        <vt:i4>5</vt:i4>
      </vt:variant>
      <vt:variant>
        <vt:lpwstr/>
      </vt:variant>
      <vt:variant>
        <vt:lpwstr>_Toc190872402</vt:lpwstr>
      </vt:variant>
      <vt:variant>
        <vt:i4>1310770</vt:i4>
      </vt:variant>
      <vt:variant>
        <vt:i4>278</vt:i4>
      </vt:variant>
      <vt:variant>
        <vt:i4>0</vt:i4>
      </vt:variant>
      <vt:variant>
        <vt:i4>5</vt:i4>
      </vt:variant>
      <vt:variant>
        <vt:lpwstr/>
      </vt:variant>
      <vt:variant>
        <vt:lpwstr>_Toc190872401</vt:lpwstr>
      </vt:variant>
      <vt:variant>
        <vt:i4>1310770</vt:i4>
      </vt:variant>
      <vt:variant>
        <vt:i4>272</vt:i4>
      </vt:variant>
      <vt:variant>
        <vt:i4>0</vt:i4>
      </vt:variant>
      <vt:variant>
        <vt:i4>5</vt:i4>
      </vt:variant>
      <vt:variant>
        <vt:lpwstr/>
      </vt:variant>
      <vt:variant>
        <vt:lpwstr>_Toc190872400</vt:lpwstr>
      </vt:variant>
      <vt:variant>
        <vt:i4>1900597</vt:i4>
      </vt:variant>
      <vt:variant>
        <vt:i4>266</vt:i4>
      </vt:variant>
      <vt:variant>
        <vt:i4>0</vt:i4>
      </vt:variant>
      <vt:variant>
        <vt:i4>5</vt:i4>
      </vt:variant>
      <vt:variant>
        <vt:lpwstr/>
      </vt:variant>
      <vt:variant>
        <vt:lpwstr>_Toc190872399</vt:lpwstr>
      </vt:variant>
      <vt:variant>
        <vt:i4>1900597</vt:i4>
      </vt:variant>
      <vt:variant>
        <vt:i4>260</vt:i4>
      </vt:variant>
      <vt:variant>
        <vt:i4>0</vt:i4>
      </vt:variant>
      <vt:variant>
        <vt:i4>5</vt:i4>
      </vt:variant>
      <vt:variant>
        <vt:lpwstr/>
      </vt:variant>
      <vt:variant>
        <vt:lpwstr>_Toc190872398</vt:lpwstr>
      </vt:variant>
      <vt:variant>
        <vt:i4>1900597</vt:i4>
      </vt:variant>
      <vt:variant>
        <vt:i4>254</vt:i4>
      </vt:variant>
      <vt:variant>
        <vt:i4>0</vt:i4>
      </vt:variant>
      <vt:variant>
        <vt:i4>5</vt:i4>
      </vt:variant>
      <vt:variant>
        <vt:lpwstr/>
      </vt:variant>
      <vt:variant>
        <vt:lpwstr>_Toc190872397</vt:lpwstr>
      </vt:variant>
      <vt:variant>
        <vt:i4>1900597</vt:i4>
      </vt:variant>
      <vt:variant>
        <vt:i4>248</vt:i4>
      </vt:variant>
      <vt:variant>
        <vt:i4>0</vt:i4>
      </vt:variant>
      <vt:variant>
        <vt:i4>5</vt:i4>
      </vt:variant>
      <vt:variant>
        <vt:lpwstr/>
      </vt:variant>
      <vt:variant>
        <vt:lpwstr>_Toc190872396</vt:lpwstr>
      </vt:variant>
      <vt:variant>
        <vt:i4>1900597</vt:i4>
      </vt:variant>
      <vt:variant>
        <vt:i4>242</vt:i4>
      </vt:variant>
      <vt:variant>
        <vt:i4>0</vt:i4>
      </vt:variant>
      <vt:variant>
        <vt:i4>5</vt:i4>
      </vt:variant>
      <vt:variant>
        <vt:lpwstr/>
      </vt:variant>
      <vt:variant>
        <vt:lpwstr>_Toc190872395</vt:lpwstr>
      </vt:variant>
      <vt:variant>
        <vt:i4>1900597</vt:i4>
      </vt:variant>
      <vt:variant>
        <vt:i4>236</vt:i4>
      </vt:variant>
      <vt:variant>
        <vt:i4>0</vt:i4>
      </vt:variant>
      <vt:variant>
        <vt:i4>5</vt:i4>
      </vt:variant>
      <vt:variant>
        <vt:lpwstr/>
      </vt:variant>
      <vt:variant>
        <vt:lpwstr>_Toc190872394</vt:lpwstr>
      </vt:variant>
      <vt:variant>
        <vt:i4>1900597</vt:i4>
      </vt:variant>
      <vt:variant>
        <vt:i4>230</vt:i4>
      </vt:variant>
      <vt:variant>
        <vt:i4>0</vt:i4>
      </vt:variant>
      <vt:variant>
        <vt:i4>5</vt:i4>
      </vt:variant>
      <vt:variant>
        <vt:lpwstr/>
      </vt:variant>
      <vt:variant>
        <vt:lpwstr>_Toc190872393</vt:lpwstr>
      </vt:variant>
      <vt:variant>
        <vt:i4>1900597</vt:i4>
      </vt:variant>
      <vt:variant>
        <vt:i4>224</vt:i4>
      </vt:variant>
      <vt:variant>
        <vt:i4>0</vt:i4>
      </vt:variant>
      <vt:variant>
        <vt:i4>5</vt:i4>
      </vt:variant>
      <vt:variant>
        <vt:lpwstr/>
      </vt:variant>
      <vt:variant>
        <vt:lpwstr>_Toc190872392</vt:lpwstr>
      </vt:variant>
      <vt:variant>
        <vt:i4>1900597</vt:i4>
      </vt:variant>
      <vt:variant>
        <vt:i4>218</vt:i4>
      </vt:variant>
      <vt:variant>
        <vt:i4>0</vt:i4>
      </vt:variant>
      <vt:variant>
        <vt:i4>5</vt:i4>
      </vt:variant>
      <vt:variant>
        <vt:lpwstr/>
      </vt:variant>
      <vt:variant>
        <vt:lpwstr>_Toc190872391</vt:lpwstr>
      </vt:variant>
      <vt:variant>
        <vt:i4>1900597</vt:i4>
      </vt:variant>
      <vt:variant>
        <vt:i4>212</vt:i4>
      </vt:variant>
      <vt:variant>
        <vt:i4>0</vt:i4>
      </vt:variant>
      <vt:variant>
        <vt:i4>5</vt:i4>
      </vt:variant>
      <vt:variant>
        <vt:lpwstr/>
      </vt:variant>
      <vt:variant>
        <vt:lpwstr>_Toc190872390</vt:lpwstr>
      </vt:variant>
      <vt:variant>
        <vt:i4>1835061</vt:i4>
      </vt:variant>
      <vt:variant>
        <vt:i4>206</vt:i4>
      </vt:variant>
      <vt:variant>
        <vt:i4>0</vt:i4>
      </vt:variant>
      <vt:variant>
        <vt:i4>5</vt:i4>
      </vt:variant>
      <vt:variant>
        <vt:lpwstr/>
      </vt:variant>
      <vt:variant>
        <vt:lpwstr>_Toc190872389</vt:lpwstr>
      </vt:variant>
      <vt:variant>
        <vt:i4>1835061</vt:i4>
      </vt:variant>
      <vt:variant>
        <vt:i4>200</vt:i4>
      </vt:variant>
      <vt:variant>
        <vt:i4>0</vt:i4>
      </vt:variant>
      <vt:variant>
        <vt:i4>5</vt:i4>
      </vt:variant>
      <vt:variant>
        <vt:lpwstr/>
      </vt:variant>
      <vt:variant>
        <vt:lpwstr>_Toc190872388</vt:lpwstr>
      </vt:variant>
      <vt:variant>
        <vt:i4>1835061</vt:i4>
      </vt:variant>
      <vt:variant>
        <vt:i4>194</vt:i4>
      </vt:variant>
      <vt:variant>
        <vt:i4>0</vt:i4>
      </vt:variant>
      <vt:variant>
        <vt:i4>5</vt:i4>
      </vt:variant>
      <vt:variant>
        <vt:lpwstr/>
      </vt:variant>
      <vt:variant>
        <vt:lpwstr>_Toc190872387</vt:lpwstr>
      </vt:variant>
      <vt:variant>
        <vt:i4>1835061</vt:i4>
      </vt:variant>
      <vt:variant>
        <vt:i4>188</vt:i4>
      </vt:variant>
      <vt:variant>
        <vt:i4>0</vt:i4>
      </vt:variant>
      <vt:variant>
        <vt:i4>5</vt:i4>
      </vt:variant>
      <vt:variant>
        <vt:lpwstr/>
      </vt:variant>
      <vt:variant>
        <vt:lpwstr>_Toc190872386</vt:lpwstr>
      </vt:variant>
      <vt:variant>
        <vt:i4>1835061</vt:i4>
      </vt:variant>
      <vt:variant>
        <vt:i4>182</vt:i4>
      </vt:variant>
      <vt:variant>
        <vt:i4>0</vt:i4>
      </vt:variant>
      <vt:variant>
        <vt:i4>5</vt:i4>
      </vt:variant>
      <vt:variant>
        <vt:lpwstr/>
      </vt:variant>
      <vt:variant>
        <vt:lpwstr>_Toc190872385</vt:lpwstr>
      </vt:variant>
      <vt:variant>
        <vt:i4>1835061</vt:i4>
      </vt:variant>
      <vt:variant>
        <vt:i4>176</vt:i4>
      </vt:variant>
      <vt:variant>
        <vt:i4>0</vt:i4>
      </vt:variant>
      <vt:variant>
        <vt:i4>5</vt:i4>
      </vt:variant>
      <vt:variant>
        <vt:lpwstr/>
      </vt:variant>
      <vt:variant>
        <vt:lpwstr>_Toc190872384</vt:lpwstr>
      </vt:variant>
      <vt:variant>
        <vt:i4>1835061</vt:i4>
      </vt:variant>
      <vt:variant>
        <vt:i4>170</vt:i4>
      </vt:variant>
      <vt:variant>
        <vt:i4>0</vt:i4>
      </vt:variant>
      <vt:variant>
        <vt:i4>5</vt:i4>
      </vt:variant>
      <vt:variant>
        <vt:lpwstr/>
      </vt:variant>
      <vt:variant>
        <vt:lpwstr>_Toc190872383</vt:lpwstr>
      </vt:variant>
      <vt:variant>
        <vt:i4>1835061</vt:i4>
      </vt:variant>
      <vt:variant>
        <vt:i4>164</vt:i4>
      </vt:variant>
      <vt:variant>
        <vt:i4>0</vt:i4>
      </vt:variant>
      <vt:variant>
        <vt:i4>5</vt:i4>
      </vt:variant>
      <vt:variant>
        <vt:lpwstr/>
      </vt:variant>
      <vt:variant>
        <vt:lpwstr>_Toc190872382</vt:lpwstr>
      </vt:variant>
      <vt:variant>
        <vt:i4>1835061</vt:i4>
      </vt:variant>
      <vt:variant>
        <vt:i4>158</vt:i4>
      </vt:variant>
      <vt:variant>
        <vt:i4>0</vt:i4>
      </vt:variant>
      <vt:variant>
        <vt:i4>5</vt:i4>
      </vt:variant>
      <vt:variant>
        <vt:lpwstr/>
      </vt:variant>
      <vt:variant>
        <vt:lpwstr>_Toc190872381</vt:lpwstr>
      </vt:variant>
      <vt:variant>
        <vt:i4>1835061</vt:i4>
      </vt:variant>
      <vt:variant>
        <vt:i4>152</vt:i4>
      </vt:variant>
      <vt:variant>
        <vt:i4>0</vt:i4>
      </vt:variant>
      <vt:variant>
        <vt:i4>5</vt:i4>
      </vt:variant>
      <vt:variant>
        <vt:lpwstr/>
      </vt:variant>
      <vt:variant>
        <vt:lpwstr>_Toc190872380</vt:lpwstr>
      </vt:variant>
      <vt:variant>
        <vt:i4>1245237</vt:i4>
      </vt:variant>
      <vt:variant>
        <vt:i4>146</vt:i4>
      </vt:variant>
      <vt:variant>
        <vt:i4>0</vt:i4>
      </vt:variant>
      <vt:variant>
        <vt:i4>5</vt:i4>
      </vt:variant>
      <vt:variant>
        <vt:lpwstr/>
      </vt:variant>
      <vt:variant>
        <vt:lpwstr>_Toc190872379</vt:lpwstr>
      </vt:variant>
      <vt:variant>
        <vt:i4>1245237</vt:i4>
      </vt:variant>
      <vt:variant>
        <vt:i4>140</vt:i4>
      </vt:variant>
      <vt:variant>
        <vt:i4>0</vt:i4>
      </vt:variant>
      <vt:variant>
        <vt:i4>5</vt:i4>
      </vt:variant>
      <vt:variant>
        <vt:lpwstr/>
      </vt:variant>
      <vt:variant>
        <vt:lpwstr>_Toc190872378</vt:lpwstr>
      </vt:variant>
      <vt:variant>
        <vt:i4>1245237</vt:i4>
      </vt:variant>
      <vt:variant>
        <vt:i4>134</vt:i4>
      </vt:variant>
      <vt:variant>
        <vt:i4>0</vt:i4>
      </vt:variant>
      <vt:variant>
        <vt:i4>5</vt:i4>
      </vt:variant>
      <vt:variant>
        <vt:lpwstr/>
      </vt:variant>
      <vt:variant>
        <vt:lpwstr>_Toc190872377</vt:lpwstr>
      </vt:variant>
      <vt:variant>
        <vt:i4>1245237</vt:i4>
      </vt:variant>
      <vt:variant>
        <vt:i4>128</vt:i4>
      </vt:variant>
      <vt:variant>
        <vt:i4>0</vt:i4>
      </vt:variant>
      <vt:variant>
        <vt:i4>5</vt:i4>
      </vt:variant>
      <vt:variant>
        <vt:lpwstr/>
      </vt:variant>
      <vt:variant>
        <vt:lpwstr>_Toc190872376</vt:lpwstr>
      </vt:variant>
      <vt:variant>
        <vt:i4>1245237</vt:i4>
      </vt:variant>
      <vt:variant>
        <vt:i4>122</vt:i4>
      </vt:variant>
      <vt:variant>
        <vt:i4>0</vt:i4>
      </vt:variant>
      <vt:variant>
        <vt:i4>5</vt:i4>
      </vt:variant>
      <vt:variant>
        <vt:lpwstr/>
      </vt:variant>
      <vt:variant>
        <vt:lpwstr>_Toc190872375</vt:lpwstr>
      </vt:variant>
      <vt:variant>
        <vt:i4>1245237</vt:i4>
      </vt:variant>
      <vt:variant>
        <vt:i4>116</vt:i4>
      </vt:variant>
      <vt:variant>
        <vt:i4>0</vt:i4>
      </vt:variant>
      <vt:variant>
        <vt:i4>5</vt:i4>
      </vt:variant>
      <vt:variant>
        <vt:lpwstr/>
      </vt:variant>
      <vt:variant>
        <vt:lpwstr>_Toc190872374</vt:lpwstr>
      </vt:variant>
      <vt:variant>
        <vt:i4>1245237</vt:i4>
      </vt:variant>
      <vt:variant>
        <vt:i4>110</vt:i4>
      </vt:variant>
      <vt:variant>
        <vt:i4>0</vt:i4>
      </vt:variant>
      <vt:variant>
        <vt:i4>5</vt:i4>
      </vt:variant>
      <vt:variant>
        <vt:lpwstr/>
      </vt:variant>
      <vt:variant>
        <vt:lpwstr>_Toc190872373</vt:lpwstr>
      </vt:variant>
      <vt:variant>
        <vt:i4>1245237</vt:i4>
      </vt:variant>
      <vt:variant>
        <vt:i4>104</vt:i4>
      </vt:variant>
      <vt:variant>
        <vt:i4>0</vt:i4>
      </vt:variant>
      <vt:variant>
        <vt:i4>5</vt:i4>
      </vt:variant>
      <vt:variant>
        <vt:lpwstr/>
      </vt:variant>
      <vt:variant>
        <vt:lpwstr>_Toc190872372</vt:lpwstr>
      </vt:variant>
      <vt:variant>
        <vt:i4>1245237</vt:i4>
      </vt:variant>
      <vt:variant>
        <vt:i4>98</vt:i4>
      </vt:variant>
      <vt:variant>
        <vt:i4>0</vt:i4>
      </vt:variant>
      <vt:variant>
        <vt:i4>5</vt:i4>
      </vt:variant>
      <vt:variant>
        <vt:lpwstr/>
      </vt:variant>
      <vt:variant>
        <vt:lpwstr>_Toc190872371</vt:lpwstr>
      </vt:variant>
      <vt:variant>
        <vt:i4>1245237</vt:i4>
      </vt:variant>
      <vt:variant>
        <vt:i4>92</vt:i4>
      </vt:variant>
      <vt:variant>
        <vt:i4>0</vt:i4>
      </vt:variant>
      <vt:variant>
        <vt:i4>5</vt:i4>
      </vt:variant>
      <vt:variant>
        <vt:lpwstr/>
      </vt:variant>
      <vt:variant>
        <vt:lpwstr>_Toc190872370</vt:lpwstr>
      </vt:variant>
      <vt:variant>
        <vt:i4>1179701</vt:i4>
      </vt:variant>
      <vt:variant>
        <vt:i4>86</vt:i4>
      </vt:variant>
      <vt:variant>
        <vt:i4>0</vt:i4>
      </vt:variant>
      <vt:variant>
        <vt:i4>5</vt:i4>
      </vt:variant>
      <vt:variant>
        <vt:lpwstr/>
      </vt:variant>
      <vt:variant>
        <vt:lpwstr>_Toc190872369</vt:lpwstr>
      </vt:variant>
      <vt:variant>
        <vt:i4>1179701</vt:i4>
      </vt:variant>
      <vt:variant>
        <vt:i4>80</vt:i4>
      </vt:variant>
      <vt:variant>
        <vt:i4>0</vt:i4>
      </vt:variant>
      <vt:variant>
        <vt:i4>5</vt:i4>
      </vt:variant>
      <vt:variant>
        <vt:lpwstr/>
      </vt:variant>
      <vt:variant>
        <vt:lpwstr>_Toc190872368</vt:lpwstr>
      </vt:variant>
      <vt:variant>
        <vt:i4>1179701</vt:i4>
      </vt:variant>
      <vt:variant>
        <vt:i4>74</vt:i4>
      </vt:variant>
      <vt:variant>
        <vt:i4>0</vt:i4>
      </vt:variant>
      <vt:variant>
        <vt:i4>5</vt:i4>
      </vt:variant>
      <vt:variant>
        <vt:lpwstr/>
      </vt:variant>
      <vt:variant>
        <vt:lpwstr>_Toc190872367</vt:lpwstr>
      </vt:variant>
      <vt:variant>
        <vt:i4>1179701</vt:i4>
      </vt:variant>
      <vt:variant>
        <vt:i4>68</vt:i4>
      </vt:variant>
      <vt:variant>
        <vt:i4>0</vt:i4>
      </vt:variant>
      <vt:variant>
        <vt:i4>5</vt:i4>
      </vt:variant>
      <vt:variant>
        <vt:lpwstr/>
      </vt:variant>
      <vt:variant>
        <vt:lpwstr>_Toc190872366</vt:lpwstr>
      </vt:variant>
      <vt:variant>
        <vt:i4>1179701</vt:i4>
      </vt:variant>
      <vt:variant>
        <vt:i4>62</vt:i4>
      </vt:variant>
      <vt:variant>
        <vt:i4>0</vt:i4>
      </vt:variant>
      <vt:variant>
        <vt:i4>5</vt:i4>
      </vt:variant>
      <vt:variant>
        <vt:lpwstr/>
      </vt:variant>
      <vt:variant>
        <vt:lpwstr>_Toc190872365</vt:lpwstr>
      </vt:variant>
      <vt:variant>
        <vt:i4>1179701</vt:i4>
      </vt:variant>
      <vt:variant>
        <vt:i4>56</vt:i4>
      </vt:variant>
      <vt:variant>
        <vt:i4>0</vt:i4>
      </vt:variant>
      <vt:variant>
        <vt:i4>5</vt:i4>
      </vt:variant>
      <vt:variant>
        <vt:lpwstr/>
      </vt:variant>
      <vt:variant>
        <vt:lpwstr>_Toc190872364</vt:lpwstr>
      </vt:variant>
      <vt:variant>
        <vt:i4>1179701</vt:i4>
      </vt:variant>
      <vt:variant>
        <vt:i4>50</vt:i4>
      </vt:variant>
      <vt:variant>
        <vt:i4>0</vt:i4>
      </vt:variant>
      <vt:variant>
        <vt:i4>5</vt:i4>
      </vt:variant>
      <vt:variant>
        <vt:lpwstr/>
      </vt:variant>
      <vt:variant>
        <vt:lpwstr>_Toc190872363</vt:lpwstr>
      </vt:variant>
      <vt:variant>
        <vt:i4>1179701</vt:i4>
      </vt:variant>
      <vt:variant>
        <vt:i4>44</vt:i4>
      </vt:variant>
      <vt:variant>
        <vt:i4>0</vt:i4>
      </vt:variant>
      <vt:variant>
        <vt:i4>5</vt:i4>
      </vt:variant>
      <vt:variant>
        <vt:lpwstr/>
      </vt:variant>
      <vt:variant>
        <vt:lpwstr>_Toc190872362</vt:lpwstr>
      </vt:variant>
      <vt:variant>
        <vt:i4>1179701</vt:i4>
      </vt:variant>
      <vt:variant>
        <vt:i4>38</vt:i4>
      </vt:variant>
      <vt:variant>
        <vt:i4>0</vt:i4>
      </vt:variant>
      <vt:variant>
        <vt:i4>5</vt:i4>
      </vt:variant>
      <vt:variant>
        <vt:lpwstr/>
      </vt:variant>
      <vt:variant>
        <vt:lpwstr>_Toc190872361</vt:lpwstr>
      </vt:variant>
      <vt:variant>
        <vt:i4>1179701</vt:i4>
      </vt:variant>
      <vt:variant>
        <vt:i4>32</vt:i4>
      </vt:variant>
      <vt:variant>
        <vt:i4>0</vt:i4>
      </vt:variant>
      <vt:variant>
        <vt:i4>5</vt:i4>
      </vt:variant>
      <vt:variant>
        <vt:lpwstr/>
      </vt:variant>
      <vt:variant>
        <vt:lpwstr>_Toc190872360</vt:lpwstr>
      </vt:variant>
      <vt:variant>
        <vt:i4>1114165</vt:i4>
      </vt:variant>
      <vt:variant>
        <vt:i4>26</vt:i4>
      </vt:variant>
      <vt:variant>
        <vt:i4>0</vt:i4>
      </vt:variant>
      <vt:variant>
        <vt:i4>5</vt:i4>
      </vt:variant>
      <vt:variant>
        <vt:lpwstr/>
      </vt:variant>
      <vt:variant>
        <vt:lpwstr>_Toc190872359</vt:lpwstr>
      </vt:variant>
      <vt:variant>
        <vt:i4>1114165</vt:i4>
      </vt:variant>
      <vt:variant>
        <vt:i4>20</vt:i4>
      </vt:variant>
      <vt:variant>
        <vt:i4>0</vt:i4>
      </vt:variant>
      <vt:variant>
        <vt:i4>5</vt:i4>
      </vt:variant>
      <vt:variant>
        <vt:lpwstr/>
      </vt:variant>
      <vt:variant>
        <vt:lpwstr>_Toc190872358</vt:lpwstr>
      </vt:variant>
      <vt:variant>
        <vt:i4>1114165</vt:i4>
      </vt:variant>
      <vt:variant>
        <vt:i4>14</vt:i4>
      </vt:variant>
      <vt:variant>
        <vt:i4>0</vt:i4>
      </vt:variant>
      <vt:variant>
        <vt:i4>5</vt:i4>
      </vt:variant>
      <vt:variant>
        <vt:lpwstr/>
      </vt:variant>
      <vt:variant>
        <vt:lpwstr>_Toc190872357</vt:lpwstr>
      </vt:variant>
      <vt:variant>
        <vt:i4>1114165</vt:i4>
      </vt:variant>
      <vt:variant>
        <vt:i4>8</vt:i4>
      </vt:variant>
      <vt:variant>
        <vt:i4>0</vt:i4>
      </vt:variant>
      <vt:variant>
        <vt:i4>5</vt:i4>
      </vt:variant>
      <vt:variant>
        <vt:lpwstr/>
      </vt:variant>
      <vt:variant>
        <vt:lpwstr>_Toc190872356</vt:lpwstr>
      </vt:variant>
      <vt:variant>
        <vt:i4>1114165</vt:i4>
      </vt:variant>
      <vt:variant>
        <vt:i4>2</vt:i4>
      </vt:variant>
      <vt:variant>
        <vt:i4>0</vt:i4>
      </vt:variant>
      <vt:variant>
        <vt:i4>5</vt:i4>
      </vt:variant>
      <vt:variant>
        <vt:lpwstr/>
      </vt:variant>
      <vt:variant>
        <vt:lpwstr>_Toc190872355</vt:lpwstr>
      </vt:variant>
      <vt:variant>
        <vt:i4>3932210</vt:i4>
      </vt:variant>
      <vt:variant>
        <vt:i4>207</vt:i4>
      </vt:variant>
      <vt:variant>
        <vt:i4>0</vt:i4>
      </vt:variant>
      <vt:variant>
        <vt:i4>5</vt:i4>
      </vt:variant>
      <vt:variant>
        <vt:lpwstr>https://corporate-services.ed.ac.uk/our-departments/strategic-change-service/university-initiatives-portfolio-board</vt:lpwstr>
      </vt:variant>
      <vt:variant>
        <vt:lpwstr/>
      </vt:variant>
      <vt:variant>
        <vt:i4>4522050</vt:i4>
      </vt:variant>
      <vt:variant>
        <vt:i4>204</vt:i4>
      </vt:variant>
      <vt:variant>
        <vt:i4>0</vt:i4>
      </vt:variant>
      <vt:variant>
        <vt:i4>5</vt:i4>
      </vt:variant>
      <vt:variant>
        <vt:lpwstr>https://institute-academic-development.ed.ac.uk/learning-teaching/funding/funding/previous-projects/year/march-2021/inclusiveness-in-internationalisation</vt:lpwstr>
      </vt:variant>
      <vt:variant>
        <vt:lpwstr/>
      </vt:variant>
      <vt:variant>
        <vt:i4>6029382</vt:i4>
      </vt:variant>
      <vt:variant>
        <vt:i4>201</vt:i4>
      </vt:variant>
      <vt:variant>
        <vt:i4>0</vt:i4>
      </vt:variant>
      <vt:variant>
        <vt:i4>5</vt:i4>
      </vt:variant>
      <vt:variant>
        <vt:lpwstr>https://www.ed.ac.uk/files/atoms/files/strategy-2030.pdf</vt:lpwstr>
      </vt:variant>
      <vt:variant>
        <vt:lpwstr/>
      </vt:variant>
      <vt:variant>
        <vt:i4>6422568</vt:i4>
      </vt:variant>
      <vt:variant>
        <vt:i4>198</vt:i4>
      </vt:variant>
      <vt:variant>
        <vt:i4>0</vt:i4>
      </vt:variant>
      <vt:variant>
        <vt:i4>5</vt:i4>
      </vt:variant>
      <vt:variant>
        <vt:lpwstr>https://histanthro.org/notes/decolonizing-or-recolonizing/</vt:lpwstr>
      </vt:variant>
      <vt:variant>
        <vt:lpwstr/>
      </vt:variant>
      <vt:variant>
        <vt:i4>1900573</vt:i4>
      </vt:variant>
      <vt:variant>
        <vt:i4>195</vt:i4>
      </vt:variant>
      <vt:variant>
        <vt:i4>0</vt:i4>
      </vt:variant>
      <vt:variant>
        <vt:i4>5</vt:i4>
      </vt:variant>
      <vt:variant>
        <vt:lpwstr>https://janicetullock.co.uk/</vt:lpwstr>
      </vt:variant>
      <vt:variant>
        <vt:lpwstr/>
      </vt:variant>
      <vt:variant>
        <vt:i4>1638417</vt:i4>
      </vt:variant>
      <vt:variant>
        <vt:i4>192</vt:i4>
      </vt:variant>
      <vt:variant>
        <vt:i4>0</vt:i4>
      </vt:variant>
      <vt:variant>
        <vt:i4>5</vt:i4>
      </vt:variant>
      <vt:variant>
        <vt:lpwstr>https://efi.ed.ac.uk/</vt:lpwstr>
      </vt:variant>
      <vt:variant>
        <vt:lpwstr/>
      </vt:variant>
      <vt:variant>
        <vt:i4>1310742</vt:i4>
      </vt:variant>
      <vt:variant>
        <vt:i4>189</vt:i4>
      </vt:variant>
      <vt:variant>
        <vt:i4>0</vt:i4>
      </vt:variant>
      <vt:variant>
        <vt:i4>5</vt:i4>
      </vt:variant>
      <vt:variant>
        <vt:lpwstr>https://www.praler.net/post/global-citizenship-education-for-planet-repairs-action-gcepra-ghana-in-planet-repairs-action-dia</vt:lpwstr>
      </vt:variant>
      <vt:variant>
        <vt:lpwstr/>
      </vt:variant>
      <vt:variant>
        <vt:i4>5963840</vt:i4>
      </vt:variant>
      <vt:variant>
        <vt:i4>186</vt:i4>
      </vt:variant>
      <vt:variant>
        <vt:i4>0</vt:i4>
      </vt:variant>
      <vt:variant>
        <vt:i4>5</vt:i4>
      </vt:variant>
      <vt:variant>
        <vt:lpwstr>https://anatomicalmuseum.wordpress.com/2021/05/25/collections-uncovered-omdurman-battlefield-skulls/</vt:lpwstr>
      </vt:variant>
      <vt:variant>
        <vt:lpwstr/>
      </vt:variant>
      <vt:variant>
        <vt:i4>5570645</vt:i4>
      </vt:variant>
      <vt:variant>
        <vt:i4>183</vt:i4>
      </vt:variant>
      <vt:variant>
        <vt:i4>0</vt:i4>
      </vt:variant>
      <vt:variant>
        <vt:i4>5</vt:i4>
      </vt:variant>
      <vt:variant>
        <vt:lpwstr>https://www.ed.ac.uk/news/2023/mudan-skulls</vt:lpwstr>
      </vt:variant>
      <vt:variant>
        <vt:lpwstr>:~:text=The%20first%20repatriation%20at%20the,colonial%20period%20in%20the%201880s</vt:lpwstr>
      </vt:variant>
      <vt:variant>
        <vt:i4>1245212</vt:i4>
      </vt:variant>
      <vt:variant>
        <vt:i4>180</vt:i4>
      </vt:variant>
      <vt:variant>
        <vt:i4>0</vt:i4>
      </vt:variant>
      <vt:variant>
        <vt:i4>5</vt:i4>
      </vt:variant>
      <vt:variant>
        <vt:lpwstr>https://www.ed.ac.uk/news/2023/minority-communities-to-play-key-role-in-universit</vt:lpwstr>
      </vt:variant>
      <vt:variant>
        <vt:lpwstr/>
      </vt:variant>
      <vt:variant>
        <vt:i4>2949149</vt:i4>
      </vt:variant>
      <vt:variant>
        <vt:i4>177</vt:i4>
      </vt:variant>
      <vt:variant>
        <vt:i4>0</vt:i4>
      </vt:variant>
      <vt:variant>
        <vt:i4>5</vt:i4>
      </vt:variant>
      <vt:variant>
        <vt:lpwstr>https://uoe-my.sharepoint.com/:x:/g/personal/slikonde_ed_ac_uk/EeFjCUrdfYpCjYit4aS3oQcBa7M74dAE8uMp-bLSTRpM5Q?e=JCu5Uh</vt:lpwstr>
      </vt:variant>
      <vt:variant>
        <vt:lpwstr/>
      </vt:variant>
      <vt:variant>
        <vt:i4>7077945</vt:i4>
      </vt:variant>
      <vt:variant>
        <vt:i4>174</vt:i4>
      </vt:variant>
      <vt:variant>
        <vt:i4>0</vt:i4>
      </vt:variant>
      <vt:variant>
        <vt:i4>5</vt:i4>
      </vt:variant>
      <vt:variant>
        <vt:lpwstr>https://www.inosaar.llc.ed.ac.uk/sites/default/files/atoms/files/principles_of_participation_jul_2021.pdf</vt:lpwstr>
      </vt:variant>
      <vt:variant>
        <vt:lpwstr/>
      </vt:variant>
      <vt:variant>
        <vt:i4>983046</vt:i4>
      </vt:variant>
      <vt:variant>
        <vt:i4>171</vt:i4>
      </vt:variant>
      <vt:variant>
        <vt:i4>0</vt:i4>
      </vt:variant>
      <vt:variant>
        <vt:i4>5</vt:i4>
      </vt:variant>
      <vt:variant>
        <vt:lpwstr>https://www.westlothian.gov.uk/media/8652/Engaging-Communities-Toolkit/pdf/Engaging_Communities_Toolkit.pdf?m=635694591719070000</vt:lpwstr>
      </vt:variant>
      <vt:variant>
        <vt:lpwstr/>
      </vt:variant>
      <vt:variant>
        <vt:i4>544145449</vt:i4>
      </vt:variant>
      <vt:variant>
        <vt:i4>168</vt:i4>
      </vt:variant>
      <vt:variant>
        <vt:i4>0</vt:i4>
      </vt:variant>
      <vt:variant>
        <vt:i4>5</vt:i4>
      </vt:variant>
      <vt:variant>
        <vt:lpwstr>https://blogs.ed.ac.uk/decolonise/2023/11/13/information-shee…s-racial-climate/</vt:lpwstr>
      </vt:variant>
      <vt:variant>
        <vt:lpwstr/>
      </vt:variant>
      <vt:variant>
        <vt:i4>544079934</vt:i4>
      </vt:variant>
      <vt:variant>
        <vt:i4>165</vt:i4>
      </vt:variant>
      <vt:variant>
        <vt:i4>0</vt:i4>
      </vt:variant>
      <vt:variant>
        <vt:i4>5</vt:i4>
      </vt:variant>
      <vt:variant>
        <vt:lpwstr>https://blogs.ed.ac.uk/decolonise/2023/11/13/questionnaire-to…iences-of-racism/</vt:lpwstr>
      </vt:variant>
      <vt:variant>
        <vt:lpwstr/>
      </vt:variant>
      <vt:variant>
        <vt:i4>131096</vt:i4>
      </vt:variant>
      <vt:variant>
        <vt:i4>162</vt:i4>
      </vt:variant>
      <vt:variant>
        <vt:i4>0</vt:i4>
      </vt:variant>
      <vt:variant>
        <vt:i4>5</vt:i4>
      </vt:variant>
      <vt:variant>
        <vt:lpwstr>https://www.crer.org.uk/blog/census-2022-bme-population</vt:lpwstr>
      </vt:variant>
      <vt:variant>
        <vt:lpwstr>:~:text=Scotland's%20Population:%20An%20overview,Scotland's%20last%20census%20in%202011</vt:lpwstr>
      </vt:variant>
      <vt:variant>
        <vt:i4>7798832</vt:i4>
      </vt:variant>
      <vt:variant>
        <vt:i4>159</vt:i4>
      </vt:variant>
      <vt:variant>
        <vt:i4>0</vt:i4>
      </vt:variant>
      <vt:variant>
        <vt:i4>5</vt:i4>
      </vt:variant>
      <vt:variant>
        <vt:lpwstr>https://www.ethnicity-facts-figures.service.gov.uk/uk-population-by-ethnicity/national-and-regional-populations/population-of-england-and-wales/latest/</vt:lpwstr>
      </vt:variant>
      <vt:variant>
        <vt:lpwstr>by-ethnicity-5-groups</vt:lpwstr>
      </vt:variant>
      <vt:variant>
        <vt:i4>3604597</vt:i4>
      </vt:variant>
      <vt:variant>
        <vt:i4>156</vt:i4>
      </vt:variant>
      <vt:variant>
        <vt:i4>0</vt:i4>
      </vt:variant>
      <vt:variant>
        <vt:i4>5</vt:i4>
      </vt:variant>
      <vt:variant>
        <vt:lpwstr>https://www.ethnicity-facts-figures.service.gov.uk/uk-population-by-ethnicity/national-and-regional-populations/population-of-england-and-wales/latest/</vt:lpwstr>
      </vt:variant>
      <vt:variant>
        <vt:lpwstr/>
      </vt:variant>
      <vt:variant>
        <vt:i4>7274609</vt:i4>
      </vt:variant>
      <vt:variant>
        <vt:i4>153</vt:i4>
      </vt:variant>
      <vt:variant>
        <vt:i4>0</vt:i4>
      </vt:variant>
      <vt:variant>
        <vt:i4>5</vt:i4>
      </vt:variant>
      <vt:variant>
        <vt:lpwstr>https://www.ethnicity-facts-figures.service.gov.uk/style-guide/writing-about-ethnicity/</vt:lpwstr>
      </vt:variant>
      <vt:variant>
        <vt:lpwstr>bame-and-bme</vt:lpwstr>
      </vt:variant>
      <vt:variant>
        <vt:i4>7864369</vt:i4>
      </vt:variant>
      <vt:variant>
        <vt:i4>150</vt:i4>
      </vt:variant>
      <vt:variant>
        <vt:i4>0</vt:i4>
      </vt:variant>
      <vt:variant>
        <vt:i4>5</vt:i4>
      </vt:variant>
      <vt:variant>
        <vt:lpwstr>https://www.icc-cpi.int/news/situation-state-palestine-icc-pre-trial-chamber-i-rejects-state-israels-challenges</vt:lpwstr>
      </vt:variant>
      <vt:variant>
        <vt:lpwstr/>
      </vt:variant>
      <vt:variant>
        <vt:i4>720907</vt:i4>
      </vt:variant>
      <vt:variant>
        <vt:i4>147</vt:i4>
      </vt:variant>
      <vt:variant>
        <vt:i4>0</vt:i4>
      </vt:variant>
      <vt:variant>
        <vt:i4>5</vt:i4>
      </vt:variant>
      <vt:variant>
        <vt:lpwstr>https://www.ed.ac.uk/about/people/plaques/geddes</vt:lpwstr>
      </vt:variant>
      <vt:variant>
        <vt:lpwstr/>
      </vt:variant>
      <vt:variant>
        <vt:i4>7012458</vt:i4>
      </vt:variant>
      <vt:variant>
        <vt:i4>144</vt:i4>
      </vt:variant>
      <vt:variant>
        <vt:i4>0</vt:i4>
      </vt:variant>
      <vt:variant>
        <vt:i4>5</vt:i4>
      </vt:variant>
      <vt:variant>
        <vt:lpwstr>https://www.un.org/unispal/document/auto-insert-204352/</vt:lpwstr>
      </vt:variant>
      <vt:variant>
        <vt:lpwstr/>
      </vt:variant>
      <vt:variant>
        <vt:i4>8192097</vt:i4>
      </vt:variant>
      <vt:variant>
        <vt:i4>141</vt:i4>
      </vt:variant>
      <vt:variant>
        <vt:i4>0</vt:i4>
      </vt:variant>
      <vt:variant>
        <vt:i4>5</vt:i4>
      </vt:variant>
      <vt:variant>
        <vt:lpwstr>https://mondoweiss.net/2023/09/how-britain-broke-international-law-to-stop-palestinian-independence-100-years-ago/</vt:lpwstr>
      </vt:variant>
      <vt:variant>
        <vt:lpwstr/>
      </vt:variant>
      <vt:variant>
        <vt:i4>7733344</vt:i4>
      </vt:variant>
      <vt:variant>
        <vt:i4>138</vt:i4>
      </vt:variant>
      <vt:variant>
        <vt:i4>0</vt:i4>
      </vt:variant>
      <vt:variant>
        <vt:i4>5</vt:i4>
      </vt:variant>
      <vt:variant>
        <vt:lpwstr>https://www.ed.ac.uk/about/people/officials/chancellor</vt:lpwstr>
      </vt:variant>
      <vt:variant>
        <vt:lpwstr/>
      </vt:variant>
      <vt:variant>
        <vt:i4>7340089</vt:i4>
      </vt:variant>
      <vt:variant>
        <vt:i4>135</vt:i4>
      </vt:variant>
      <vt:variant>
        <vt:i4>0</vt:i4>
      </vt:variant>
      <vt:variant>
        <vt:i4>5</vt:i4>
      </vt:variant>
      <vt:variant>
        <vt:lpwstr>https://eur02.safelinks.protection.outlook.com/?url=https%3A%2F%2Fwww.icj-cij.org%2Fsites%2Fdefault%2Ffiles%2Fcase-related%2F192%2F192-20240126-ord-01-00-en.pdf&amp;data=05%7C02%7C%7C8cbebafbba2e44d00a1e08dd2022e1e3%7C2e9f06b016694589878910a06934dc61%7C0%7C0%7C638702056373989186%7CUnknown%7CTWFpbGZsb3d8eyJFbXB0eU1hcGkiOnRydWUsIlYiOiIwLjAuMDAwMCIsIlAiOiJXaW4zMiIsIkFOIjoiTWFpbCIsIldUIjoyfQ%3D%3D%7C0%7C%7C%7C&amp;sdata=6j4l3rkHma%2BZy17peNlbKnVauaGKbKEWhQ%2B%2FcB3yorM%3D&amp;reserved=0</vt:lpwstr>
      </vt:variant>
      <vt:variant>
        <vt:lpwstr/>
      </vt:variant>
      <vt:variant>
        <vt:i4>2293811</vt:i4>
      </vt:variant>
      <vt:variant>
        <vt:i4>132</vt:i4>
      </vt:variant>
      <vt:variant>
        <vt:i4>0</vt:i4>
      </vt:variant>
      <vt:variant>
        <vt:i4>5</vt:i4>
      </vt:variant>
      <vt:variant>
        <vt:lpwstr>https://www.eventbrite.co.uk/e/enslavement-brazil-and-the-gunning-lectures-tickets-1044925649747?aff=oddtdtcreator</vt:lpwstr>
      </vt:variant>
      <vt:variant>
        <vt:lpwstr/>
      </vt:variant>
      <vt:variant>
        <vt:i4>3342443</vt:i4>
      </vt:variant>
      <vt:variant>
        <vt:i4>129</vt:i4>
      </vt:variant>
      <vt:variant>
        <vt:i4>0</vt:i4>
      </vt:variant>
      <vt:variant>
        <vt:i4>5</vt:i4>
      </vt:variant>
      <vt:variant>
        <vt:lpwstr>https://thepolyphony.org/2024/08/27/race-empire-uoe-conference-review/</vt:lpwstr>
      </vt:variant>
      <vt:variant>
        <vt:lpwstr/>
      </vt:variant>
      <vt:variant>
        <vt:i4>3342443</vt:i4>
      </vt:variant>
      <vt:variant>
        <vt:i4>126</vt:i4>
      </vt:variant>
      <vt:variant>
        <vt:i4>0</vt:i4>
      </vt:variant>
      <vt:variant>
        <vt:i4>5</vt:i4>
      </vt:variant>
      <vt:variant>
        <vt:lpwstr>https://thepolyphony.org/2024/08/27/race-empire-uoe-conference-review/</vt:lpwstr>
      </vt:variant>
      <vt:variant>
        <vt:lpwstr/>
      </vt:variant>
      <vt:variant>
        <vt:i4>8126497</vt:i4>
      </vt:variant>
      <vt:variant>
        <vt:i4>123</vt:i4>
      </vt:variant>
      <vt:variant>
        <vt:i4>0</vt:i4>
      </vt:variant>
      <vt:variant>
        <vt:i4>5</vt:i4>
      </vt:variant>
      <vt:variant>
        <vt:lpwstr>https://exhibitions.ed.ac.uk/exhibitions/dreams-of-darien/</vt:lpwstr>
      </vt:variant>
      <vt:variant>
        <vt:lpwstr/>
      </vt:variant>
      <vt:variant>
        <vt:i4>5832707</vt:i4>
      </vt:variant>
      <vt:variant>
        <vt:i4>120</vt:i4>
      </vt:variant>
      <vt:variant>
        <vt:i4>0</vt:i4>
      </vt:variant>
      <vt:variant>
        <vt:i4>5</vt:i4>
      </vt:variant>
      <vt:variant>
        <vt:lpwstr>https://www.measuringworth.com/calculators/ukcompare</vt:lpwstr>
      </vt:variant>
      <vt:variant>
        <vt:lpwstr/>
      </vt:variant>
      <vt:variant>
        <vt:i4>7143461</vt:i4>
      </vt:variant>
      <vt:variant>
        <vt:i4>117</vt:i4>
      </vt:variant>
      <vt:variant>
        <vt:i4>0</vt:i4>
      </vt:variant>
      <vt:variant>
        <vt:i4>5</vt:i4>
      </vt:variant>
      <vt:variant>
        <vt:lpwstr>https://doi.org/10.7488/ds/7844</vt:lpwstr>
      </vt:variant>
      <vt:variant>
        <vt:lpwstr/>
      </vt:variant>
      <vt:variant>
        <vt:i4>3342445</vt:i4>
      </vt:variant>
      <vt:variant>
        <vt:i4>114</vt:i4>
      </vt:variant>
      <vt:variant>
        <vt:i4>0</vt:i4>
      </vt:variant>
      <vt:variant>
        <vt:i4>5</vt:i4>
      </vt:variant>
      <vt:variant>
        <vt:lpwstr>https://www.legislation.gov.uk/uksi/1971/1849/contents/made</vt:lpwstr>
      </vt:variant>
      <vt:variant>
        <vt:lpwstr/>
      </vt:variant>
      <vt:variant>
        <vt:i4>6488127</vt:i4>
      </vt:variant>
      <vt:variant>
        <vt:i4>111</vt:i4>
      </vt:variant>
      <vt:variant>
        <vt:i4>0</vt:i4>
      </vt:variant>
      <vt:variant>
        <vt:i4>5</vt:i4>
      </vt:variant>
      <vt:variant>
        <vt:lpwstr>https://www.ohchr.org/en/instruments-mechanisms/instruments/basic-principles-and-guidelines-right-remedy-and-reparation</vt:lpwstr>
      </vt:variant>
      <vt:variant>
        <vt:lpwstr/>
      </vt:variant>
      <vt:variant>
        <vt:i4>1048641</vt:i4>
      </vt:variant>
      <vt:variant>
        <vt:i4>108</vt:i4>
      </vt:variant>
      <vt:variant>
        <vt:i4>0</vt:i4>
      </vt:variant>
      <vt:variant>
        <vt:i4>5</vt:i4>
      </vt:variant>
      <vt:variant>
        <vt:lpwstr>https://edwebcontent.ed.ac.uk/sites/default/files/atoms/files/thematicreview2018-19-bme-students-finalreport.pdf</vt:lpwstr>
      </vt:variant>
      <vt:variant>
        <vt:lpwstr/>
      </vt:variant>
      <vt:variant>
        <vt:i4>6750253</vt:i4>
      </vt:variant>
      <vt:variant>
        <vt:i4>105</vt:i4>
      </vt:variant>
      <vt:variant>
        <vt:i4>0</vt:i4>
      </vt:variant>
      <vt:variant>
        <vt:i4>5</vt:i4>
      </vt:variant>
      <vt:variant>
        <vt:lpwstr>https://www.historicenvironment.scot/archives-and-research/publications/publication/?publicationId=e192ea9f-0d7e-4745-b499-b0fb010a167a</vt:lpwstr>
      </vt:variant>
      <vt:variant>
        <vt:lpwstr/>
      </vt:variant>
      <vt:variant>
        <vt:i4>786455</vt:i4>
      </vt:variant>
      <vt:variant>
        <vt:i4>102</vt:i4>
      </vt:variant>
      <vt:variant>
        <vt:i4>0</vt:i4>
      </vt:variant>
      <vt:variant>
        <vt:i4>5</vt:i4>
      </vt:variant>
      <vt:variant>
        <vt:lpwstr>https://researchonline.lshtm.ac.uk/id/eprint/4666958/</vt:lpwstr>
      </vt:variant>
      <vt:variant>
        <vt:lpwstr/>
      </vt:variant>
      <vt:variant>
        <vt:i4>7405610</vt:i4>
      </vt:variant>
      <vt:variant>
        <vt:i4>99</vt:i4>
      </vt:variant>
      <vt:variant>
        <vt:i4>0</vt:i4>
      </vt:variant>
      <vt:variant>
        <vt:i4>5</vt:i4>
      </vt:variant>
      <vt:variant>
        <vt:lpwstr>https://legacyofslavery.harvard.edu/report/legacies-of-slavery-in-scholarship-race-science</vt:lpwstr>
      </vt:variant>
      <vt:variant>
        <vt:lpwstr/>
      </vt:variant>
      <vt:variant>
        <vt:i4>1376344</vt:i4>
      </vt:variant>
      <vt:variant>
        <vt:i4>96</vt:i4>
      </vt:variant>
      <vt:variant>
        <vt:i4>0</vt:i4>
      </vt:variant>
      <vt:variant>
        <vt:i4>5</vt:i4>
      </vt:variant>
      <vt:variant>
        <vt:lpwstr>https://www.cam.ac.uk/about-the-university/advisory-group-on-legacies-of-enslavement-final-report</vt:lpwstr>
      </vt:variant>
      <vt:variant>
        <vt:lpwstr/>
      </vt:variant>
      <vt:variant>
        <vt:i4>7929914</vt:i4>
      </vt:variant>
      <vt:variant>
        <vt:i4>93</vt:i4>
      </vt:variant>
      <vt:variant>
        <vt:i4>0</vt:i4>
      </vt:variant>
      <vt:variant>
        <vt:i4>5</vt:i4>
      </vt:variant>
      <vt:variant>
        <vt:lpwstr>https://www.balliol.ox.ac.uk/sites/default/files/balliol_and_the_proceeds_of_slavery_-_project_report.pdf</vt:lpwstr>
      </vt:variant>
      <vt:variant>
        <vt:lpwstr/>
      </vt:variant>
      <vt:variant>
        <vt:i4>2097279</vt:i4>
      </vt:variant>
      <vt:variant>
        <vt:i4>90</vt:i4>
      </vt:variant>
      <vt:variant>
        <vt:i4>0</vt:i4>
      </vt:variant>
      <vt:variant>
        <vt:i4>5</vt:i4>
      </vt:variant>
      <vt:variant>
        <vt:lpwstr>https://www.strath.ac.uk/whystrathclyde/news/2023/reportshedslightonhistoricallinkstotransatlanticslavery/</vt:lpwstr>
      </vt:variant>
      <vt:variant>
        <vt:lpwstr>:~:text=The%20University%20of%20Strathclyde%20has,from%20money%20derived%20from%20slavery</vt:lpwstr>
      </vt:variant>
      <vt:variant>
        <vt:i4>6160391</vt:i4>
      </vt:variant>
      <vt:variant>
        <vt:i4>87</vt:i4>
      </vt:variant>
      <vt:variant>
        <vt:i4>0</vt:i4>
      </vt:variant>
      <vt:variant>
        <vt:i4>5</vt:i4>
      </vt:variant>
      <vt:variant>
        <vt:lpwstr>https://sites.manchester.ac.uk/salc-making-a-difference/2021/08/18/exploring-the-legacies-of-slavery-and-colonialism-at-the-university-of-manchester/</vt:lpwstr>
      </vt:variant>
      <vt:variant>
        <vt:lpwstr/>
      </vt:variant>
      <vt:variant>
        <vt:i4>7209056</vt:i4>
      </vt:variant>
      <vt:variant>
        <vt:i4>84</vt:i4>
      </vt:variant>
      <vt:variant>
        <vt:i4>0</vt:i4>
      </vt:variant>
      <vt:variant>
        <vt:i4>5</vt:i4>
      </vt:variant>
      <vt:variant>
        <vt:lpwstr>https://documents.manchester.ac.uk/display.aspx?DocID=51691</vt:lpwstr>
      </vt:variant>
      <vt:variant>
        <vt:lpwstr/>
      </vt:variant>
      <vt:variant>
        <vt:i4>4063282</vt:i4>
      </vt:variant>
      <vt:variant>
        <vt:i4>81</vt:i4>
      </vt:variant>
      <vt:variant>
        <vt:i4>0</vt:i4>
      </vt:variant>
      <vt:variant>
        <vt:i4>5</vt:i4>
      </vt:variant>
      <vt:variant>
        <vt:lpwstr>https://research-portal.st-andrews.ac.uk/en/publications/chancellors-and-the-legacies-of-empire-at-st-andrews-1700-1900</vt:lpwstr>
      </vt:variant>
      <vt:variant>
        <vt:lpwstr/>
      </vt:variant>
      <vt:variant>
        <vt:i4>4390934</vt:i4>
      </vt:variant>
      <vt:variant>
        <vt:i4>78</vt:i4>
      </vt:variant>
      <vt:variant>
        <vt:i4>0</vt:i4>
      </vt:variant>
      <vt:variant>
        <vt:i4>5</vt:i4>
      </vt:variant>
      <vt:variant>
        <vt:lpwstr>https://www.strath.ac.uk/media/1newwebsite/documents/Historical_Links_to_Slavery_Report-FINAL.pdf</vt:lpwstr>
      </vt:variant>
      <vt:variant>
        <vt:lpwstr/>
      </vt:variant>
      <vt:variant>
        <vt:i4>6029401</vt:i4>
      </vt:variant>
      <vt:variant>
        <vt:i4>75</vt:i4>
      </vt:variant>
      <vt:variant>
        <vt:i4>0</vt:i4>
      </vt:variant>
      <vt:variant>
        <vt:i4>5</vt:i4>
      </vt:variant>
      <vt:variant>
        <vt:lpwstr>https://www.dundee.ac.uk/corporate-information/founders-project-final-report</vt:lpwstr>
      </vt:variant>
      <vt:variant>
        <vt:lpwstr/>
      </vt:variant>
      <vt:variant>
        <vt:i4>4259868</vt:i4>
      </vt:variant>
      <vt:variant>
        <vt:i4>72</vt:i4>
      </vt:variant>
      <vt:variant>
        <vt:i4>0</vt:i4>
      </vt:variant>
      <vt:variant>
        <vt:i4>5</vt:i4>
      </vt:variant>
      <vt:variant>
        <vt:lpwstr>https://www.abdn.ac.uk/about/strategy-and-governance/legacies-of-slavery/</vt:lpwstr>
      </vt:variant>
      <vt:variant>
        <vt:lpwstr/>
      </vt:variant>
      <vt:variant>
        <vt:i4>2883684</vt:i4>
      </vt:variant>
      <vt:variant>
        <vt:i4>69</vt:i4>
      </vt:variant>
      <vt:variant>
        <vt:i4>0</vt:i4>
      </vt:variant>
      <vt:variant>
        <vt:i4>5</vt:i4>
      </vt:variant>
      <vt:variant>
        <vt:lpwstr>https://www.bristol.ac.uk/media-library/sites/university/documents/university-of-bristol-legacies-of-slavery-report.pdf</vt:lpwstr>
      </vt:variant>
      <vt:variant>
        <vt:lpwstr/>
      </vt:variant>
      <vt:variant>
        <vt:i4>4849733</vt:i4>
      </vt:variant>
      <vt:variant>
        <vt:i4>66</vt:i4>
      </vt:variant>
      <vt:variant>
        <vt:i4>0</vt:i4>
      </vt:variant>
      <vt:variant>
        <vt:i4>5</vt:i4>
      </vt:variant>
      <vt:variant>
        <vt:lpwstr>https://www.imperial.ac.uk/equality/activities/history-group/</vt:lpwstr>
      </vt:variant>
      <vt:variant>
        <vt:lpwstr/>
      </vt:variant>
      <vt:variant>
        <vt:i4>4784214</vt:i4>
      </vt:variant>
      <vt:variant>
        <vt:i4>63</vt:i4>
      </vt:variant>
      <vt:variant>
        <vt:i4>0</vt:i4>
      </vt:variant>
      <vt:variant>
        <vt:i4>5</vt:i4>
      </vt:variant>
      <vt:variant>
        <vt:lpwstr>https://www.durham.ac.uk/about-us/professional-services/equality-diversity-inclusion/strategy/race-equality/library-and-collections-/</vt:lpwstr>
      </vt:variant>
      <vt:variant>
        <vt:lpwstr/>
      </vt:variant>
      <vt:variant>
        <vt:i4>4194326</vt:i4>
      </vt:variant>
      <vt:variant>
        <vt:i4>60</vt:i4>
      </vt:variant>
      <vt:variant>
        <vt:i4>0</vt:i4>
      </vt:variant>
      <vt:variant>
        <vt:i4>5</vt:i4>
      </vt:variant>
      <vt:variant>
        <vt:lpwstr>https://www.nottingham.ac.uk/edi/documents/nottinghams-universities-and-historical-slavery-report.pdf</vt:lpwstr>
      </vt:variant>
      <vt:variant>
        <vt:lpwstr/>
      </vt:variant>
      <vt:variant>
        <vt:i4>4390988</vt:i4>
      </vt:variant>
      <vt:variant>
        <vt:i4>57</vt:i4>
      </vt:variant>
      <vt:variant>
        <vt:i4>0</vt:i4>
      </vt:variant>
      <vt:variant>
        <vt:i4>5</vt:i4>
      </vt:variant>
      <vt:variant>
        <vt:lpwstr>https://sheffieldandslavery.wordpress.com/report/</vt:lpwstr>
      </vt:variant>
      <vt:variant>
        <vt:lpwstr/>
      </vt:variant>
      <vt:variant>
        <vt:i4>4980767</vt:i4>
      </vt:variant>
      <vt:variant>
        <vt:i4>54</vt:i4>
      </vt:variant>
      <vt:variant>
        <vt:i4>0</vt:i4>
      </vt:variant>
      <vt:variant>
        <vt:i4>5</vt:i4>
      </vt:variant>
      <vt:variant>
        <vt:lpwstr>https://www.edinburgh.gov.uk/edinburghslaverycolonialism</vt:lpwstr>
      </vt:variant>
      <vt:variant>
        <vt:lpwstr/>
      </vt:variant>
      <vt:variant>
        <vt:i4>1376264</vt:i4>
      </vt:variant>
      <vt:variant>
        <vt:i4>51</vt:i4>
      </vt:variant>
      <vt:variant>
        <vt:i4>0</vt:i4>
      </vt:variant>
      <vt:variant>
        <vt:i4>5</vt:i4>
      </vt:variant>
      <vt:variant>
        <vt:lpwstr>https://www.churchofscotland.org.uk/news-and-events/news/articles/the-church-and-the-legacies-of-slavery</vt:lpwstr>
      </vt:variant>
      <vt:variant>
        <vt:lpwstr/>
      </vt:variant>
      <vt:variant>
        <vt:i4>3276857</vt:i4>
      </vt:variant>
      <vt:variant>
        <vt:i4>48</vt:i4>
      </vt:variant>
      <vt:variant>
        <vt:i4>0</vt:i4>
      </vt:variant>
      <vt:variant>
        <vt:i4>5</vt:i4>
      </vt:variant>
      <vt:variant>
        <vt:lpwstr>https://www.churchofengland.org/about/leadership-and-governance/church-commissioners-england/who-we-are/church-commissioners-links</vt:lpwstr>
      </vt:variant>
      <vt:variant>
        <vt:lpwstr/>
      </vt:variant>
      <vt:variant>
        <vt:i4>7077923</vt:i4>
      </vt:variant>
      <vt:variant>
        <vt:i4>45</vt:i4>
      </vt:variant>
      <vt:variant>
        <vt:i4>0</vt:i4>
      </vt:variant>
      <vt:variant>
        <vt:i4>5</vt:i4>
      </vt:variant>
      <vt:variant>
        <vt:lpwstr>https://www.nms.ac.uk/collections-research/collections-departments/scottish-history-and-archaeology/projects/the-matter-of-slavery-in-scotland/</vt:lpwstr>
      </vt:variant>
      <vt:variant>
        <vt:lpwstr/>
      </vt:variant>
      <vt:variant>
        <vt:i4>4587522</vt:i4>
      </vt:variant>
      <vt:variant>
        <vt:i4>42</vt:i4>
      </vt:variant>
      <vt:variant>
        <vt:i4>0</vt:i4>
      </vt:variant>
      <vt:variant>
        <vt:i4>5</vt:i4>
      </vt:variant>
      <vt:variant>
        <vt:lpwstr>https://www.museumsassociation.org/museums-journal/news/2023/06/fitzwilliam-museum-explores-founders-links-to-slavery-in-new-exhibition/</vt:lpwstr>
      </vt:variant>
      <vt:variant>
        <vt:lpwstr/>
      </vt:variant>
      <vt:variant>
        <vt:i4>6815844</vt:i4>
      </vt:variant>
      <vt:variant>
        <vt:i4>39</vt:i4>
      </vt:variant>
      <vt:variant>
        <vt:i4>0</vt:i4>
      </vt:variant>
      <vt:variant>
        <vt:i4>5</vt:i4>
      </vt:variant>
      <vt:variant>
        <vt:lpwstr>https://www.theguardian.com/news/2023/mar/28/the-guardian-and-slavery-what-did-the-research-find-and-what-happens-next</vt:lpwstr>
      </vt:variant>
      <vt:variant>
        <vt:lpwstr/>
      </vt:variant>
      <vt:variant>
        <vt:i4>5177410</vt:i4>
      </vt:variant>
      <vt:variant>
        <vt:i4>36</vt:i4>
      </vt:variant>
      <vt:variant>
        <vt:i4>0</vt:i4>
      </vt:variant>
      <vt:variant>
        <vt:i4>5</vt:i4>
      </vt:variant>
      <vt:variant>
        <vt:lpwstr>https://www.nationaltrust.org.uk/who-we-are/research/addressing-our-histories-of-colonialism-and-historic-slavery</vt:lpwstr>
      </vt:variant>
      <vt:variant>
        <vt:lpwstr/>
      </vt:variant>
      <vt:variant>
        <vt:i4>5767249</vt:i4>
      </vt:variant>
      <vt:variant>
        <vt:i4>33</vt:i4>
      </vt:variant>
      <vt:variant>
        <vt:i4>0</vt:i4>
      </vt:variant>
      <vt:variant>
        <vt:i4>5</vt:i4>
      </vt:variant>
      <vt:variant>
        <vt:lpwstr>https://www.kings.cam.ac.uk/news/2019/kings-college-research-slavery-past-and-present</vt:lpwstr>
      </vt:variant>
      <vt:variant>
        <vt:lpwstr/>
      </vt:variant>
      <vt:variant>
        <vt:i4>7405666</vt:i4>
      </vt:variant>
      <vt:variant>
        <vt:i4>30</vt:i4>
      </vt:variant>
      <vt:variant>
        <vt:i4>0</vt:i4>
      </vt:variant>
      <vt:variant>
        <vt:i4>5</vt:i4>
      </vt:variant>
      <vt:variant>
        <vt:lpwstr>https://www.ucl.ac.uk/lbs/</vt:lpwstr>
      </vt:variant>
      <vt:variant>
        <vt:lpwstr/>
      </vt:variant>
      <vt:variant>
        <vt:i4>7077987</vt:i4>
      </vt:variant>
      <vt:variant>
        <vt:i4>27</vt:i4>
      </vt:variant>
      <vt:variant>
        <vt:i4>0</vt:i4>
      </vt:variant>
      <vt:variant>
        <vt:i4>5</vt:i4>
      </vt:variant>
      <vt:variant>
        <vt:lpwstr>https://www.liverpool.ac.uk/csis/about-us/</vt:lpwstr>
      </vt:variant>
      <vt:variant>
        <vt:lpwstr/>
      </vt:variant>
      <vt:variant>
        <vt:i4>4980801</vt:i4>
      </vt:variant>
      <vt:variant>
        <vt:i4>24</vt:i4>
      </vt:variant>
      <vt:variant>
        <vt:i4>0</vt:i4>
      </vt:variant>
      <vt:variant>
        <vt:i4>5</vt:i4>
      </vt:variant>
      <vt:variant>
        <vt:lpwstr>https://www.gla.ac.uk/news/archiveofnews/2018/september/headline_607154_en.html</vt:lpwstr>
      </vt:variant>
      <vt:variant>
        <vt:lpwstr/>
      </vt:variant>
      <vt:variant>
        <vt:i4>6291554</vt:i4>
      </vt:variant>
      <vt:variant>
        <vt:i4>21</vt:i4>
      </vt:variant>
      <vt:variant>
        <vt:i4>0</vt:i4>
      </vt:variant>
      <vt:variant>
        <vt:i4>5</vt:i4>
      </vt:variant>
      <vt:variant>
        <vt:lpwstr>https://slavery.virginia.edu/universities-studying-slavery/</vt:lpwstr>
      </vt:variant>
      <vt:variant>
        <vt:lpwstr/>
      </vt:variant>
      <vt:variant>
        <vt:i4>2687085</vt:i4>
      </vt:variant>
      <vt:variant>
        <vt:i4>18</vt:i4>
      </vt:variant>
      <vt:variant>
        <vt:i4>0</vt:i4>
      </vt:variant>
      <vt:variant>
        <vt:i4>5</vt:i4>
      </vt:variant>
      <vt:variant>
        <vt:lpwstr>https://www.change.org/p/university-of-edinburgh-rename-david-hume-tower-at-uoe</vt:lpwstr>
      </vt:variant>
      <vt:variant>
        <vt:lpwstr/>
      </vt:variant>
      <vt:variant>
        <vt:i4>2424933</vt:i4>
      </vt:variant>
      <vt:variant>
        <vt:i4>15</vt:i4>
      </vt:variant>
      <vt:variant>
        <vt:i4>0</vt:i4>
      </vt:variant>
      <vt:variant>
        <vt:i4>5</vt:i4>
      </vt:variant>
      <vt:variant>
        <vt:lpwstr>https://www.un.org/en/observances/decade-people-african-descent</vt:lpwstr>
      </vt:variant>
      <vt:variant>
        <vt:lpwstr/>
      </vt:variant>
      <vt:variant>
        <vt:i4>1310789</vt:i4>
      </vt:variant>
      <vt:variant>
        <vt:i4>12</vt:i4>
      </vt:variant>
      <vt:variant>
        <vt:i4>0</vt:i4>
      </vt:variant>
      <vt:variant>
        <vt:i4>5</vt:i4>
      </vt:variant>
      <vt:variant>
        <vt:lpwstr>https://blogs.ed.ac.uk/decolonise/category/the-team/</vt:lpwstr>
      </vt:variant>
      <vt:variant>
        <vt:lpwstr/>
      </vt:variant>
      <vt:variant>
        <vt:i4>1310789</vt:i4>
      </vt:variant>
      <vt:variant>
        <vt:i4>9</vt:i4>
      </vt:variant>
      <vt:variant>
        <vt:i4>0</vt:i4>
      </vt:variant>
      <vt:variant>
        <vt:i4>5</vt:i4>
      </vt:variant>
      <vt:variant>
        <vt:lpwstr>https://blogs.ed.ac.uk/decolonise/category/the-team/</vt:lpwstr>
      </vt:variant>
      <vt:variant>
        <vt:lpwstr/>
      </vt:variant>
      <vt:variant>
        <vt:i4>4849665</vt:i4>
      </vt:variant>
      <vt:variant>
        <vt:i4>6</vt:i4>
      </vt:variant>
      <vt:variant>
        <vt:i4>0</vt:i4>
      </vt:variant>
      <vt:variant>
        <vt:i4>5</vt:i4>
      </vt:variant>
      <vt:variant>
        <vt:lpwstr>https://equality-diversity.ed.ac.uk/sites/default/files/2024-07/REAR Action Plan 2023.pdf</vt:lpwstr>
      </vt:variant>
      <vt:variant>
        <vt:lpwstr/>
      </vt:variant>
      <vt:variant>
        <vt:i4>8061033</vt:i4>
      </vt:variant>
      <vt:variant>
        <vt:i4>3</vt:i4>
      </vt:variant>
      <vt:variant>
        <vt:i4>0</vt:i4>
      </vt:variant>
      <vt:variant>
        <vt:i4>5</vt:i4>
      </vt:variant>
      <vt:variant>
        <vt:lpwstr>https://edwebcontent.ed.ac.uk/sites/default/files/atoms/files/uoe_race_equality_and_anti-racist_action_plan.pdf</vt:lpwstr>
      </vt:variant>
      <vt:variant>
        <vt:lpwstr/>
      </vt:variant>
      <vt:variant>
        <vt:i4>6815852</vt:i4>
      </vt:variant>
      <vt:variant>
        <vt:i4>0</vt:i4>
      </vt:variant>
      <vt:variant>
        <vt:i4>0</vt:i4>
      </vt:variant>
      <vt:variant>
        <vt:i4>5</vt:i4>
      </vt:variant>
      <vt:variant>
        <vt:lpwstr>https://www.ed.ac.uk/news/2021/addressing-contemporary-and-historic-racism/statement-from-principal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Frith</dc:creator>
  <cp:keywords/>
  <dc:description/>
  <cp:lastModifiedBy>Barbara Morgan</cp:lastModifiedBy>
  <cp:revision>2</cp:revision>
  <cp:lastPrinted>2025-02-12T18:06:00Z</cp:lastPrinted>
  <dcterms:created xsi:type="dcterms:W3CDTF">2025-07-25T15:51:00Z</dcterms:created>
  <dcterms:modified xsi:type="dcterms:W3CDTF">2025-07-25T15:51:00Z</dcterms:modified>
</cp:coreProperties>
</file>