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F2" w:rsidRDefault="00FA1CF2" w:rsidP="00FA1CF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University of Edinburgh</w:t>
      </w:r>
    </w:p>
    <w:p w:rsidR="00FA1CF2" w:rsidRDefault="00FA1CF2" w:rsidP="00FA1CF2">
      <w:pPr>
        <w:jc w:val="center"/>
        <w:rPr>
          <w:rFonts w:ascii="Times New Roman" w:hAnsi="Times New Roman" w:cs="Times New Roman"/>
          <w:b/>
          <w:sz w:val="28"/>
          <w:szCs w:val="28"/>
        </w:rPr>
      </w:pPr>
      <w:r>
        <w:rPr>
          <w:rFonts w:ascii="Times New Roman" w:hAnsi="Times New Roman" w:cs="Times New Roman"/>
          <w:b/>
          <w:sz w:val="28"/>
          <w:szCs w:val="28"/>
        </w:rPr>
        <w:t>College of Humanities &amp; Social Science</w:t>
      </w:r>
    </w:p>
    <w:p w:rsidR="00726F10" w:rsidRPr="00AE05A9" w:rsidRDefault="00AE05A9" w:rsidP="001C70FF">
      <w:pPr>
        <w:jc w:val="both"/>
        <w:rPr>
          <w:rFonts w:ascii="Times New Roman" w:hAnsi="Times New Roman" w:cs="Times New Roman"/>
          <w:b/>
          <w:sz w:val="28"/>
          <w:szCs w:val="28"/>
        </w:rPr>
      </w:pPr>
      <w:r w:rsidRPr="00AE05A9">
        <w:rPr>
          <w:rFonts w:ascii="Times New Roman" w:hAnsi="Times New Roman" w:cs="Times New Roman"/>
          <w:b/>
          <w:sz w:val="28"/>
          <w:szCs w:val="28"/>
        </w:rPr>
        <w:t>Workload Allocation Models: Common Principles and Guidance for CHSS</w:t>
      </w:r>
    </w:p>
    <w:p w:rsidR="00AE05A9" w:rsidRPr="001C70FF" w:rsidRDefault="00DC4ECE" w:rsidP="001C70FF">
      <w:pPr>
        <w:spacing w:after="0"/>
        <w:jc w:val="both"/>
        <w:rPr>
          <w:rFonts w:ascii="Times New Roman" w:hAnsi="Times New Roman" w:cs="Times New Roman"/>
          <w:b/>
          <w:sz w:val="24"/>
          <w:szCs w:val="24"/>
        </w:rPr>
      </w:pPr>
      <w:r>
        <w:rPr>
          <w:rFonts w:ascii="Times New Roman" w:hAnsi="Times New Roman" w:cs="Times New Roman"/>
          <w:b/>
          <w:sz w:val="24"/>
          <w:szCs w:val="24"/>
        </w:rPr>
        <w:t>1.</w:t>
      </w:r>
      <w:r w:rsidRPr="001C70FF">
        <w:rPr>
          <w:rFonts w:ascii="Times New Roman" w:hAnsi="Times New Roman" w:cs="Times New Roman"/>
          <w:b/>
          <w:sz w:val="24"/>
          <w:szCs w:val="24"/>
        </w:rPr>
        <w:t xml:space="preserve"> Introduction</w:t>
      </w:r>
    </w:p>
    <w:p w:rsidR="00AE05A9" w:rsidRDefault="00AE05A9" w:rsidP="001C70FF">
      <w:pPr>
        <w:spacing w:after="0"/>
        <w:jc w:val="both"/>
        <w:rPr>
          <w:rFonts w:ascii="Times New Roman" w:hAnsi="Times New Roman" w:cs="Times New Roman"/>
          <w:sz w:val="24"/>
          <w:szCs w:val="24"/>
        </w:rPr>
      </w:pPr>
      <w:r>
        <w:rPr>
          <w:rFonts w:ascii="Times New Roman" w:hAnsi="Times New Roman" w:cs="Times New Roman"/>
          <w:sz w:val="24"/>
          <w:szCs w:val="24"/>
        </w:rPr>
        <w:t xml:space="preserve">We have made considerable progress in developing a set of guidance to inform the use and development of </w:t>
      </w:r>
      <w:r w:rsidR="001B7FF3">
        <w:rPr>
          <w:rFonts w:ascii="Times New Roman" w:hAnsi="Times New Roman" w:cs="Times New Roman"/>
          <w:sz w:val="24"/>
          <w:szCs w:val="24"/>
        </w:rPr>
        <w:t>Workload Allocation M</w:t>
      </w:r>
      <w:r>
        <w:rPr>
          <w:rFonts w:ascii="Times New Roman" w:hAnsi="Times New Roman" w:cs="Times New Roman"/>
          <w:sz w:val="24"/>
          <w:szCs w:val="24"/>
        </w:rPr>
        <w:t>odels (WAMs) across the College</w:t>
      </w:r>
      <w:r w:rsidR="00FA1CF2">
        <w:rPr>
          <w:rFonts w:ascii="Times New Roman" w:hAnsi="Times New Roman" w:cs="Times New Roman"/>
          <w:sz w:val="24"/>
          <w:szCs w:val="24"/>
        </w:rPr>
        <w:t xml:space="preserve"> since the Staffing Management Committee first discussed the issue in</w:t>
      </w:r>
      <w:r>
        <w:rPr>
          <w:rFonts w:ascii="Times New Roman" w:hAnsi="Times New Roman" w:cs="Times New Roman"/>
          <w:sz w:val="24"/>
          <w:szCs w:val="24"/>
        </w:rPr>
        <w:t xml:space="preserve"> January 2013</w:t>
      </w:r>
      <w:r w:rsidR="00FA1CF2">
        <w:rPr>
          <w:rFonts w:ascii="Times New Roman" w:hAnsi="Times New Roman" w:cs="Times New Roman"/>
          <w:sz w:val="24"/>
          <w:szCs w:val="24"/>
        </w:rPr>
        <w:t>.</w:t>
      </w:r>
      <w:r>
        <w:rPr>
          <w:rFonts w:ascii="Times New Roman" w:hAnsi="Times New Roman" w:cs="Times New Roman"/>
          <w:sz w:val="24"/>
          <w:szCs w:val="24"/>
        </w:rPr>
        <w:t xml:space="preserve"> </w:t>
      </w:r>
      <w:r w:rsidR="00FA1CF2">
        <w:rPr>
          <w:rFonts w:ascii="Times New Roman" w:hAnsi="Times New Roman" w:cs="Times New Roman"/>
          <w:sz w:val="24"/>
          <w:szCs w:val="24"/>
        </w:rPr>
        <w:t>Following discussion</w:t>
      </w:r>
      <w:r w:rsidR="00496D22">
        <w:rPr>
          <w:rFonts w:ascii="Times New Roman" w:hAnsi="Times New Roman" w:cs="Times New Roman"/>
          <w:sz w:val="24"/>
          <w:szCs w:val="24"/>
        </w:rPr>
        <w:t>s</w:t>
      </w:r>
      <w:r w:rsidR="00FA1CF2">
        <w:rPr>
          <w:rFonts w:ascii="Times New Roman" w:hAnsi="Times New Roman" w:cs="Times New Roman"/>
          <w:sz w:val="24"/>
          <w:szCs w:val="24"/>
        </w:rPr>
        <w:t xml:space="preserve"> at</w:t>
      </w:r>
      <w:r w:rsidR="00496D22">
        <w:rPr>
          <w:rFonts w:ascii="Times New Roman" w:hAnsi="Times New Roman" w:cs="Times New Roman"/>
          <w:sz w:val="24"/>
          <w:szCs w:val="24"/>
        </w:rPr>
        <w:t xml:space="preserve"> our</w:t>
      </w:r>
      <w:r w:rsidR="009B2BB3">
        <w:rPr>
          <w:rFonts w:ascii="Times New Roman" w:hAnsi="Times New Roman" w:cs="Times New Roman"/>
          <w:sz w:val="24"/>
          <w:szCs w:val="24"/>
        </w:rPr>
        <w:t xml:space="preserve"> </w:t>
      </w:r>
      <w:r w:rsidR="00FA1CF2">
        <w:rPr>
          <w:rFonts w:ascii="Times New Roman" w:hAnsi="Times New Roman" w:cs="Times New Roman"/>
          <w:sz w:val="24"/>
          <w:szCs w:val="24"/>
        </w:rPr>
        <w:t xml:space="preserve">Committee </w:t>
      </w:r>
      <w:r w:rsidR="00496D22">
        <w:rPr>
          <w:rFonts w:ascii="Times New Roman" w:hAnsi="Times New Roman" w:cs="Times New Roman"/>
          <w:sz w:val="24"/>
          <w:szCs w:val="24"/>
        </w:rPr>
        <w:t>meetings over the past 2 years</w:t>
      </w:r>
      <w:r w:rsidR="00FA1CF2">
        <w:rPr>
          <w:rFonts w:ascii="Times New Roman" w:hAnsi="Times New Roman" w:cs="Times New Roman"/>
          <w:sz w:val="24"/>
          <w:szCs w:val="24"/>
        </w:rPr>
        <w:t xml:space="preserve">, we now have </w:t>
      </w:r>
      <w:r w:rsidR="00496D22">
        <w:rPr>
          <w:rFonts w:ascii="Times New Roman" w:hAnsi="Times New Roman" w:cs="Times New Roman"/>
          <w:sz w:val="24"/>
          <w:szCs w:val="24"/>
        </w:rPr>
        <w:t>revised the model taking account of local experiences of using it while still promoting the achievement of</w:t>
      </w:r>
      <w:r w:rsidR="00FA1CF2">
        <w:rPr>
          <w:rFonts w:ascii="Times New Roman" w:hAnsi="Times New Roman" w:cs="Times New Roman"/>
          <w:sz w:val="24"/>
          <w:szCs w:val="24"/>
        </w:rPr>
        <w:t xml:space="preserve"> </w:t>
      </w:r>
      <w:r>
        <w:rPr>
          <w:rFonts w:ascii="Times New Roman" w:hAnsi="Times New Roman" w:cs="Times New Roman"/>
          <w:sz w:val="24"/>
          <w:szCs w:val="24"/>
        </w:rPr>
        <w:t xml:space="preserve">standardisation and consistency across the College, where this is possible and desirable, and </w:t>
      </w:r>
      <w:r w:rsidR="00FA1CF2">
        <w:rPr>
          <w:rFonts w:ascii="Times New Roman" w:hAnsi="Times New Roman" w:cs="Times New Roman"/>
          <w:sz w:val="24"/>
          <w:szCs w:val="24"/>
        </w:rPr>
        <w:t xml:space="preserve">understanding where </w:t>
      </w:r>
      <w:r>
        <w:rPr>
          <w:rFonts w:ascii="Times New Roman" w:hAnsi="Times New Roman" w:cs="Times New Roman"/>
          <w:sz w:val="24"/>
          <w:szCs w:val="24"/>
        </w:rPr>
        <w:t xml:space="preserve">local variation </w:t>
      </w:r>
      <w:r w:rsidR="00FA1CF2">
        <w:rPr>
          <w:rFonts w:ascii="Times New Roman" w:hAnsi="Times New Roman" w:cs="Times New Roman"/>
          <w:sz w:val="24"/>
          <w:szCs w:val="24"/>
        </w:rPr>
        <w:t xml:space="preserve">is required </w:t>
      </w:r>
      <w:r>
        <w:rPr>
          <w:rFonts w:ascii="Times New Roman" w:hAnsi="Times New Roman" w:cs="Times New Roman"/>
          <w:sz w:val="24"/>
          <w:szCs w:val="24"/>
        </w:rPr>
        <w:t xml:space="preserve">to take account of disciplinary </w:t>
      </w:r>
      <w:r w:rsidR="00A662CC">
        <w:rPr>
          <w:rFonts w:ascii="Times New Roman" w:hAnsi="Times New Roman" w:cs="Times New Roman"/>
          <w:sz w:val="24"/>
          <w:szCs w:val="24"/>
        </w:rPr>
        <w:t>difference</w:t>
      </w:r>
      <w:r>
        <w:rPr>
          <w:rFonts w:ascii="Times New Roman" w:hAnsi="Times New Roman" w:cs="Times New Roman"/>
          <w:sz w:val="24"/>
          <w:szCs w:val="24"/>
        </w:rPr>
        <w:t>s in academic practice.</w:t>
      </w:r>
    </w:p>
    <w:p w:rsidR="00AE05A9" w:rsidRPr="00AE05A9" w:rsidRDefault="00AE05A9" w:rsidP="001C70FF">
      <w:pPr>
        <w:spacing w:after="0"/>
        <w:jc w:val="both"/>
        <w:rPr>
          <w:rFonts w:ascii="Times New Roman" w:hAnsi="Times New Roman" w:cs="Times New Roman"/>
          <w:sz w:val="16"/>
          <w:szCs w:val="16"/>
        </w:rPr>
      </w:pPr>
    </w:p>
    <w:p w:rsidR="00AE05A9" w:rsidRDefault="00AE05A9" w:rsidP="001C70FF">
      <w:pPr>
        <w:spacing w:after="0"/>
        <w:jc w:val="both"/>
        <w:rPr>
          <w:rFonts w:ascii="Times New Roman" w:hAnsi="Times New Roman" w:cs="Times New Roman"/>
          <w:sz w:val="24"/>
          <w:szCs w:val="24"/>
        </w:rPr>
      </w:pPr>
      <w:r>
        <w:rPr>
          <w:rFonts w:ascii="Times New Roman" w:hAnsi="Times New Roman" w:cs="Times New Roman"/>
          <w:sz w:val="24"/>
          <w:szCs w:val="24"/>
        </w:rPr>
        <w:t xml:space="preserve">This </w:t>
      </w:r>
      <w:r w:rsidR="00496D22">
        <w:rPr>
          <w:rFonts w:ascii="Times New Roman" w:hAnsi="Times New Roman" w:cs="Times New Roman"/>
          <w:sz w:val="24"/>
          <w:szCs w:val="24"/>
        </w:rPr>
        <w:t>document</w:t>
      </w:r>
      <w:r>
        <w:rPr>
          <w:rFonts w:ascii="Times New Roman" w:hAnsi="Times New Roman" w:cs="Times New Roman"/>
          <w:sz w:val="24"/>
          <w:szCs w:val="24"/>
        </w:rPr>
        <w:t xml:space="preserve"> </w:t>
      </w:r>
      <w:r w:rsidR="001B7FF3">
        <w:rPr>
          <w:rFonts w:ascii="Times New Roman" w:hAnsi="Times New Roman" w:cs="Times New Roman"/>
          <w:sz w:val="24"/>
          <w:szCs w:val="24"/>
        </w:rPr>
        <w:t>provides</w:t>
      </w:r>
      <w:r>
        <w:rPr>
          <w:rFonts w:ascii="Times New Roman" w:hAnsi="Times New Roman" w:cs="Times New Roman"/>
          <w:sz w:val="24"/>
          <w:szCs w:val="24"/>
        </w:rPr>
        <w:t xml:space="preserve"> </w:t>
      </w:r>
      <w:r w:rsidR="00FA1CF2">
        <w:rPr>
          <w:rFonts w:ascii="Times New Roman" w:hAnsi="Times New Roman" w:cs="Times New Roman"/>
          <w:sz w:val="24"/>
          <w:szCs w:val="24"/>
        </w:rPr>
        <w:t>guidance for each School in constructing a School-specific WAM which is consistent with College norms and expectations</w:t>
      </w:r>
      <w:r w:rsidR="00E0791F">
        <w:rPr>
          <w:rFonts w:ascii="Times New Roman" w:hAnsi="Times New Roman" w:cs="Times New Roman"/>
          <w:sz w:val="24"/>
          <w:szCs w:val="24"/>
        </w:rPr>
        <w:t>.</w:t>
      </w:r>
    </w:p>
    <w:p w:rsidR="00E4552D" w:rsidRDefault="00E4552D" w:rsidP="001C70FF">
      <w:pPr>
        <w:spacing w:after="0"/>
        <w:jc w:val="both"/>
        <w:rPr>
          <w:rFonts w:ascii="Times New Roman" w:hAnsi="Times New Roman" w:cs="Times New Roman"/>
          <w:sz w:val="24"/>
          <w:szCs w:val="24"/>
        </w:rPr>
      </w:pPr>
    </w:p>
    <w:p w:rsidR="00D67FBA" w:rsidRPr="00D67FBA" w:rsidRDefault="001C70FF" w:rsidP="001C70F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FA1CF2">
        <w:rPr>
          <w:rFonts w:ascii="Times New Roman" w:hAnsi="Times New Roman" w:cs="Times New Roman"/>
          <w:b/>
          <w:sz w:val="24"/>
          <w:szCs w:val="24"/>
        </w:rPr>
        <w:t>Limitations of WAMs</w:t>
      </w:r>
    </w:p>
    <w:p w:rsidR="00D67FBA" w:rsidRDefault="00D67FBA" w:rsidP="001C70FF">
      <w:pPr>
        <w:spacing w:after="0"/>
        <w:jc w:val="both"/>
        <w:rPr>
          <w:rFonts w:ascii="Times New Roman" w:hAnsi="Times New Roman" w:cs="Times New Roman"/>
          <w:sz w:val="24"/>
          <w:szCs w:val="24"/>
        </w:rPr>
      </w:pPr>
      <w:r>
        <w:rPr>
          <w:rFonts w:ascii="Times New Roman" w:hAnsi="Times New Roman" w:cs="Times New Roman"/>
          <w:sz w:val="24"/>
          <w:szCs w:val="24"/>
        </w:rPr>
        <w:t>WAMs are one tool</w:t>
      </w:r>
      <w:r w:rsidR="00494CC3">
        <w:rPr>
          <w:rFonts w:ascii="Times New Roman" w:hAnsi="Times New Roman" w:cs="Times New Roman"/>
          <w:sz w:val="24"/>
          <w:szCs w:val="24"/>
        </w:rPr>
        <w:t xml:space="preserve"> </w:t>
      </w:r>
      <w:r>
        <w:rPr>
          <w:rFonts w:ascii="Times New Roman" w:hAnsi="Times New Roman" w:cs="Times New Roman"/>
          <w:sz w:val="24"/>
          <w:szCs w:val="24"/>
        </w:rPr>
        <w:t xml:space="preserve">among several available to School managers to help them to determine the appropriate contribution which each academic colleague makes to fulfilling a School’s objectives. WAMs cannot, of themselves, resolve tensions or conflict between colleagues </w:t>
      </w:r>
      <w:r w:rsidR="00F32C91">
        <w:rPr>
          <w:rFonts w:ascii="Times New Roman" w:hAnsi="Times New Roman" w:cs="Times New Roman"/>
          <w:sz w:val="24"/>
          <w:szCs w:val="24"/>
        </w:rPr>
        <w:t>and they cannot</w:t>
      </w:r>
      <w:r>
        <w:rPr>
          <w:rFonts w:ascii="Times New Roman" w:hAnsi="Times New Roman" w:cs="Times New Roman"/>
          <w:sz w:val="24"/>
          <w:szCs w:val="24"/>
        </w:rPr>
        <w:t xml:space="preserve"> address capability issues. However, if combined with School plan</w:t>
      </w:r>
      <w:r w:rsidR="00F32C91">
        <w:rPr>
          <w:rFonts w:ascii="Times New Roman" w:hAnsi="Times New Roman" w:cs="Times New Roman"/>
          <w:sz w:val="24"/>
          <w:szCs w:val="24"/>
        </w:rPr>
        <w:t>ning and resourcing discussions</w:t>
      </w:r>
      <w:r>
        <w:rPr>
          <w:rFonts w:ascii="Times New Roman" w:hAnsi="Times New Roman" w:cs="Times New Roman"/>
          <w:sz w:val="24"/>
          <w:szCs w:val="24"/>
        </w:rPr>
        <w:t xml:space="preserve"> at the macro level, and with annual review at the micro level, then the information collected when updating WAMs</w:t>
      </w:r>
      <w:r w:rsidR="00FA1CF2">
        <w:rPr>
          <w:rFonts w:ascii="Times New Roman" w:hAnsi="Times New Roman" w:cs="Times New Roman"/>
          <w:sz w:val="24"/>
          <w:szCs w:val="24"/>
        </w:rPr>
        <w:t>,</w:t>
      </w:r>
      <w:r>
        <w:rPr>
          <w:rFonts w:ascii="Times New Roman" w:hAnsi="Times New Roman" w:cs="Times New Roman"/>
          <w:sz w:val="24"/>
          <w:szCs w:val="24"/>
        </w:rPr>
        <w:t xml:space="preserve"> and the issues thrown up by those data</w:t>
      </w:r>
      <w:r w:rsidR="00FA1CF2">
        <w:rPr>
          <w:rFonts w:ascii="Times New Roman" w:hAnsi="Times New Roman" w:cs="Times New Roman"/>
          <w:sz w:val="24"/>
          <w:szCs w:val="24"/>
        </w:rPr>
        <w:t>,</w:t>
      </w:r>
      <w:r>
        <w:rPr>
          <w:rFonts w:ascii="Times New Roman" w:hAnsi="Times New Roman" w:cs="Times New Roman"/>
          <w:sz w:val="24"/>
          <w:szCs w:val="24"/>
        </w:rPr>
        <w:t xml:space="preserve"> can assist School managers in balancing variable contributions to multiple School responsibilities in ways which are demonstrably fair.</w:t>
      </w:r>
    </w:p>
    <w:p w:rsidR="00D67FBA" w:rsidRPr="00D67FBA" w:rsidRDefault="00D67FBA" w:rsidP="001C70FF">
      <w:pPr>
        <w:spacing w:after="0"/>
        <w:jc w:val="both"/>
        <w:rPr>
          <w:rFonts w:ascii="Times New Roman" w:hAnsi="Times New Roman" w:cs="Times New Roman"/>
          <w:sz w:val="16"/>
          <w:szCs w:val="16"/>
        </w:rPr>
      </w:pPr>
    </w:p>
    <w:p w:rsidR="00D67FBA" w:rsidRDefault="00D67FBA" w:rsidP="001C70FF">
      <w:pPr>
        <w:spacing w:after="0"/>
        <w:jc w:val="both"/>
        <w:rPr>
          <w:rFonts w:ascii="Times New Roman" w:hAnsi="Times New Roman" w:cs="Times New Roman"/>
          <w:sz w:val="24"/>
          <w:szCs w:val="24"/>
        </w:rPr>
      </w:pPr>
      <w:r>
        <w:rPr>
          <w:rFonts w:ascii="Times New Roman" w:hAnsi="Times New Roman" w:cs="Times New Roman"/>
          <w:sz w:val="24"/>
          <w:szCs w:val="24"/>
        </w:rPr>
        <w:t xml:space="preserve">In utilising WAMs, School managers have to realise that the goal of fairness and equitable treatment of staff in the distribution of workloads and contributions to School activities </w:t>
      </w:r>
      <w:r w:rsidR="0085475E">
        <w:rPr>
          <w:rFonts w:ascii="Times New Roman" w:hAnsi="Times New Roman" w:cs="Times New Roman"/>
          <w:sz w:val="24"/>
          <w:szCs w:val="24"/>
        </w:rPr>
        <w:t xml:space="preserve">are likely to </w:t>
      </w:r>
      <w:r>
        <w:rPr>
          <w:rFonts w:ascii="Times New Roman" w:hAnsi="Times New Roman" w:cs="Times New Roman"/>
          <w:sz w:val="24"/>
          <w:szCs w:val="24"/>
        </w:rPr>
        <w:t xml:space="preserve">  be </w:t>
      </w:r>
      <w:r w:rsidR="0085475E">
        <w:rPr>
          <w:rFonts w:ascii="Times New Roman" w:hAnsi="Times New Roman" w:cs="Times New Roman"/>
          <w:sz w:val="24"/>
          <w:szCs w:val="24"/>
        </w:rPr>
        <w:t xml:space="preserve">only </w:t>
      </w:r>
      <w:r w:rsidR="009B2BB3">
        <w:rPr>
          <w:rFonts w:ascii="Times New Roman" w:hAnsi="Times New Roman" w:cs="Times New Roman"/>
          <w:sz w:val="24"/>
          <w:szCs w:val="24"/>
        </w:rPr>
        <w:t>achievable</w:t>
      </w:r>
      <w:r>
        <w:rPr>
          <w:rFonts w:ascii="Times New Roman" w:hAnsi="Times New Roman" w:cs="Times New Roman"/>
          <w:sz w:val="24"/>
          <w:szCs w:val="24"/>
        </w:rPr>
        <w:t xml:space="preserve"> over a period of 3 to </w:t>
      </w:r>
      <w:r w:rsidR="00A45627">
        <w:rPr>
          <w:rFonts w:ascii="Times New Roman" w:hAnsi="Times New Roman" w:cs="Times New Roman"/>
          <w:sz w:val="24"/>
          <w:szCs w:val="24"/>
        </w:rPr>
        <w:t>5</w:t>
      </w:r>
      <w:r>
        <w:rPr>
          <w:rFonts w:ascii="Times New Roman" w:hAnsi="Times New Roman" w:cs="Times New Roman"/>
          <w:sz w:val="24"/>
          <w:szCs w:val="24"/>
        </w:rPr>
        <w:t xml:space="preserve"> years, since it is not necessarily possible to re-assign duties</w:t>
      </w:r>
      <w:r w:rsidR="001B7FF3">
        <w:rPr>
          <w:rFonts w:ascii="Times New Roman" w:hAnsi="Times New Roman" w:cs="Times New Roman"/>
          <w:sz w:val="24"/>
          <w:szCs w:val="24"/>
        </w:rPr>
        <w:t xml:space="preserve"> or to</w:t>
      </w:r>
      <w:r>
        <w:rPr>
          <w:rFonts w:ascii="Times New Roman" w:hAnsi="Times New Roman" w:cs="Times New Roman"/>
          <w:sz w:val="24"/>
          <w:szCs w:val="24"/>
        </w:rPr>
        <w:t xml:space="preserve"> increase </w:t>
      </w:r>
      <w:r w:rsidR="001B7FF3">
        <w:rPr>
          <w:rFonts w:ascii="Times New Roman" w:hAnsi="Times New Roman" w:cs="Times New Roman"/>
          <w:sz w:val="24"/>
          <w:szCs w:val="24"/>
        </w:rPr>
        <w:t xml:space="preserve">or re-deploy </w:t>
      </w:r>
      <w:r>
        <w:rPr>
          <w:rFonts w:ascii="Times New Roman" w:hAnsi="Times New Roman" w:cs="Times New Roman"/>
          <w:sz w:val="24"/>
          <w:szCs w:val="24"/>
        </w:rPr>
        <w:t>academic capacity quickly</w:t>
      </w:r>
      <w:r w:rsidR="0051207A">
        <w:rPr>
          <w:rFonts w:ascii="Times New Roman" w:hAnsi="Times New Roman" w:cs="Times New Roman"/>
          <w:sz w:val="24"/>
          <w:szCs w:val="24"/>
        </w:rPr>
        <w:t xml:space="preserve"> or to make in-year adjustments</w:t>
      </w:r>
      <w:r>
        <w:rPr>
          <w:rFonts w:ascii="Times New Roman" w:hAnsi="Times New Roman" w:cs="Times New Roman"/>
          <w:sz w:val="24"/>
          <w:szCs w:val="24"/>
        </w:rPr>
        <w:t>. Furthermore, the proportions of time devoted to pa</w:t>
      </w:r>
      <w:r w:rsidR="00FA1CF2">
        <w:rPr>
          <w:rFonts w:ascii="Times New Roman" w:hAnsi="Times New Roman" w:cs="Times New Roman"/>
          <w:sz w:val="24"/>
          <w:szCs w:val="24"/>
        </w:rPr>
        <w:t>rticular activities (teaching, r</w:t>
      </w:r>
      <w:r>
        <w:rPr>
          <w:rFonts w:ascii="Times New Roman" w:hAnsi="Times New Roman" w:cs="Times New Roman"/>
          <w:sz w:val="24"/>
          <w:szCs w:val="24"/>
        </w:rPr>
        <w:t>esearch/KE, management</w:t>
      </w:r>
      <w:r w:rsidR="00A662CC">
        <w:rPr>
          <w:rFonts w:ascii="Times New Roman" w:hAnsi="Times New Roman" w:cs="Times New Roman"/>
          <w:sz w:val="24"/>
          <w:szCs w:val="24"/>
        </w:rPr>
        <w:t xml:space="preserve"> and administration</w:t>
      </w:r>
      <w:r>
        <w:rPr>
          <w:rFonts w:ascii="Times New Roman" w:hAnsi="Times New Roman" w:cs="Times New Roman"/>
          <w:sz w:val="24"/>
          <w:szCs w:val="24"/>
        </w:rPr>
        <w:t xml:space="preserve">) which are </w:t>
      </w:r>
      <w:r w:rsidR="00FA1CF2">
        <w:rPr>
          <w:rFonts w:ascii="Times New Roman" w:hAnsi="Times New Roman" w:cs="Times New Roman"/>
          <w:sz w:val="24"/>
          <w:szCs w:val="24"/>
        </w:rPr>
        <w:t>set out in this guidance</w:t>
      </w:r>
      <w:r>
        <w:rPr>
          <w:rFonts w:ascii="Times New Roman" w:hAnsi="Times New Roman" w:cs="Times New Roman"/>
          <w:sz w:val="24"/>
          <w:szCs w:val="24"/>
        </w:rPr>
        <w:t xml:space="preserve"> are not intended to apply to every week and month of the academic year; but are intended to be achieved across a whole year or </w:t>
      </w:r>
      <w:r w:rsidR="00A45627">
        <w:rPr>
          <w:rFonts w:ascii="Times New Roman" w:hAnsi="Times New Roman" w:cs="Times New Roman"/>
          <w:sz w:val="24"/>
          <w:szCs w:val="24"/>
        </w:rPr>
        <w:t xml:space="preserve">the </w:t>
      </w:r>
      <w:r>
        <w:rPr>
          <w:rFonts w:ascii="Times New Roman" w:hAnsi="Times New Roman" w:cs="Times New Roman"/>
          <w:sz w:val="24"/>
          <w:szCs w:val="24"/>
        </w:rPr>
        <w:t>longer time period</w:t>
      </w:r>
      <w:r w:rsidR="00A45627">
        <w:rPr>
          <w:rFonts w:ascii="Times New Roman" w:hAnsi="Times New Roman" w:cs="Times New Roman"/>
          <w:sz w:val="24"/>
          <w:szCs w:val="24"/>
        </w:rPr>
        <w:t xml:space="preserve"> indicated</w:t>
      </w:r>
      <w:r>
        <w:rPr>
          <w:rFonts w:ascii="Times New Roman" w:hAnsi="Times New Roman" w:cs="Times New Roman"/>
          <w:sz w:val="24"/>
          <w:szCs w:val="24"/>
        </w:rPr>
        <w:t>. For example, it should be recognised that across a 52 week year</w:t>
      </w:r>
      <w:r w:rsidR="00A45627">
        <w:rPr>
          <w:rFonts w:ascii="Times New Roman" w:hAnsi="Times New Roman" w:cs="Times New Roman"/>
          <w:sz w:val="24"/>
          <w:szCs w:val="24"/>
        </w:rPr>
        <w:t>, excluding annual leave,</w:t>
      </w:r>
      <w:r>
        <w:rPr>
          <w:rFonts w:ascii="Times New Roman" w:hAnsi="Times New Roman" w:cs="Times New Roman"/>
          <w:sz w:val="24"/>
          <w:szCs w:val="24"/>
        </w:rPr>
        <w:t xml:space="preserve"> someone contributing 40% of their time to teaching </w:t>
      </w:r>
      <w:r w:rsidR="00B92B0E">
        <w:rPr>
          <w:rFonts w:ascii="Times New Roman" w:hAnsi="Times New Roman" w:cs="Times New Roman"/>
          <w:sz w:val="24"/>
          <w:szCs w:val="24"/>
        </w:rPr>
        <w:t xml:space="preserve">and student support </w:t>
      </w:r>
      <w:r>
        <w:rPr>
          <w:rFonts w:ascii="Times New Roman" w:hAnsi="Times New Roman" w:cs="Times New Roman"/>
          <w:sz w:val="24"/>
          <w:szCs w:val="24"/>
        </w:rPr>
        <w:t xml:space="preserve">is likely to have some </w:t>
      </w:r>
      <w:r w:rsidR="00B92B0E">
        <w:rPr>
          <w:rFonts w:ascii="Times New Roman" w:hAnsi="Times New Roman" w:cs="Times New Roman"/>
          <w:sz w:val="24"/>
          <w:szCs w:val="24"/>
        </w:rPr>
        <w:t>week</w:t>
      </w:r>
      <w:r>
        <w:rPr>
          <w:rFonts w:ascii="Times New Roman" w:hAnsi="Times New Roman" w:cs="Times New Roman"/>
          <w:sz w:val="24"/>
          <w:szCs w:val="24"/>
        </w:rPr>
        <w:t xml:space="preserve">s of 100% teaching and some </w:t>
      </w:r>
      <w:r w:rsidR="00B92B0E">
        <w:rPr>
          <w:rFonts w:ascii="Times New Roman" w:hAnsi="Times New Roman" w:cs="Times New Roman"/>
          <w:sz w:val="24"/>
          <w:szCs w:val="24"/>
        </w:rPr>
        <w:t xml:space="preserve">weeks </w:t>
      </w:r>
      <w:r>
        <w:rPr>
          <w:rFonts w:ascii="Times New Roman" w:hAnsi="Times New Roman" w:cs="Times New Roman"/>
          <w:sz w:val="24"/>
          <w:szCs w:val="24"/>
        </w:rPr>
        <w:t>of 0% teaching. Similarly, a 40% allocation of time f</w:t>
      </w:r>
      <w:r w:rsidR="00A662CC">
        <w:rPr>
          <w:rFonts w:ascii="Times New Roman" w:hAnsi="Times New Roman" w:cs="Times New Roman"/>
          <w:sz w:val="24"/>
          <w:szCs w:val="24"/>
        </w:rPr>
        <w:t xml:space="preserve">or research might </w:t>
      </w:r>
      <w:r>
        <w:rPr>
          <w:rFonts w:ascii="Times New Roman" w:hAnsi="Times New Roman" w:cs="Times New Roman"/>
          <w:sz w:val="24"/>
          <w:szCs w:val="24"/>
        </w:rPr>
        <w:t>be understood to be achieved across a 3</w:t>
      </w:r>
      <w:r w:rsidR="00A662CC">
        <w:rPr>
          <w:rFonts w:ascii="Times New Roman" w:hAnsi="Times New Roman" w:cs="Times New Roman"/>
          <w:sz w:val="24"/>
          <w:szCs w:val="24"/>
        </w:rPr>
        <w:t>-</w:t>
      </w:r>
      <w:r w:rsidR="00A45627">
        <w:rPr>
          <w:rFonts w:ascii="Times New Roman" w:hAnsi="Times New Roman" w:cs="Times New Roman"/>
          <w:sz w:val="24"/>
          <w:szCs w:val="24"/>
        </w:rPr>
        <w:t>5</w:t>
      </w:r>
      <w:r>
        <w:rPr>
          <w:rFonts w:ascii="Times New Roman" w:hAnsi="Times New Roman" w:cs="Times New Roman"/>
          <w:sz w:val="24"/>
          <w:szCs w:val="24"/>
        </w:rPr>
        <w:t xml:space="preserve"> year period, if a semester or year of sabbatical leave is included in the calculations.</w:t>
      </w:r>
      <w:r w:rsidR="00A662CC">
        <w:rPr>
          <w:rFonts w:ascii="Times New Roman" w:hAnsi="Times New Roman" w:cs="Times New Roman"/>
          <w:sz w:val="24"/>
          <w:szCs w:val="24"/>
        </w:rPr>
        <w:t xml:space="preserve"> Given the different cycles of work in the teaching and research domains, and the likely differences of expectation for individual academics to be involved in teaching and research (see sections 4.4 and 6 below), it might make sense to try to achieve a balance</w:t>
      </w:r>
      <w:r w:rsidR="00F32C91">
        <w:rPr>
          <w:rFonts w:ascii="Times New Roman" w:hAnsi="Times New Roman" w:cs="Times New Roman"/>
          <w:sz w:val="24"/>
          <w:szCs w:val="24"/>
        </w:rPr>
        <w:t xml:space="preserve">d contribution to </w:t>
      </w:r>
      <w:r w:rsidR="00A662CC">
        <w:rPr>
          <w:rFonts w:ascii="Times New Roman" w:hAnsi="Times New Roman" w:cs="Times New Roman"/>
          <w:sz w:val="24"/>
          <w:szCs w:val="24"/>
        </w:rPr>
        <w:t>teaching on an annual basis, with the balance in research being achieved across a longer timescale.</w:t>
      </w:r>
    </w:p>
    <w:p w:rsidR="00494CC3" w:rsidRDefault="00494CC3" w:rsidP="001C70FF">
      <w:pPr>
        <w:spacing w:after="0"/>
        <w:jc w:val="both"/>
        <w:rPr>
          <w:rFonts w:ascii="Times New Roman" w:hAnsi="Times New Roman" w:cs="Times New Roman"/>
          <w:sz w:val="24"/>
          <w:szCs w:val="24"/>
        </w:rPr>
      </w:pPr>
    </w:p>
    <w:p w:rsidR="009E6795" w:rsidRPr="009E6795" w:rsidRDefault="001C70FF" w:rsidP="001C70F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3. </w:t>
      </w:r>
      <w:r w:rsidR="009E6795" w:rsidRPr="009E6795">
        <w:rPr>
          <w:rFonts w:ascii="Times New Roman" w:hAnsi="Times New Roman" w:cs="Times New Roman"/>
          <w:b/>
          <w:sz w:val="24"/>
          <w:szCs w:val="24"/>
        </w:rPr>
        <w:t>Professional Development and Engagement in Scholarship</w:t>
      </w:r>
    </w:p>
    <w:p w:rsidR="00F96C9B" w:rsidRDefault="00FA1CF2" w:rsidP="001C70FF">
      <w:pPr>
        <w:spacing w:after="0"/>
        <w:jc w:val="both"/>
        <w:rPr>
          <w:rFonts w:ascii="Times New Roman" w:hAnsi="Times New Roman" w:cs="Times New Roman"/>
          <w:sz w:val="24"/>
          <w:szCs w:val="24"/>
        </w:rPr>
      </w:pPr>
      <w:r>
        <w:rPr>
          <w:rFonts w:ascii="Times New Roman" w:hAnsi="Times New Roman" w:cs="Times New Roman"/>
          <w:sz w:val="24"/>
          <w:szCs w:val="24"/>
        </w:rPr>
        <w:t xml:space="preserve">It </w:t>
      </w:r>
      <w:r w:rsidR="007F6AF7">
        <w:rPr>
          <w:rFonts w:ascii="Times New Roman" w:hAnsi="Times New Roman" w:cs="Times New Roman"/>
          <w:sz w:val="24"/>
          <w:szCs w:val="24"/>
        </w:rPr>
        <w:t>is</w:t>
      </w:r>
      <w:r>
        <w:rPr>
          <w:rFonts w:ascii="Times New Roman" w:hAnsi="Times New Roman" w:cs="Times New Roman"/>
          <w:sz w:val="24"/>
          <w:szCs w:val="24"/>
        </w:rPr>
        <w:t xml:space="preserve"> important </w:t>
      </w:r>
      <w:r w:rsidR="007F6AF7">
        <w:rPr>
          <w:rFonts w:ascii="Times New Roman" w:hAnsi="Times New Roman" w:cs="Times New Roman"/>
          <w:sz w:val="24"/>
          <w:szCs w:val="24"/>
        </w:rPr>
        <w:t>for</w:t>
      </w:r>
      <w:r>
        <w:rPr>
          <w:rFonts w:ascii="Times New Roman" w:hAnsi="Times New Roman" w:cs="Times New Roman"/>
          <w:sz w:val="24"/>
          <w:szCs w:val="24"/>
        </w:rPr>
        <w:t xml:space="preserve"> our WAMs </w:t>
      </w:r>
      <w:r w:rsidR="007F6AF7">
        <w:rPr>
          <w:rFonts w:ascii="Times New Roman" w:hAnsi="Times New Roman" w:cs="Times New Roman"/>
          <w:sz w:val="24"/>
          <w:szCs w:val="24"/>
        </w:rPr>
        <w:t>to</w:t>
      </w:r>
      <w:r>
        <w:rPr>
          <w:rFonts w:ascii="Times New Roman" w:hAnsi="Times New Roman" w:cs="Times New Roman"/>
          <w:sz w:val="24"/>
          <w:szCs w:val="24"/>
        </w:rPr>
        <w:t xml:space="preserve"> allocate time for colleagues to engage in</w:t>
      </w:r>
      <w:r w:rsidR="009E6795">
        <w:rPr>
          <w:rFonts w:ascii="Times New Roman" w:hAnsi="Times New Roman" w:cs="Times New Roman"/>
          <w:sz w:val="24"/>
          <w:szCs w:val="24"/>
        </w:rPr>
        <w:t xml:space="preserve"> professional development and scholarly activities. </w:t>
      </w:r>
      <w:r>
        <w:rPr>
          <w:rFonts w:ascii="Times New Roman" w:hAnsi="Times New Roman" w:cs="Times New Roman"/>
          <w:sz w:val="24"/>
          <w:szCs w:val="24"/>
        </w:rPr>
        <w:t>W</w:t>
      </w:r>
      <w:r w:rsidR="009E6795">
        <w:rPr>
          <w:rFonts w:ascii="Times New Roman" w:hAnsi="Times New Roman" w:cs="Times New Roman"/>
          <w:sz w:val="24"/>
          <w:szCs w:val="24"/>
        </w:rPr>
        <w:t xml:space="preserve">e will need to be </w:t>
      </w:r>
      <w:r>
        <w:rPr>
          <w:rFonts w:ascii="Times New Roman" w:hAnsi="Times New Roman" w:cs="Times New Roman"/>
          <w:sz w:val="24"/>
          <w:szCs w:val="24"/>
        </w:rPr>
        <w:t>clear</w:t>
      </w:r>
      <w:r w:rsidR="009E6795">
        <w:rPr>
          <w:rFonts w:ascii="Times New Roman" w:hAnsi="Times New Roman" w:cs="Times New Roman"/>
          <w:sz w:val="24"/>
          <w:szCs w:val="24"/>
        </w:rPr>
        <w:t xml:space="preserve"> that when we describe typical or possible ranges of time allocated to a set of duties (teaching, research/KE, management/administration) that </w:t>
      </w:r>
      <w:r w:rsidR="007F6AF7">
        <w:rPr>
          <w:rFonts w:ascii="Times New Roman" w:hAnsi="Times New Roman" w:cs="Times New Roman"/>
          <w:sz w:val="24"/>
          <w:szCs w:val="24"/>
        </w:rPr>
        <w:t xml:space="preserve">the </w:t>
      </w:r>
      <w:r w:rsidR="009E6795">
        <w:rPr>
          <w:rFonts w:ascii="Times New Roman" w:hAnsi="Times New Roman" w:cs="Times New Roman"/>
          <w:sz w:val="24"/>
          <w:szCs w:val="24"/>
        </w:rPr>
        <w:t xml:space="preserve">time allocation includes within it an expectation of engagement in professional development related to that set of duties. </w:t>
      </w:r>
      <w:r w:rsidR="00F96C9B">
        <w:rPr>
          <w:rFonts w:ascii="Times New Roman" w:hAnsi="Times New Roman" w:cs="Times New Roman"/>
          <w:sz w:val="24"/>
          <w:szCs w:val="24"/>
        </w:rPr>
        <w:t xml:space="preserve">Colleagues carrying out teaching, research and management/administrative duties should expect to have </w:t>
      </w:r>
      <w:r w:rsidR="005871ED">
        <w:rPr>
          <w:rFonts w:ascii="Times New Roman" w:hAnsi="Times New Roman" w:cs="Times New Roman"/>
          <w:sz w:val="24"/>
          <w:szCs w:val="24"/>
        </w:rPr>
        <w:t xml:space="preserve">between 5% and 10% </w:t>
      </w:r>
      <w:r w:rsidR="00F96C9B">
        <w:rPr>
          <w:rFonts w:ascii="Times New Roman" w:hAnsi="Times New Roman" w:cs="Times New Roman"/>
          <w:sz w:val="24"/>
          <w:szCs w:val="24"/>
        </w:rPr>
        <w:t>of their deployable time devoted to professional development</w:t>
      </w:r>
      <w:r w:rsidR="005871ED">
        <w:rPr>
          <w:rFonts w:ascii="Times New Roman" w:hAnsi="Times New Roman" w:cs="Times New Roman"/>
          <w:sz w:val="24"/>
          <w:szCs w:val="24"/>
        </w:rPr>
        <w:t xml:space="preserve"> inclusive of </w:t>
      </w:r>
      <w:r w:rsidR="00F96C9B">
        <w:rPr>
          <w:rFonts w:ascii="Times New Roman" w:hAnsi="Times New Roman" w:cs="Times New Roman"/>
          <w:sz w:val="24"/>
          <w:szCs w:val="24"/>
        </w:rPr>
        <w:t xml:space="preserve">time devoted to training and development in each of the three </w:t>
      </w:r>
      <w:r w:rsidR="007F6AF7">
        <w:rPr>
          <w:rFonts w:ascii="Times New Roman" w:hAnsi="Times New Roman" w:cs="Times New Roman"/>
          <w:sz w:val="24"/>
          <w:szCs w:val="24"/>
        </w:rPr>
        <w:t xml:space="preserve">main work </w:t>
      </w:r>
      <w:r w:rsidR="00F96C9B">
        <w:rPr>
          <w:rFonts w:ascii="Times New Roman" w:hAnsi="Times New Roman" w:cs="Times New Roman"/>
          <w:sz w:val="24"/>
          <w:szCs w:val="24"/>
        </w:rPr>
        <w:t>domains.</w:t>
      </w:r>
    </w:p>
    <w:p w:rsidR="008110F6" w:rsidRDefault="008110F6" w:rsidP="001C70FF">
      <w:pPr>
        <w:spacing w:after="0"/>
        <w:jc w:val="both"/>
        <w:rPr>
          <w:rFonts w:ascii="Times New Roman" w:hAnsi="Times New Roman" w:cs="Times New Roman"/>
          <w:sz w:val="24"/>
          <w:szCs w:val="24"/>
        </w:rPr>
      </w:pPr>
    </w:p>
    <w:p w:rsidR="005201F4" w:rsidRPr="005201F4" w:rsidRDefault="001C70FF" w:rsidP="001C70F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w:t>
      </w:r>
      <w:r w:rsidR="005201F4" w:rsidRPr="005201F4">
        <w:rPr>
          <w:rFonts w:ascii="Times New Roman" w:hAnsi="Times New Roman" w:cs="Times New Roman"/>
          <w:b/>
          <w:sz w:val="24"/>
          <w:szCs w:val="24"/>
        </w:rPr>
        <w:t>General Principles</w:t>
      </w:r>
    </w:p>
    <w:p w:rsidR="009E6795" w:rsidRPr="005201F4" w:rsidRDefault="009E6795" w:rsidP="001C70FF">
      <w:pPr>
        <w:spacing w:after="0"/>
        <w:jc w:val="both"/>
        <w:rPr>
          <w:rFonts w:ascii="Times New Roman" w:hAnsi="Times New Roman" w:cs="Times New Roman"/>
          <w:sz w:val="12"/>
          <w:szCs w:val="12"/>
        </w:rPr>
      </w:pPr>
    </w:p>
    <w:p w:rsidR="005201F4" w:rsidRPr="005201F4" w:rsidRDefault="001C70FF" w:rsidP="001C70F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4.1 </w:t>
      </w:r>
      <w:r w:rsidR="005201F4" w:rsidRPr="005201F4">
        <w:rPr>
          <w:rFonts w:ascii="Times New Roman" w:hAnsi="Times New Roman" w:cs="Times New Roman"/>
          <w:b/>
          <w:i/>
          <w:sz w:val="24"/>
          <w:szCs w:val="24"/>
        </w:rPr>
        <w:t>Coverage</w:t>
      </w:r>
    </w:p>
    <w:p w:rsidR="005201F4" w:rsidRPr="005201F4" w:rsidRDefault="005201F4" w:rsidP="001C70FF">
      <w:pPr>
        <w:spacing w:after="0" w:line="240" w:lineRule="auto"/>
        <w:jc w:val="both"/>
        <w:rPr>
          <w:rFonts w:ascii="Times New Roman" w:hAnsi="Times New Roman" w:cs="Times New Roman"/>
          <w:sz w:val="24"/>
          <w:szCs w:val="24"/>
        </w:rPr>
      </w:pPr>
      <w:r w:rsidRPr="005201F4">
        <w:rPr>
          <w:rFonts w:ascii="Times New Roman" w:hAnsi="Times New Roman" w:cs="Times New Roman"/>
          <w:sz w:val="24"/>
          <w:szCs w:val="24"/>
        </w:rPr>
        <w:t>Schools should use a single, whole-School WAM, with a degree of subject-specific flexibility applying where factors unique to that subject pertain.</w:t>
      </w:r>
    </w:p>
    <w:p w:rsidR="005201F4" w:rsidRPr="002A7C59" w:rsidRDefault="005201F4" w:rsidP="001C70FF">
      <w:pPr>
        <w:spacing w:after="0"/>
        <w:jc w:val="both"/>
        <w:rPr>
          <w:rFonts w:ascii="Times New Roman" w:hAnsi="Times New Roman" w:cs="Times New Roman"/>
          <w:sz w:val="20"/>
          <w:szCs w:val="20"/>
        </w:rPr>
      </w:pPr>
    </w:p>
    <w:p w:rsidR="00FA1CF2" w:rsidRDefault="001C70FF" w:rsidP="001C70F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4.2 </w:t>
      </w:r>
      <w:r w:rsidR="005201F4" w:rsidRPr="005201F4">
        <w:rPr>
          <w:rFonts w:ascii="Times New Roman" w:hAnsi="Times New Roman" w:cs="Times New Roman"/>
          <w:b/>
          <w:i/>
          <w:sz w:val="24"/>
          <w:szCs w:val="24"/>
        </w:rPr>
        <w:t>Hours-based Calculation</w:t>
      </w:r>
      <w:r w:rsidR="00FA1CF2">
        <w:rPr>
          <w:rFonts w:ascii="Times New Roman" w:hAnsi="Times New Roman" w:cs="Times New Roman"/>
          <w:b/>
          <w:i/>
          <w:sz w:val="24"/>
          <w:szCs w:val="24"/>
        </w:rPr>
        <w:tab/>
      </w:r>
    </w:p>
    <w:p w:rsidR="005201F4" w:rsidRDefault="005201F4" w:rsidP="001C70FF">
      <w:pPr>
        <w:spacing w:after="0"/>
        <w:jc w:val="both"/>
        <w:rPr>
          <w:rFonts w:ascii="Times New Roman" w:hAnsi="Times New Roman" w:cs="Times New Roman"/>
          <w:sz w:val="24"/>
          <w:szCs w:val="24"/>
        </w:rPr>
      </w:pPr>
      <w:r w:rsidRPr="005201F4">
        <w:rPr>
          <w:rFonts w:ascii="Times New Roman" w:hAnsi="Times New Roman" w:cs="Times New Roman"/>
          <w:sz w:val="24"/>
          <w:szCs w:val="24"/>
        </w:rPr>
        <w:t xml:space="preserve">Schools should approach workload allocation in terms of </w:t>
      </w:r>
      <w:r w:rsidR="007F6AF7">
        <w:rPr>
          <w:rFonts w:ascii="Times New Roman" w:hAnsi="Times New Roman" w:cs="Times New Roman"/>
          <w:sz w:val="24"/>
          <w:szCs w:val="24"/>
        </w:rPr>
        <w:t xml:space="preserve">a </w:t>
      </w:r>
      <w:r w:rsidRPr="005201F4">
        <w:rPr>
          <w:rFonts w:ascii="Times New Roman" w:hAnsi="Times New Roman" w:cs="Times New Roman"/>
          <w:sz w:val="24"/>
          <w:szCs w:val="24"/>
        </w:rPr>
        <w:t xml:space="preserve">notional numbers of hours per year relative to </w:t>
      </w:r>
      <w:r w:rsidR="001B7FF3">
        <w:rPr>
          <w:rFonts w:ascii="Times New Roman" w:hAnsi="Times New Roman" w:cs="Times New Roman"/>
          <w:sz w:val="24"/>
          <w:szCs w:val="24"/>
        </w:rPr>
        <w:t>the</w:t>
      </w:r>
      <w:r w:rsidRPr="005201F4">
        <w:rPr>
          <w:rFonts w:ascii="Times New Roman" w:hAnsi="Times New Roman" w:cs="Times New Roman"/>
          <w:sz w:val="24"/>
          <w:szCs w:val="24"/>
        </w:rPr>
        <w:t xml:space="preserve"> total available number of hours</w:t>
      </w:r>
      <w:r w:rsidR="00FA1CF2">
        <w:rPr>
          <w:rFonts w:ascii="Times New Roman" w:hAnsi="Times New Roman" w:cs="Times New Roman"/>
          <w:sz w:val="24"/>
          <w:szCs w:val="24"/>
        </w:rPr>
        <w:t>.</w:t>
      </w:r>
      <w:r w:rsidRPr="005201F4">
        <w:rPr>
          <w:rFonts w:ascii="Times New Roman" w:hAnsi="Times New Roman" w:cs="Times New Roman"/>
          <w:sz w:val="24"/>
          <w:szCs w:val="24"/>
        </w:rPr>
        <w:t xml:space="preserve"> </w:t>
      </w:r>
      <w:r w:rsidR="00FA1CF2">
        <w:rPr>
          <w:rFonts w:ascii="Times New Roman" w:hAnsi="Times New Roman" w:cs="Times New Roman"/>
          <w:sz w:val="24"/>
          <w:szCs w:val="24"/>
        </w:rPr>
        <w:t>T</w:t>
      </w:r>
      <w:r w:rsidRPr="005201F4">
        <w:rPr>
          <w:rFonts w:ascii="Times New Roman" w:hAnsi="Times New Roman" w:cs="Times New Roman"/>
          <w:sz w:val="24"/>
          <w:szCs w:val="24"/>
        </w:rPr>
        <w:t>his should be (for one FTE) 1,540 </w:t>
      </w:r>
      <w:r w:rsidR="00FA1CF2">
        <w:rPr>
          <w:rFonts w:ascii="Times New Roman" w:hAnsi="Times New Roman" w:cs="Times New Roman"/>
          <w:sz w:val="24"/>
          <w:szCs w:val="24"/>
        </w:rPr>
        <w:t xml:space="preserve">hours </w:t>
      </w:r>
      <w:r w:rsidRPr="005201F4">
        <w:rPr>
          <w:rFonts w:ascii="Times New Roman" w:hAnsi="Times New Roman" w:cs="Times New Roman"/>
          <w:sz w:val="24"/>
          <w:szCs w:val="24"/>
        </w:rPr>
        <w:t xml:space="preserve">per year (a total of 1,820 </w:t>
      </w:r>
      <w:r w:rsidR="00494CC3">
        <w:rPr>
          <w:rFonts w:ascii="Times New Roman" w:hAnsi="Times New Roman" w:cs="Times New Roman"/>
          <w:sz w:val="24"/>
          <w:szCs w:val="24"/>
        </w:rPr>
        <w:t xml:space="preserve">hours, </w:t>
      </w:r>
      <w:r w:rsidRPr="005201F4">
        <w:rPr>
          <w:rFonts w:ascii="Times New Roman" w:hAnsi="Times New Roman" w:cs="Times New Roman"/>
          <w:sz w:val="24"/>
          <w:szCs w:val="24"/>
        </w:rPr>
        <w:t>less 280 hours of annual leave</w:t>
      </w:r>
      <w:r w:rsidR="00494CC3">
        <w:rPr>
          <w:rFonts w:ascii="Times New Roman" w:hAnsi="Times New Roman" w:cs="Times New Roman"/>
          <w:sz w:val="24"/>
          <w:szCs w:val="24"/>
        </w:rPr>
        <w:t xml:space="preserve"> (inclusive of public holidays)</w:t>
      </w:r>
      <w:r w:rsidRPr="005201F4">
        <w:rPr>
          <w:rFonts w:ascii="Times New Roman" w:hAnsi="Times New Roman" w:cs="Times New Roman"/>
          <w:sz w:val="24"/>
          <w:szCs w:val="24"/>
        </w:rPr>
        <w:t>).</w:t>
      </w:r>
    </w:p>
    <w:p w:rsidR="00EE35D1" w:rsidRPr="00EE35D1" w:rsidRDefault="00EE35D1" w:rsidP="001C70FF">
      <w:pPr>
        <w:spacing w:after="0"/>
        <w:jc w:val="both"/>
        <w:rPr>
          <w:rFonts w:ascii="Times New Roman" w:hAnsi="Times New Roman" w:cs="Times New Roman"/>
          <w:sz w:val="16"/>
          <w:szCs w:val="16"/>
        </w:rPr>
      </w:pPr>
    </w:p>
    <w:p w:rsidR="00EE35D1" w:rsidRPr="005201F4" w:rsidRDefault="00EE35D1" w:rsidP="001C70FF">
      <w:pPr>
        <w:spacing w:after="0"/>
        <w:jc w:val="both"/>
        <w:rPr>
          <w:rFonts w:ascii="Times New Roman" w:hAnsi="Times New Roman" w:cs="Times New Roman"/>
          <w:sz w:val="24"/>
          <w:szCs w:val="24"/>
        </w:rPr>
      </w:pPr>
      <w:r>
        <w:rPr>
          <w:rFonts w:ascii="Times New Roman" w:hAnsi="Times New Roman" w:cs="Times New Roman"/>
          <w:sz w:val="24"/>
          <w:szCs w:val="24"/>
        </w:rPr>
        <w:t xml:space="preserve">Calculations of hours </w:t>
      </w:r>
      <w:r w:rsidR="00FA1CF2">
        <w:rPr>
          <w:rFonts w:ascii="Times New Roman" w:hAnsi="Times New Roman" w:cs="Times New Roman"/>
          <w:sz w:val="24"/>
          <w:szCs w:val="24"/>
        </w:rPr>
        <w:t>should</w:t>
      </w:r>
      <w:r>
        <w:rPr>
          <w:rFonts w:ascii="Times New Roman" w:hAnsi="Times New Roman" w:cs="Times New Roman"/>
          <w:sz w:val="24"/>
          <w:szCs w:val="24"/>
        </w:rPr>
        <w:t xml:space="preserve"> be adjusted proportionately for part-time staff, or as necessary to take account of legacy contractual terms and conditions.</w:t>
      </w:r>
    </w:p>
    <w:p w:rsidR="005201F4" w:rsidRPr="002A7C59" w:rsidRDefault="005201F4" w:rsidP="001C70FF">
      <w:pPr>
        <w:spacing w:after="0"/>
        <w:jc w:val="both"/>
        <w:rPr>
          <w:rFonts w:ascii="Times New Roman" w:hAnsi="Times New Roman" w:cs="Times New Roman"/>
          <w:sz w:val="20"/>
          <w:szCs w:val="20"/>
        </w:rPr>
      </w:pPr>
    </w:p>
    <w:p w:rsidR="005201F4" w:rsidRPr="005201F4" w:rsidRDefault="001C70FF" w:rsidP="001C70F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4.3 </w:t>
      </w:r>
      <w:r w:rsidR="00FA1CF2">
        <w:rPr>
          <w:rFonts w:ascii="Times New Roman" w:hAnsi="Times New Roman" w:cs="Times New Roman"/>
          <w:b/>
          <w:i/>
          <w:sz w:val="24"/>
          <w:szCs w:val="24"/>
        </w:rPr>
        <w:t>New Colleagues</w:t>
      </w:r>
    </w:p>
    <w:p w:rsidR="005201F4" w:rsidRPr="005201F4" w:rsidRDefault="005201F4" w:rsidP="001C70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w:t>
      </w:r>
      <w:r w:rsidRPr="005201F4">
        <w:rPr>
          <w:rFonts w:ascii="Times New Roman" w:hAnsi="Times New Roman" w:cs="Times New Roman"/>
          <w:sz w:val="24"/>
          <w:szCs w:val="24"/>
        </w:rPr>
        <w:t>or WAM purposes</w:t>
      </w:r>
      <w:r>
        <w:rPr>
          <w:rFonts w:ascii="Times New Roman" w:hAnsi="Times New Roman" w:cs="Times New Roman"/>
          <w:sz w:val="24"/>
          <w:szCs w:val="24"/>
        </w:rPr>
        <w:t xml:space="preserve"> a new colleague is defined as</w:t>
      </w:r>
      <w:r w:rsidRPr="005201F4">
        <w:rPr>
          <w:rFonts w:ascii="Times New Roman" w:hAnsi="Times New Roman" w:cs="Times New Roman"/>
          <w:sz w:val="24"/>
          <w:szCs w:val="24"/>
        </w:rPr>
        <w:t xml:space="preserve">: a person in the first year of their first academic appointment at lecturer level.  </w:t>
      </w:r>
      <w:r>
        <w:rPr>
          <w:rFonts w:ascii="Times New Roman" w:hAnsi="Times New Roman" w:cs="Times New Roman"/>
          <w:sz w:val="24"/>
          <w:szCs w:val="24"/>
        </w:rPr>
        <w:t>New</w:t>
      </w:r>
      <w:r w:rsidRPr="005201F4">
        <w:rPr>
          <w:rFonts w:ascii="Times New Roman" w:hAnsi="Times New Roman" w:cs="Times New Roman"/>
          <w:sz w:val="24"/>
          <w:szCs w:val="24"/>
        </w:rPr>
        <w:t xml:space="preserve"> colleagues </w:t>
      </w:r>
      <w:r>
        <w:rPr>
          <w:rFonts w:ascii="Times New Roman" w:hAnsi="Times New Roman" w:cs="Times New Roman"/>
          <w:sz w:val="24"/>
          <w:szCs w:val="24"/>
        </w:rPr>
        <w:t>should</w:t>
      </w:r>
      <w:r w:rsidRPr="005201F4">
        <w:rPr>
          <w:rFonts w:ascii="Times New Roman" w:hAnsi="Times New Roman" w:cs="Times New Roman"/>
          <w:sz w:val="24"/>
          <w:szCs w:val="24"/>
        </w:rPr>
        <w:t xml:space="preserve"> receive an additional 15% time allocation for engagement in professional training and development.  For a full-time member of staff this would equate to 230 hours per year</w:t>
      </w:r>
      <w:r w:rsidR="00494CC3">
        <w:rPr>
          <w:rFonts w:ascii="Times New Roman" w:hAnsi="Times New Roman" w:cs="Times New Roman"/>
          <w:sz w:val="24"/>
          <w:szCs w:val="24"/>
        </w:rPr>
        <w:t>. This would be</w:t>
      </w:r>
      <w:r w:rsidR="00FA1CF2">
        <w:rPr>
          <w:rFonts w:ascii="Times New Roman" w:hAnsi="Times New Roman" w:cs="Times New Roman"/>
          <w:sz w:val="24"/>
          <w:szCs w:val="24"/>
        </w:rPr>
        <w:t xml:space="preserve"> in addition to the time which should be allocated to all staff in support </w:t>
      </w:r>
      <w:r w:rsidR="00B92B0E">
        <w:rPr>
          <w:rFonts w:ascii="Times New Roman" w:hAnsi="Times New Roman" w:cs="Times New Roman"/>
          <w:sz w:val="24"/>
          <w:szCs w:val="24"/>
        </w:rPr>
        <w:t>o</w:t>
      </w:r>
      <w:r w:rsidR="00FA1CF2">
        <w:rPr>
          <w:rFonts w:ascii="Times New Roman" w:hAnsi="Times New Roman" w:cs="Times New Roman"/>
          <w:sz w:val="24"/>
          <w:szCs w:val="24"/>
        </w:rPr>
        <w:t>f their professional development and scholarly engagement</w:t>
      </w:r>
      <w:r w:rsidR="00494CC3">
        <w:rPr>
          <w:rFonts w:ascii="Times New Roman" w:hAnsi="Times New Roman" w:cs="Times New Roman"/>
          <w:sz w:val="24"/>
          <w:szCs w:val="24"/>
        </w:rPr>
        <w:t xml:space="preserve"> in teaching, research and management/administration</w:t>
      </w:r>
      <w:r w:rsidRPr="005201F4">
        <w:rPr>
          <w:rFonts w:ascii="Times New Roman" w:hAnsi="Times New Roman" w:cs="Times New Roman"/>
          <w:sz w:val="24"/>
          <w:szCs w:val="24"/>
        </w:rPr>
        <w:t>.</w:t>
      </w:r>
    </w:p>
    <w:p w:rsidR="00EE35D1" w:rsidRPr="00FA1CF2" w:rsidRDefault="00EE35D1" w:rsidP="001C70FF">
      <w:pPr>
        <w:spacing w:after="0"/>
        <w:jc w:val="both"/>
        <w:rPr>
          <w:rFonts w:ascii="Times New Roman" w:hAnsi="Times New Roman" w:cs="Times New Roman"/>
          <w:sz w:val="20"/>
          <w:szCs w:val="20"/>
        </w:rPr>
      </w:pPr>
    </w:p>
    <w:p w:rsidR="005201F4" w:rsidRPr="005201F4" w:rsidRDefault="001C70FF" w:rsidP="001C70F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4.4 </w:t>
      </w:r>
      <w:r w:rsidR="005201F4" w:rsidRPr="005201F4">
        <w:rPr>
          <w:rFonts w:ascii="Times New Roman" w:hAnsi="Times New Roman" w:cs="Times New Roman"/>
          <w:b/>
          <w:i/>
          <w:sz w:val="24"/>
          <w:szCs w:val="24"/>
        </w:rPr>
        <w:t>Minimum Contributions</w:t>
      </w:r>
    </w:p>
    <w:p w:rsidR="0080598E" w:rsidRPr="00B8586F" w:rsidRDefault="007F6AF7" w:rsidP="001C70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We recognised</w:t>
      </w:r>
      <w:r w:rsidR="0080598E" w:rsidRPr="00B8586F">
        <w:rPr>
          <w:rFonts w:ascii="Times New Roman" w:hAnsi="Times New Roman" w:cs="Times New Roman"/>
          <w:sz w:val="24"/>
          <w:szCs w:val="24"/>
        </w:rPr>
        <w:t xml:space="preserve"> that is was</w:t>
      </w:r>
      <w:r w:rsidR="0080598E" w:rsidRPr="0080598E">
        <w:rPr>
          <w:rFonts w:ascii="Times New Roman" w:hAnsi="Times New Roman" w:cs="Times New Roman"/>
          <w:sz w:val="24"/>
          <w:szCs w:val="24"/>
        </w:rPr>
        <w:t xml:space="preserve"> undesirable to create mechanisms within our WAMs by which academic colleagues c</w:t>
      </w:r>
      <w:r w:rsidR="0080598E" w:rsidRPr="00B8586F">
        <w:rPr>
          <w:rFonts w:ascii="Times New Roman" w:hAnsi="Times New Roman" w:cs="Times New Roman"/>
          <w:sz w:val="24"/>
          <w:szCs w:val="24"/>
        </w:rPr>
        <w:t>ould</w:t>
      </w:r>
      <w:r w:rsidR="0080598E" w:rsidRPr="0080598E">
        <w:rPr>
          <w:rFonts w:ascii="Times New Roman" w:hAnsi="Times New Roman" w:cs="Times New Roman"/>
          <w:sz w:val="24"/>
          <w:szCs w:val="24"/>
        </w:rPr>
        <w:t xml:space="preserve"> become separated from engagement in teaching and student support.  </w:t>
      </w:r>
      <w:r w:rsidR="0080598E" w:rsidRPr="00B8586F">
        <w:rPr>
          <w:rFonts w:ascii="Times New Roman" w:hAnsi="Times New Roman" w:cs="Times New Roman"/>
          <w:sz w:val="24"/>
          <w:szCs w:val="24"/>
        </w:rPr>
        <w:t>I</w:t>
      </w:r>
      <w:r w:rsidR="00A662CC">
        <w:rPr>
          <w:rFonts w:ascii="Times New Roman" w:hAnsi="Times New Roman" w:cs="Times New Roman"/>
          <w:sz w:val="24"/>
          <w:szCs w:val="24"/>
        </w:rPr>
        <w:t>n</w:t>
      </w:r>
      <w:r w:rsidR="0080598E" w:rsidRPr="00B8586F">
        <w:rPr>
          <w:rFonts w:ascii="Times New Roman" w:hAnsi="Times New Roman" w:cs="Times New Roman"/>
          <w:sz w:val="24"/>
          <w:szCs w:val="24"/>
        </w:rPr>
        <w:t xml:space="preserve"> light of this, we agreed</w:t>
      </w:r>
      <w:r w:rsidR="0080598E" w:rsidRPr="0080598E">
        <w:rPr>
          <w:rFonts w:ascii="Times New Roman" w:hAnsi="Times New Roman" w:cs="Times New Roman"/>
          <w:sz w:val="24"/>
          <w:szCs w:val="24"/>
        </w:rPr>
        <w:t xml:space="preserve"> that all academic staff with a contractual expectation of involvement in teaching should have </w:t>
      </w:r>
      <w:r w:rsidR="00CC1E3E">
        <w:rPr>
          <w:rFonts w:ascii="Times New Roman" w:hAnsi="Times New Roman" w:cs="Times New Roman"/>
          <w:sz w:val="24"/>
          <w:szCs w:val="24"/>
        </w:rPr>
        <w:t>a</w:t>
      </w:r>
      <w:r w:rsidR="0080598E" w:rsidRPr="0080598E">
        <w:rPr>
          <w:rFonts w:ascii="Times New Roman" w:hAnsi="Times New Roman" w:cs="Times New Roman"/>
          <w:sz w:val="24"/>
          <w:szCs w:val="24"/>
        </w:rPr>
        <w:t xml:space="preserve"> minimum teaching-related allocation of </w:t>
      </w:r>
      <w:r w:rsidR="0080598E" w:rsidRPr="00B8586F">
        <w:rPr>
          <w:rFonts w:ascii="Times New Roman" w:hAnsi="Times New Roman" w:cs="Times New Roman"/>
          <w:sz w:val="24"/>
          <w:szCs w:val="24"/>
        </w:rPr>
        <w:t>40</w:t>
      </w:r>
      <w:r w:rsidR="0080598E" w:rsidRPr="0080598E">
        <w:rPr>
          <w:rFonts w:ascii="Times New Roman" w:hAnsi="Times New Roman" w:cs="Times New Roman"/>
          <w:sz w:val="24"/>
          <w:szCs w:val="24"/>
        </w:rPr>
        <w:t>% of their deployable time</w:t>
      </w:r>
      <w:r w:rsidR="0080598E" w:rsidRPr="00B8586F">
        <w:rPr>
          <w:rFonts w:ascii="Times New Roman" w:hAnsi="Times New Roman" w:cs="Times New Roman"/>
          <w:sz w:val="24"/>
          <w:szCs w:val="24"/>
        </w:rPr>
        <w:t xml:space="preserve"> (inclusive of </w:t>
      </w:r>
      <w:r w:rsidR="00A45627">
        <w:rPr>
          <w:rFonts w:ascii="Times New Roman" w:hAnsi="Times New Roman" w:cs="Times New Roman"/>
          <w:sz w:val="24"/>
          <w:szCs w:val="24"/>
        </w:rPr>
        <w:t xml:space="preserve">the time allocated to them for </w:t>
      </w:r>
      <w:r w:rsidR="0080598E" w:rsidRPr="00B8586F">
        <w:rPr>
          <w:rFonts w:ascii="Times New Roman" w:hAnsi="Times New Roman" w:cs="Times New Roman"/>
          <w:sz w:val="24"/>
          <w:szCs w:val="24"/>
        </w:rPr>
        <w:t>engagement in professional development related to teaching and student support)</w:t>
      </w:r>
      <w:r w:rsidR="0080598E" w:rsidRPr="0080598E">
        <w:rPr>
          <w:rFonts w:ascii="Times New Roman" w:hAnsi="Times New Roman" w:cs="Times New Roman"/>
          <w:sz w:val="24"/>
          <w:szCs w:val="24"/>
        </w:rPr>
        <w:t>.  For a full-time member of staff this would equate to</w:t>
      </w:r>
      <w:r>
        <w:rPr>
          <w:rFonts w:ascii="Times New Roman" w:hAnsi="Times New Roman" w:cs="Times New Roman"/>
          <w:sz w:val="24"/>
          <w:szCs w:val="24"/>
        </w:rPr>
        <w:t xml:space="preserve"> a minimum contribution to teaching </w:t>
      </w:r>
      <w:r w:rsidR="00B92B0E">
        <w:rPr>
          <w:rFonts w:ascii="Times New Roman" w:hAnsi="Times New Roman" w:cs="Times New Roman"/>
          <w:sz w:val="24"/>
          <w:szCs w:val="24"/>
        </w:rPr>
        <w:t xml:space="preserve">and student support </w:t>
      </w:r>
      <w:r>
        <w:rPr>
          <w:rFonts w:ascii="Times New Roman" w:hAnsi="Times New Roman" w:cs="Times New Roman"/>
          <w:sz w:val="24"/>
          <w:szCs w:val="24"/>
        </w:rPr>
        <w:t>of</w:t>
      </w:r>
      <w:r w:rsidR="0080598E" w:rsidRPr="0080598E">
        <w:rPr>
          <w:rFonts w:ascii="Times New Roman" w:hAnsi="Times New Roman" w:cs="Times New Roman"/>
          <w:sz w:val="24"/>
          <w:szCs w:val="24"/>
        </w:rPr>
        <w:t xml:space="preserve"> </w:t>
      </w:r>
      <w:r w:rsidR="00B8586F" w:rsidRPr="00B8586F">
        <w:rPr>
          <w:rFonts w:ascii="Times New Roman" w:hAnsi="Times New Roman" w:cs="Times New Roman"/>
          <w:sz w:val="24"/>
          <w:szCs w:val="24"/>
        </w:rPr>
        <w:t>615</w:t>
      </w:r>
      <w:r w:rsidR="0080598E" w:rsidRPr="0080598E">
        <w:rPr>
          <w:rFonts w:ascii="Times New Roman" w:hAnsi="Times New Roman" w:cs="Times New Roman"/>
          <w:sz w:val="24"/>
          <w:szCs w:val="24"/>
        </w:rPr>
        <w:t> hours per year.</w:t>
      </w:r>
    </w:p>
    <w:p w:rsidR="0080598E" w:rsidRPr="0080598E" w:rsidRDefault="0080598E" w:rsidP="001C70FF">
      <w:pPr>
        <w:spacing w:after="0" w:line="240" w:lineRule="auto"/>
        <w:contextualSpacing/>
        <w:jc w:val="both"/>
        <w:rPr>
          <w:rFonts w:ascii="Times New Roman" w:hAnsi="Times New Roman" w:cs="Times New Roman"/>
          <w:sz w:val="16"/>
          <w:szCs w:val="16"/>
        </w:rPr>
      </w:pPr>
    </w:p>
    <w:p w:rsidR="0080598E" w:rsidRDefault="0080598E" w:rsidP="001C70FF">
      <w:pPr>
        <w:tabs>
          <w:tab w:val="left" w:pos="851"/>
          <w:tab w:val="left" w:pos="6804"/>
        </w:tabs>
        <w:spacing w:after="0" w:line="240" w:lineRule="auto"/>
        <w:contextualSpacing/>
        <w:jc w:val="both"/>
        <w:rPr>
          <w:rFonts w:ascii="Times New Roman" w:hAnsi="Times New Roman" w:cs="Times New Roman"/>
          <w:sz w:val="24"/>
          <w:szCs w:val="24"/>
        </w:rPr>
      </w:pPr>
      <w:r w:rsidRPr="0080598E">
        <w:rPr>
          <w:rFonts w:ascii="Times New Roman" w:hAnsi="Times New Roman" w:cs="Times New Roman"/>
          <w:sz w:val="24"/>
          <w:szCs w:val="24"/>
        </w:rPr>
        <w:t xml:space="preserve">In much the same way, we </w:t>
      </w:r>
      <w:r w:rsidR="00B8586F" w:rsidRPr="00B8586F">
        <w:rPr>
          <w:rFonts w:ascii="Times New Roman" w:hAnsi="Times New Roman" w:cs="Times New Roman"/>
          <w:sz w:val="24"/>
          <w:szCs w:val="24"/>
        </w:rPr>
        <w:t>agreed</w:t>
      </w:r>
      <w:r w:rsidRPr="0080598E">
        <w:rPr>
          <w:rFonts w:ascii="Times New Roman" w:hAnsi="Times New Roman" w:cs="Times New Roman"/>
          <w:sz w:val="24"/>
          <w:szCs w:val="24"/>
        </w:rPr>
        <w:t xml:space="preserve"> that each academic colleague should make some contribution to management and administration within their School</w:t>
      </w:r>
      <w:r w:rsidR="00CC1E3E">
        <w:rPr>
          <w:rFonts w:ascii="Times New Roman" w:hAnsi="Times New Roman" w:cs="Times New Roman"/>
          <w:sz w:val="24"/>
          <w:szCs w:val="24"/>
        </w:rPr>
        <w:t>;</w:t>
      </w:r>
      <w:r w:rsidR="00B8586F" w:rsidRPr="00B8586F">
        <w:rPr>
          <w:rFonts w:ascii="Times New Roman" w:hAnsi="Times New Roman" w:cs="Times New Roman"/>
          <w:sz w:val="24"/>
          <w:szCs w:val="24"/>
        </w:rPr>
        <w:t xml:space="preserve"> to the idea of good citizenship in the running of the School</w:t>
      </w:r>
      <w:r w:rsidRPr="0080598E">
        <w:rPr>
          <w:rFonts w:ascii="Times New Roman" w:hAnsi="Times New Roman" w:cs="Times New Roman"/>
          <w:sz w:val="24"/>
          <w:szCs w:val="24"/>
        </w:rPr>
        <w:t xml:space="preserve">.  </w:t>
      </w:r>
      <w:r w:rsidR="00B8586F" w:rsidRPr="00B8586F">
        <w:rPr>
          <w:rFonts w:ascii="Times New Roman" w:hAnsi="Times New Roman" w:cs="Times New Roman"/>
          <w:sz w:val="24"/>
          <w:szCs w:val="24"/>
        </w:rPr>
        <w:t xml:space="preserve">Against other WAM values for management </w:t>
      </w:r>
      <w:r w:rsidR="00A662CC">
        <w:rPr>
          <w:rFonts w:ascii="Times New Roman" w:hAnsi="Times New Roman" w:cs="Times New Roman"/>
          <w:sz w:val="24"/>
          <w:szCs w:val="24"/>
        </w:rPr>
        <w:t xml:space="preserve">and administrative </w:t>
      </w:r>
      <w:r w:rsidR="00B8586F" w:rsidRPr="00B8586F">
        <w:rPr>
          <w:rFonts w:ascii="Times New Roman" w:hAnsi="Times New Roman" w:cs="Times New Roman"/>
          <w:sz w:val="24"/>
          <w:szCs w:val="24"/>
        </w:rPr>
        <w:t xml:space="preserve">activities, </w:t>
      </w:r>
      <w:r w:rsidR="00CC1E3E">
        <w:rPr>
          <w:rFonts w:ascii="Times New Roman" w:hAnsi="Times New Roman" w:cs="Times New Roman"/>
          <w:sz w:val="24"/>
          <w:szCs w:val="24"/>
        </w:rPr>
        <w:t>it was agreed</w:t>
      </w:r>
      <w:r w:rsidR="00B8586F" w:rsidRPr="00B8586F">
        <w:rPr>
          <w:rFonts w:ascii="Times New Roman" w:hAnsi="Times New Roman" w:cs="Times New Roman"/>
          <w:sz w:val="24"/>
          <w:szCs w:val="24"/>
        </w:rPr>
        <w:t xml:space="preserve"> that</w:t>
      </w:r>
      <w:r w:rsidRPr="0080598E">
        <w:rPr>
          <w:rFonts w:ascii="Times New Roman" w:hAnsi="Times New Roman" w:cs="Times New Roman"/>
          <w:sz w:val="24"/>
          <w:szCs w:val="24"/>
        </w:rPr>
        <w:t xml:space="preserve"> the minimum level </w:t>
      </w:r>
      <w:r w:rsidR="00A662CC">
        <w:rPr>
          <w:rFonts w:ascii="Times New Roman" w:hAnsi="Times New Roman" w:cs="Times New Roman"/>
          <w:sz w:val="24"/>
          <w:szCs w:val="24"/>
        </w:rPr>
        <w:t xml:space="preserve">for </w:t>
      </w:r>
      <w:r w:rsidR="00B92B0E">
        <w:rPr>
          <w:rFonts w:ascii="Times New Roman" w:hAnsi="Times New Roman" w:cs="Times New Roman"/>
          <w:sz w:val="24"/>
          <w:szCs w:val="24"/>
        </w:rPr>
        <w:t>‘</w:t>
      </w:r>
      <w:r w:rsidR="00B8586F" w:rsidRPr="00B8586F">
        <w:rPr>
          <w:rFonts w:ascii="Times New Roman" w:hAnsi="Times New Roman" w:cs="Times New Roman"/>
          <w:sz w:val="24"/>
          <w:szCs w:val="24"/>
        </w:rPr>
        <w:t>active citizenship</w:t>
      </w:r>
      <w:r w:rsidR="00B92B0E">
        <w:rPr>
          <w:rFonts w:ascii="Times New Roman" w:hAnsi="Times New Roman" w:cs="Times New Roman"/>
          <w:sz w:val="24"/>
          <w:szCs w:val="24"/>
        </w:rPr>
        <w:t>’</w:t>
      </w:r>
      <w:r w:rsidR="00B8586F" w:rsidRPr="00B8586F">
        <w:rPr>
          <w:rFonts w:ascii="Times New Roman" w:hAnsi="Times New Roman" w:cs="Times New Roman"/>
          <w:sz w:val="24"/>
          <w:szCs w:val="24"/>
        </w:rPr>
        <w:t xml:space="preserve"> </w:t>
      </w:r>
      <w:r w:rsidRPr="0080598E">
        <w:rPr>
          <w:rFonts w:ascii="Times New Roman" w:hAnsi="Times New Roman" w:cs="Times New Roman"/>
          <w:sz w:val="24"/>
          <w:szCs w:val="24"/>
        </w:rPr>
        <w:t xml:space="preserve">might be set at </w:t>
      </w:r>
      <w:r w:rsidR="00CC1E3E">
        <w:rPr>
          <w:rFonts w:ascii="Times New Roman" w:hAnsi="Times New Roman" w:cs="Times New Roman"/>
          <w:sz w:val="24"/>
          <w:szCs w:val="24"/>
        </w:rPr>
        <w:t>10</w:t>
      </w:r>
      <w:r w:rsidRPr="0080598E">
        <w:rPr>
          <w:rFonts w:ascii="Times New Roman" w:hAnsi="Times New Roman" w:cs="Times New Roman"/>
          <w:sz w:val="24"/>
          <w:szCs w:val="24"/>
        </w:rPr>
        <w:t>% of deployable time</w:t>
      </w:r>
      <w:r w:rsidR="00B8586F" w:rsidRPr="00B8586F">
        <w:rPr>
          <w:rFonts w:ascii="Times New Roman" w:hAnsi="Times New Roman" w:cs="Times New Roman"/>
          <w:sz w:val="24"/>
          <w:szCs w:val="24"/>
        </w:rPr>
        <w:t xml:space="preserve">, or </w:t>
      </w:r>
      <w:r w:rsidR="00CC1E3E">
        <w:rPr>
          <w:rFonts w:ascii="Times New Roman" w:hAnsi="Times New Roman" w:cs="Times New Roman"/>
          <w:sz w:val="24"/>
          <w:szCs w:val="24"/>
        </w:rPr>
        <w:t>150</w:t>
      </w:r>
      <w:r w:rsidR="00B8586F" w:rsidRPr="00B8586F">
        <w:rPr>
          <w:rFonts w:ascii="Times New Roman" w:hAnsi="Times New Roman" w:cs="Times New Roman"/>
          <w:sz w:val="24"/>
          <w:szCs w:val="24"/>
        </w:rPr>
        <w:t xml:space="preserve"> hours per year for a full-time member of staff</w:t>
      </w:r>
      <w:r w:rsidR="00CC1E3E">
        <w:rPr>
          <w:rFonts w:ascii="Times New Roman" w:hAnsi="Times New Roman" w:cs="Times New Roman"/>
          <w:sz w:val="24"/>
          <w:szCs w:val="24"/>
        </w:rPr>
        <w:t xml:space="preserve"> (inclusive of </w:t>
      </w:r>
      <w:r w:rsidR="00A45627">
        <w:rPr>
          <w:rFonts w:ascii="Times New Roman" w:hAnsi="Times New Roman" w:cs="Times New Roman"/>
          <w:sz w:val="24"/>
          <w:szCs w:val="24"/>
        </w:rPr>
        <w:t xml:space="preserve">the time </w:t>
      </w:r>
      <w:r w:rsidR="00A45627">
        <w:rPr>
          <w:rFonts w:ascii="Times New Roman" w:hAnsi="Times New Roman" w:cs="Times New Roman"/>
          <w:sz w:val="24"/>
          <w:szCs w:val="24"/>
        </w:rPr>
        <w:lastRenderedPageBreak/>
        <w:t>allocated to them for</w:t>
      </w:r>
      <w:r w:rsidR="00CC1E3E">
        <w:rPr>
          <w:rFonts w:ascii="Times New Roman" w:hAnsi="Times New Roman" w:cs="Times New Roman"/>
          <w:sz w:val="24"/>
          <w:szCs w:val="24"/>
        </w:rPr>
        <w:t xml:space="preserve"> engagement in training or development related to management and administration)</w:t>
      </w:r>
      <w:r w:rsidRPr="0080598E">
        <w:rPr>
          <w:rFonts w:ascii="Times New Roman" w:hAnsi="Times New Roman" w:cs="Times New Roman"/>
          <w:sz w:val="24"/>
          <w:szCs w:val="24"/>
        </w:rPr>
        <w:t>.</w:t>
      </w:r>
    </w:p>
    <w:p w:rsidR="004C35CD" w:rsidRDefault="004C35CD" w:rsidP="001C70FF">
      <w:pPr>
        <w:tabs>
          <w:tab w:val="left" w:pos="851"/>
          <w:tab w:val="left" w:pos="6804"/>
        </w:tabs>
        <w:spacing w:after="0" w:line="240" w:lineRule="auto"/>
        <w:contextualSpacing/>
        <w:jc w:val="both"/>
        <w:rPr>
          <w:rFonts w:ascii="Times New Roman" w:hAnsi="Times New Roman" w:cs="Times New Roman"/>
          <w:sz w:val="24"/>
          <w:szCs w:val="24"/>
        </w:rPr>
      </w:pPr>
    </w:p>
    <w:p w:rsidR="0080598E" w:rsidRPr="0080598E" w:rsidRDefault="0080598E" w:rsidP="001C70FF">
      <w:pPr>
        <w:spacing w:after="0" w:line="240" w:lineRule="auto"/>
        <w:contextualSpacing/>
        <w:jc w:val="both"/>
        <w:rPr>
          <w:rFonts w:ascii="Times New Roman" w:hAnsi="Times New Roman" w:cs="Times New Roman"/>
          <w:sz w:val="24"/>
          <w:szCs w:val="24"/>
        </w:rPr>
      </w:pPr>
      <w:r w:rsidRPr="0080598E">
        <w:rPr>
          <w:rFonts w:ascii="Times New Roman" w:hAnsi="Times New Roman" w:cs="Times New Roman"/>
          <w:sz w:val="24"/>
          <w:szCs w:val="24"/>
        </w:rPr>
        <w:t>Th</w:t>
      </w:r>
      <w:r w:rsidR="00B8586F">
        <w:rPr>
          <w:rFonts w:ascii="Times New Roman" w:hAnsi="Times New Roman" w:cs="Times New Roman"/>
          <w:sz w:val="24"/>
          <w:szCs w:val="24"/>
        </w:rPr>
        <w:t>ese minima</w:t>
      </w:r>
      <w:r w:rsidRPr="0080598E">
        <w:rPr>
          <w:rFonts w:ascii="Times New Roman" w:hAnsi="Times New Roman" w:cs="Times New Roman"/>
          <w:sz w:val="24"/>
          <w:szCs w:val="24"/>
        </w:rPr>
        <w:t xml:space="preserve"> would not apply to </w:t>
      </w:r>
      <w:r w:rsidR="00B8586F">
        <w:rPr>
          <w:rFonts w:ascii="Times New Roman" w:hAnsi="Times New Roman" w:cs="Times New Roman"/>
          <w:sz w:val="24"/>
          <w:szCs w:val="24"/>
        </w:rPr>
        <w:t>colleagues</w:t>
      </w:r>
      <w:r w:rsidRPr="0080598E">
        <w:rPr>
          <w:rFonts w:ascii="Times New Roman" w:hAnsi="Times New Roman" w:cs="Times New Roman"/>
          <w:sz w:val="24"/>
          <w:szCs w:val="24"/>
        </w:rPr>
        <w:t xml:space="preserve"> </w:t>
      </w:r>
      <w:r w:rsidR="00494CC3">
        <w:rPr>
          <w:rFonts w:ascii="Times New Roman" w:hAnsi="Times New Roman" w:cs="Times New Roman"/>
          <w:sz w:val="24"/>
          <w:szCs w:val="24"/>
        </w:rPr>
        <w:t>during</w:t>
      </w:r>
      <w:r w:rsidRPr="0080598E">
        <w:rPr>
          <w:rFonts w:ascii="Times New Roman" w:hAnsi="Times New Roman" w:cs="Times New Roman"/>
          <w:sz w:val="24"/>
          <w:szCs w:val="24"/>
        </w:rPr>
        <w:t xml:space="preserve"> periods of sabbatical leave, funded </w:t>
      </w:r>
      <w:r w:rsidR="00B92B0E">
        <w:rPr>
          <w:rFonts w:ascii="Times New Roman" w:hAnsi="Times New Roman" w:cs="Times New Roman"/>
          <w:sz w:val="24"/>
          <w:szCs w:val="24"/>
        </w:rPr>
        <w:t xml:space="preserve">full-time </w:t>
      </w:r>
      <w:r w:rsidRPr="0080598E">
        <w:rPr>
          <w:rFonts w:ascii="Times New Roman" w:hAnsi="Times New Roman" w:cs="Times New Roman"/>
          <w:sz w:val="24"/>
          <w:szCs w:val="24"/>
        </w:rPr>
        <w:t xml:space="preserve">research </w:t>
      </w:r>
      <w:r w:rsidR="00B92B0E">
        <w:rPr>
          <w:rFonts w:ascii="Times New Roman" w:hAnsi="Times New Roman" w:cs="Times New Roman"/>
          <w:sz w:val="24"/>
          <w:szCs w:val="24"/>
        </w:rPr>
        <w:t>or other leave</w:t>
      </w:r>
      <w:r w:rsidRPr="0080598E">
        <w:rPr>
          <w:rFonts w:ascii="Times New Roman" w:hAnsi="Times New Roman" w:cs="Times New Roman"/>
          <w:sz w:val="24"/>
          <w:szCs w:val="24"/>
        </w:rPr>
        <w:t>.</w:t>
      </w:r>
    </w:p>
    <w:p w:rsidR="005201F4" w:rsidRPr="002A7C59" w:rsidRDefault="005201F4" w:rsidP="001C70FF">
      <w:pPr>
        <w:spacing w:after="0"/>
        <w:jc w:val="both"/>
        <w:rPr>
          <w:rFonts w:ascii="Times New Roman" w:hAnsi="Times New Roman" w:cs="Times New Roman"/>
          <w:sz w:val="20"/>
          <w:szCs w:val="20"/>
        </w:rPr>
      </w:pPr>
    </w:p>
    <w:p w:rsidR="005201F4" w:rsidRPr="005201F4" w:rsidRDefault="001C70FF" w:rsidP="001C70F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4.5 </w:t>
      </w:r>
      <w:r w:rsidR="00B92B0E">
        <w:rPr>
          <w:rFonts w:ascii="Times New Roman" w:hAnsi="Times New Roman" w:cs="Times New Roman"/>
          <w:b/>
          <w:i/>
          <w:sz w:val="24"/>
          <w:szCs w:val="24"/>
        </w:rPr>
        <w:t>Sabbatical Leave and Bought-out Time</w:t>
      </w:r>
    </w:p>
    <w:p w:rsidR="001C70FF" w:rsidRPr="001C70FF" w:rsidRDefault="001C70FF" w:rsidP="001C70FF">
      <w:pPr>
        <w:tabs>
          <w:tab w:val="left" w:pos="851"/>
          <w:tab w:val="left" w:pos="6804"/>
        </w:tabs>
        <w:spacing w:after="0" w:line="240" w:lineRule="auto"/>
        <w:contextualSpacing/>
        <w:jc w:val="both"/>
        <w:rPr>
          <w:rFonts w:ascii="Times New Roman" w:hAnsi="Times New Roman" w:cs="Times New Roman"/>
          <w:sz w:val="24"/>
          <w:szCs w:val="24"/>
        </w:rPr>
      </w:pPr>
      <w:r w:rsidRPr="001C70FF">
        <w:rPr>
          <w:rFonts w:ascii="Times New Roman" w:hAnsi="Times New Roman" w:cs="Times New Roman"/>
          <w:sz w:val="24"/>
          <w:szCs w:val="24"/>
        </w:rPr>
        <w:t xml:space="preserve">The allocations of time outlined </w:t>
      </w:r>
      <w:r w:rsidR="00CC1E3E">
        <w:rPr>
          <w:rFonts w:ascii="Times New Roman" w:hAnsi="Times New Roman" w:cs="Times New Roman"/>
          <w:sz w:val="24"/>
          <w:szCs w:val="24"/>
        </w:rPr>
        <w:t>in this paper</w:t>
      </w:r>
      <w:r w:rsidRPr="001C70FF">
        <w:rPr>
          <w:rFonts w:ascii="Times New Roman" w:hAnsi="Times New Roman" w:cs="Times New Roman"/>
          <w:sz w:val="24"/>
          <w:szCs w:val="24"/>
        </w:rPr>
        <w:t xml:space="preserve"> would not apply during periods of sabbatical leave, or where someone was bought-out 100% from their contractual duties.  However, </w:t>
      </w:r>
      <w:r>
        <w:rPr>
          <w:rFonts w:ascii="Times New Roman" w:hAnsi="Times New Roman" w:cs="Times New Roman"/>
          <w:sz w:val="24"/>
          <w:szCs w:val="24"/>
        </w:rPr>
        <w:t xml:space="preserve">in </w:t>
      </w:r>
      <w:r w:rsidR="00CC1E3E">
        <w:rPr>
          <w:rFonts w:ascii="Times New Roman" w:hAnsi="Times New Roman" w:cs="Times New Roman"/>
          <w:sz w:val="24"/>
          <w:szCs w:val="24"/>
        </w:rPr>
        <w:t xml:space="preserve">a </w:t>
      </w:r>
      <w:r>
        <w:rPr>
          <w:rFonts w:ascii="Times New Roman" w:hAnsi="Times New Roman" w:cs="Times New Roman"/>
          <w:sz w:val="24"/>
          <w:szCs w:val="24"/>
        </w:rPr>
        <w:t xml:space="preserve">situation where a colleague </w:t>
      </w:r>
      <w:r w:rsidR="007F6AF7">
        <w:rPr>
          <w:rFonts w:ascii="Times New Roman" w:hAnsi="Times New Roman" w:cs="Times New Roman"/>
          <w:sz w:val="24"/>
          <w:szCs w:val="24"/>
        </w:rPr>
        <w:t>wa</w:t>
      </w:r>
      <w:r>
        <w:rPr>
          <w:rFonts w:ascii="Times New Roman" w:hAnsi="Times New Roman" w:cs="Times New Roman"/>
          <w:sz w:val="24"/>
          <w:szCs w:val="24"/>
        </w:rPr>
        <w:t xml:space="preserve">s partially bought-out of their contractual duties, the </w:t>
      </w:r>
      <w:r w:rsidRPr="001C70FF">
        <w:rPr>
          <w:rFonts w:ascii="Times New Roman" w:hAnsi="Times New Roman" w:cs="Times New Roman"/>
          <w:sz w:val="24"/>
          <w:szCs w:val="24"/>
        </w:rPr>
        <w:t xml:space="preserve">partial buy-out </w:t>
      </w:r>
      <w:r w:rsidR="007F6AF7">
        <w:rPr>
          <w:rFonts w:ascii="Times New Roman" w:hAnsi="Times New Roman" w:cs="Times New Roman"/>
          <w:sz w:val="24"/>
          <w:szCs w:val="24"/>
        </w:rPr>
        <w:t>w</w:t>
      </w:r>
      <w:r w:rsidRPr="001C70FF">
        <w:rPr>
          <w:rFonts w:ascii="Times New Roman" w:hAnsi="Times New Roman" w:cs="Times New Roman"/>
          <w:sz w:val="24"/>
          <w:szCs w:val="24"/>
        </w:rPr>
        <w:t xml:space="preserve">ould effectively reduce the FTE of deployable time, and then the principles outlined </w:t>
      </w:r>
      <w:r>
        <w:rPr>
          <w:rFonts w:ascii="Times New Roman" w:hAnsi="Times New Roman" w:cs="Times New Roman"/>
          <w:sz w:val="24"/>
          <w:szCs w:val="24"/>
        </w:rPr>
        <w:t>in this paper</w:t>
      </w:r>
      <w:r w:rsidRPr="001C70FF">
        <w:rPr>
          <w:rFonts w:ascii="Times New Roman" w:hAnsi="Times New Roman" w:cs="Times New Roman"/>
          <w:sz w:val="24"/>
          <w:szCs w:val="24"/>
        </w:rPr>
        <w:t xml:space="preserve"> would apply to the remaining FTE.  For example</w:t>
      </w:r>
      <w:r w:rsidR="007F6AF7">
        <w:rPr>
          <w:rFonts w:ascii="Times New Roman" w:hAnsi="Times New Roman" w:cs="Times New Roman"/>
          <w:sz w:val="24"/>
          <w:szCs w:val="24"/>
        </w:rPr>
        <w:t>,</w:t>
      </w:r>
      <w:r w:rsidRPr="001C70FF">
        <w:rPr>
          <w:rFonts w:ascii="Times New Roman" w:hAnsi="Times New Roman" w:cs="Times New Roman"/>
          <w:sz w:val="24"/>
          <w:szCs w:val="24"/>
        </w:rPr>
        <w:t xml:space="preserve"> if a colleague has a 50% buy-out of their time, then </w:t>
      </w:r>
      <w:r>
        <w:rPr>
          <w:rFonts w:ascii="Times New Roman" w:hAnsi="Times New Roman" w:cs="Times New Roman"/>
          <w:sz w:val="24"/>
          <w:szCs w:val="24"/>
        </w:rPr>
        <w:t>40</w:t>
      </w:r>
      <w:r w:rsidRPr="001C70FF">
        <w:rPr>
          <w:rFonts w:ascii="Times New Roman" w:hAnsi="Times New Roman" w:cs="Times New Roman"/>
          <w:sz w:val="24"/>
          <w:szCs w:val="24"/>
        </w:rPr>
        <w:t>% of the remaining 50% (</w:t>
      </w:r>
      <w:r>
        <w:rPr>
          <w:rFonts w:ascii="Times New Roman" w:hAnsi="Times New Roman" w:cs="Times New Roman"/>
          <w:sz w:val="24"/>
          <w:szCs w:val="24"/>
        </w:rPr>
        <w:t>20</w:t>
      </w:r>
      <w:r w:rsidRPr="001C70FF">
        <w:rPr>
          <w:rFonts w:ascii="Times New Roman" w:hAnsi="Times New Roman" w:cs="Times New Roman"/>
          <w:sz w:val="24"/>
          <w:szCs w:val="24"/>
        </w:rPr>
        <w:t>% of the total) would be allocated to teaching</w:t>
      </w:r>
      <w:r w:rsidR="00B92B0E">
        <w:rPr>
          <w:rFonts w:ascii="Times New Roman" w:hAnsi="Times New Roman" w:cs="Times New Roman"/>
          <w:sz w:val="24"/>
          <w:szCs w:val="24"/>
        </w:rPr>
        <w:t xml:space="preserve"> and student support</w:t>
      </w:r>
      <w:r w:rsidRPr="001C70FF">
        <w:rPr>
          <w:rFonts w:ascii="Times New Roman" w:hAnsi="Times New Roman" w:cs="Times New Roman"/>
          <w:sz w:val="24"/>
          <w:szCs w:val="24"/>
        </w:rPr>
        <w:t xml:space="preserve">, </w:t>
      </w:r>
      <w:r>
        <w:rPr>
          <w:rFonts w:ascii="Times New Roman" w:hAnsi="Times New Roman" w:cs="Times New Roman"/>
          <w:sz w:val="24"/>
          <w:szCs w:val="24"/>
        </w:rPr>
        <w:t>etc</w:t>
      </w:r>
      <w:r w:rsidRPr="001C70FF">
        <w:rPr>
          <w:rFonts w:ascii="Times New Roman" w:hAnsi="Times New Roman" w:cs="Times New Roman"/>
          <w:sz w:val="24"/>
          <w:szCs w:val="24"/>
        </w:rPr>
        <w:t>.</w:t>
      </w:r>
      <w:r w:rsidR="00B92B0E">
        <w:rPr>
          <w:rFonts w:ascii="Times New Roman" w:hAnsi="Times New Roman" w:cs="Times New Roman"/>
          <w:sz w:val="24"/>
          <w:szCs w:val="24"/>
        </w:rPr>
        <w:t xml:space="preserve"> The most frequent reason for a partial buy-out of a colleague’s time is to undertake an externally-funded research project, but the same approach would apply in internal situations, such as when the College Office compensates a School for the time an individual devotes to roles such as Dean of Students or Dean of Research. In such circumstances, the 40% of time devoted to the Dean role would reduce a colleague’s deployable time in the School to 60%, of which a minimum of 40% (24% of the total) would be devoted to teaching and student support, etc.</w:t>
      </w:r>
    </w:p>
    <w:p w:rsidR="005201F4" w:rsidRPr="002A7C59" w:rsidRDefault="005201F4" w:rsidP="001C70FF">
      <w:pPr>
        <w:spacing w:after="0"/>
        <w:jc w:val="both"/>
        <w:rPr>
          <w:rFonts w:ascii="Times New Roman" w:hAnsi="Times New Roman" w:cs="Times New Roman"/>
          <w:sz w:val="20"/>
          <w:szCs w:val="20"/>
        </w:rPr>
      </w:pPr>
    </w:p>
    <w:p w:rsidR="005201F4" w:rsidRDefault="001C70FF" w:rsidP="001C70F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4.6 </w:t>
      </w:r>
      <w:r w:rsidR="005201F4" w:rsidRPr="005201F4">
        <w:rPr>
          <w:rFonts w:ascii="Times New Roman" w:hAnsi="Times New Roman" w:cs="Times New Roman"/>
          <w:b/>
          <w:i/>
          <w:sz w:val="24"/>
          <w:szCs w:val="24"/>
        </w:rPr>
        <w:t>Consultancy and Additional Salary Payments</w:t>
      </w:r>
    </w:p>
    <w:p w:rsidR="00635E90" w:rsidRDefault="00635E90" w:rsidP="00635E90">
      <w:pPr>
        <w:tabs>
          <w:tab w:val="left" w:pos="851"/>
          <w:tab w:val="left" w:pos="6804"/>
        </w:tabs>
        <w:spacing w:after="0" w:line="240" w:lineRule="auto"/>
        <w:contextualSpacing/>
        <w:jc w:val="both"/>
        <w:rPr>
          <w:rFonts w:ascii="Times New Roman" w:hAnsi="Times New Roman" w:cs="Times New Roman"/>
          <w:sz w:val="24"/>
          <w:szCs w:val="24"/>
        </w:rPr>
      </w:pPr>
      <w:r w:rsidRPr="00635E90">
        <w:rPr>
          <w:rFonts w:ascii="Times New Roman" w:hAnsi="Times New Roman" w:cs="Times New Roman"/>
          <w:sz w:val="24"/>
          <w:szCs w:val="24"/>
        </w:rPr>
        <w:t xml:space="preserve">Where colleagues engage in consultancy activities or deliver CPD for other organisations as part of their contribution to the range of the School’s academic activities, and receive no additional payment, it is important for managers to take account of that </w:t>
      </w:r>
      <w:r w:rsidR="007F6AF7">
        <w:rPr>
          <w:rFonts w:ascii="Times New Roman" w:hAnsi="Times New Roman" w:cs="Times New Roman"/>
          <w:sz w:val="24"/>
          <w:szCs w:val="24"/>
        </w:rPr>
        <w:t xml:space="preserve">contribution </w:t>
      </w:r>
      <w:r w:rsidRPr="00635E90">
        <w:rPr>
          <w:rFonts w:ascii="Times New Roman" w:hAnsi="Times New Roman" w:cs="Times New Roman"/>
          <w:sz w:val="24"/>
          <w:szCs w:val="24"/>
        </w:rPr>
        <w:t xml:space="preserve">within the workload allocation. However, if colleagues engaging in such activities receive additional salary payments, or a share of the income generated from the activity, then the additional </w:t>
      </w:r>
      <w:r w:rsidR="00FF5CFF">
        <w:rPr>
          <w:rFonts w:ascii="Times New Roman" w:hAnsi="Times New Roman" w:cs="Times New Roman"/>
          <w:sz w:val="24"/>
          <w:szCs w:val="24"/>
        </w:rPr>
        <w:t>salary/</w:t>
      </w:r>
      <w:r w:rsidRPr="00635E90">
        <w:rPr>
          <w:rFonts w:ascii="Times New Roman" w:hAnsi="Times New Roman" w:cs="Times New Roman"/>
          <w:sz w:val="24"/>
          <w:szCs w:val="24"/>
        </w:rPr>
        <w:t xml:space="preserve">income </w:t>
      </w:r>
      <w:r w:rsidR="007F6AF7">
        <w:rPr>
          <w:rFonts w:ascii="Times New Roman" w:hAnsi="Times New Roman" w:cs="Times New Roman"/>
          <w:sz w:val="24"/>
          <w:szCs w:val="24"/>
        </w:rPr>
        <w:t xml:space="preserve">should be regarded </w:t>
      </w:r>
      <w:r w:rsidRPr="00635E90">
        <w:rPr>
          <w:rFonts w:ascii="Times New Roman" w:hAnsi="Times New Roman" w:cs="Times New Roman"/>
          <w:sz w:val="24"/>
          <w:szCs w:val="24"/>
        </w:rPr>
        <w:t xml:space="preserve">as sufficient recognition of the contribution to the School, and the time spent on such activities </w:t>
      </w:r>
      <w:r w:rsidR="007F6AF7">
        <w:rPr>
          <w:rFonts w:ascii="Times New Roman" w:hAnsi="Times New Roman" w:cs="Times New Roman"/>
          <w:sz w:val="24"/>
          <w:szCs w:val="24"/>
        </w:rPr>
        <w:t xml:space="preserve">should not be included </w:t>
      </w:r>
      <w:r w:rsidRPr="00635E90">
        <w:rPr>
          <w:rFonts w:ascii="Times New Roman" w:hAnsi="Times New Roman" w:cs="Times New Roman"/>
          <w:sz w:val="24"/>
          <w:szCs w:val="24"/>
        </w:rPr>
        <w:t>within the workload allocation.</w:t>
      </w:r>
      <w:r w:rsidR="00A903E2">
        <w:rPr>
          <w:rFonts w:ascii="Times New Roman" w:hAnsi="Times New Roman" w:cs="Times New Roman"/>
          <w:sz w:val="24"/>
          <w:szCs w:val="24"/>
        </w:rPr>
        <w:t xml:space="preserve"> All consultancy activity should be conducted in accordance with the University’s consultancy policy.</w:t>
      </w:r>
      <w:r w:rsidR="001B7FF3">
        <w:rPr>
          <w:rFonts w:ascii="Times New Roman" w:hAnsi="Times New Roman" w:cs="Times New Roman"/>
          <w:sz w:val="24"/>
          <w:szCs w:val="24"/>
        </w:rPr>
        <w:t xml:space="preserve"> Further information is available at </w:t>
      </w:r>
      <w:hyperlink r:id="rId7" w:history="1">
        <w:r w:rsidR="001B7FF3" w:rsidRPr="00C1253B">
          <w:rPr>
            <w:rStyle w:val="Hyperlink"/>
            <w:rFonts w:ascii="Times New Roman" w:hAnsi="Times New Roman" w:cs="Times New Roman"/>
            <w:sz w:val="24"/>
            <w:szCs w:val="24"/>
          </w:rPr>
          <w:t>http://www.ed.ac.uk/schools-departments/edinburgh-research-innovation/consultancy/overview</w:t>
        </w:r>
      </w:hyperlink>
      <w:r w:rsidR="001B7FF3">
        <w:rPr>
          <w:rFonts w:ascii="Times New Roman" w:hAnsi="Times New Roman" w:cs="Times New Roman"/>
          <w:sz w:val="24"/>
          <w:szCs w:val="24"/>
        </w:rPr>
        <w:t xml:space="preserve">  </w:t>
      </w:r>
    </w:p>
    <w:p w:rsidR="00E4552D" w:rsidRPr="00635E90" w:rsidRDefault="00E4552D" w:rsidP="00635E90">
      <w:pPr>
        <w:tabs>
          <w:tab w:val="left" w:pos="851"/>
          <w:tab w:val="left" w:pos="6804"/>
        </w:tabs>
        <w:spacing w:after="0" w:line="240" w:lineRule="auto"/>
        <w:contextualSpacing/>
        <w:jc w:val="both"/>
        <w:rPr>
          <w:rFonts w:ascii="Times New Roman" w:hAnsi="Times New Roman" w:cs="Times New Roman"/>
          <w:sz w:val="24"/>
          <w:szCs w:val="24"/>
        </w:rPr>
      </w:pPr>
    </w:p>
    <w:p w:rsidR="0055097A" w:rsidRDefault="0055097A" w:rsidP="001C70FF">
      <w:pPr>
        <w:spacing w:after="0"/>
        <w:jc w:val="both"/>
        <w:rPr>
          <w:rFonts w:ascii="Times New Roman" w:hAnsi="Times New Roman" w:cs="Times New Roman"/>
          <w:b/>
          <w:sz w:val="24"/>
          <w:szCs w:val="24"/>
        </w:rPr>
      </w:pPr>
      <w:r w:rsidRPr="0055097A">
        <w:rPr>
          <w:rFonts w:ascii="Times New Roman" w:hAnsi="Times New Roman" w:cs="Times New Roman"/>
          <w:b/>
          <w:sz w:val="24"/>
          <w:szCs w:val="24"/>
        </w:rPr>
        <w:t>5. Teaching-related Responsibilities</w:t>
      </w:r>
    </w:p>
    <w:p w:rsidR="0055097A" w:rsidRPr="002A7C59" w:rsidRDefault="0055097A" w:rsidP="001C70FF">
      <w:pPr>
        <w:spacing w:after="0"/>
        <w:jc w:val="both"/>
        <w:rPr>
          <w:rFonts w:ascii="Times New Roman" w:hAnsi="Times New Roman" w:cs="Times New Roman"/>
          <w:b/>
          <w:sz w:val="12"/>
          <w:szCs w:val="12"/>
        </w:rPr>
      </w:pPr>
    </w:p>
    <w:p w:rsidR="0055097A" w:rsidRPr="002E2F82" w:rsidRDefault="000603C1" w:rsidP="001C70F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5.1 </w:t>
      </w:r>
      <w:r w:rsidR="002E2F82" w:rsidRPr="002E2F82">
        <w:rPr>
          <w:rFonts w:ascii="Times New Roman" w:hAnsi="Times New Roman" w:cs="Times New Roman"/>
          <w:b/>
          <w:i/>
          <w:sz w:val="24"/>
          <w:szCs w:val="24"/>
        </w:rPr>
        <w:t>Personal Tutors</w:t>
      </w:r>
    </w:p>
    <w:p w:rsidR="002E2F82" w:rsidRPr="002E2F82" w:rsidRDefault="00CC1E3E" w:rsidP="002E2F8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2E2F82">
        <w:rPr>
          <w:rFonts w:ascii="Times New Roman" w:hAnsi="Times New Roman" w:cs="Times New Roman"/>
          <w:sz w:val="24"/>
          <w:szCs w:val="24"/>
        </w:rPr>
        <w:t xml:space="preserve">time allocation </w:t>
      </w:r>
      <w:r w:rsidR="007F6AF7">
        <w:rPr>
          <w:rFonts w:ascii="Times New Roman" w:hAnsi="Times New Roman" w:cs="Times New Roman"/>
          <w:sz w:val="24"/>
          <w:szCs w:val="24"/>
        </w:rPr>
        <w:t xml:space="preserve">within the WAM </w:t>
      </w:r>
      <w:r w:rsidR="002E2F82">
        <w:rPr>
          <w:rFonts w:ascii="Times New Roman" w:hAnsi="Times New Roman" w:cs="Times New Roman"/>
          <w:sz w:val="24"/>
          <w:szCs w:val="24"/>
        </w:rPr>
        <w:t>for</w:t>
      </w:r>
      <w:r w:rsidR="002E2F82" w:rsidRPr="002E2F82">
        <w:rPr>
          <w:rFonts w:ascii="Times New Roman" w:hAnsi="Times New Roman" w:cs="Times New Roman"/>
          <w:sz w:val="24"/>
          <w:szCs w:val="24"/>
        </w:rPr>
        <w:t xml:space="preserve"> Personal Tutor duties should be 2 hours per tutee per year</w:t>
      </w:r>
      <w:r w:rsidR="002E2F82">
        <w:rPr>
          <w:rFonts w:ascii="Times New Roman" w:hAnsi="Times New Roman" w:cs="Times New Roman"/>
          <w:sz w:val="24"/>
          <w:szCs w:val="24"/>
        </w:rPr>
        <w:t xml:space="preserve">, and </w:t>
      </w:r>
      <w:r w:rsidR="002E2F82" w:rsidRPr="002E2F82">
        <w:rPr>
          <w:rFonts w:ascii="Times New Roman" w:hAnsi="Times New Roman" w:cs="Times New Roman"/>
          <w:sz w:val="24"/>
          <w:szCs w:val="24"/>
        </w:rPr>
        <w:t>210 hours per year</w:t>
      </w:r>
      <w:r w:rsidR="002E2F82">
        <w:rPr>
          <w:rFonts w:ascii="Times New Roman" w:hAnsi="Times New Roman" w:cs="Times New Roman"/>
          <w:sz w:val="24"/>
          <w:szCs w:val="24"/>
        </w:rPr>
        <w:t xml:space="preserve"> </w:t>
      </w:r>
      <w:r w:rsidR="007F6AF7">
        <w:rPr>
          <w:rFonts w:ascii="Times New Roman" w:hAnsi="Times New Roman" w:cs="Times New Roman"/>
          <w:sz w:val="24"/>
          <w:szCs w:val="24"/>
        </w:rPr>
        <w:t>should be allocated to the School’s</w:t>
      </w:r>
      <w:r w:rsidR="002E2F82" w:rsidRPr="002E2F82">
        <w:rPr>
          <w:rFonts w:ascii="Times New Roman" w:hAnsi="Times New Roman" w:cs="Times New Roman"/>
          <w:sz w:val="24"/>
          <w:szCs w:val="24"/>
        </w:rPr>
        <w:t xml:space="preserve"> Senior Personal</w:t>
      </w:r>
      <w:r w:rsidR="002E2F82">
        <w:rPr>
          <w:rFonts w:ascii="Times New Roman" w:hAnsi="Times New Roman" w:cs="Times New Roman"/>
          <w:sz w:val="24"/>
          <w:szCs w:val="24"/>
        </w:rPr>
        <w:t xml:space="preserve"> Tutor. </w:t>
      </w:r>
      <w:r w:rsidR="002E2F82" w:rsidRPr="002E2F82">
        <w:rPr>
          <w:rFonts w:ascii="Times New Roman" w:hAnsi="Times New Roman" w:cs="Times New Roman"/>
          <w:sz w:val="24"/>
          <w:szCs w:val="24"/>
        </w:rPr>
        <w:t xml:space="preserve">If a Senior Personal Tutor </w:t>
      </w:r>
      <w:r w:rsidR="007F6AF7">
        <w:rPr>
          <w:rFonts w:ascii="Times New Roman" w:hAnsi="Times New Roman" w:cs="Times New Roman"/>
          <w:sz w:val="24"/>
          <w:szCs w:val="24"/>
        </w:rPr>
        <w:t>i</w:t>
      </w:r>
      <w:r w:rsidR="002E2F82" w:rsidRPr="002E2F82">
        <w:rPr>
          <w:rFonts w:ascii="Times New Roman" w:hAnsi="Times New Roman" w:cs="Times New Roman"/>
          <w:sz w:val="24"/>
          <w:szCs w:val="24"/>
        </w:rPr>
        <w:t xml:space="preserve">s also a Personal Tutor, they </w:t>
      </w:r>
      <w:r w:rsidR="007F6AF7">
        <w:rPr>
          <w:rFonts w:ascii="Times New Roman" w:hAnsi="Times New Roman" w:cs="Times New Roman"/>
          <w:sz w:val="24"/>
          <w:szCs w:val="24"/>
        </w:rPr>
        <w:t>sh</w:t>
      </w:r>
      <w:r w:rsidR="002E2F82" w:rsidRPr="002E2F82">
        <w:rPr>
          <w:rFonts w:ascii="Times New Roman" w:hAnsi="Times New Roman" w:cs="Times New Roman"/>
          <w:sz w:val="24"/>
          <w:szCs w:val="24"/>
        </w:rPr>
        <w:t>ould be allocated 2 hours per tutee per year in addition to the Senior Personal Tutor allowance of 210 hours per year.</w:t>
      </w:r>
      <w:r w:rsidR="002E2F82">
        <w:rPr>
          <w:rFonts w:ascii="Times New Roman" w:hAnsi="Times New Roman" w:cs="Times New Roman"/>
          <w:sz w:val="24"/>
          <w:szCs w:val="24"/>
        </w:rPr>
        <w:t xml:space="preserve"> All of this time allocation </w:t>
      </w:r>
      <w:r w:rsidR="007F6AF7">
        <w:rPr>
          <w:rFonts w:ascii="Times New Roman" w:hAnsi="Times New Roman" w:cs="Times New Roman"/>
          <w:sz w:val="24"/>
          <w:szCs w:val="24"/>
        </w:rPr>
        <w:t>sh</w:t>
      </w:r>
      <w:r w:rsidR="002E2F82">
        <w:rPr>
          <w:rFonts w:ascii="Times New Roman" w:hAnsi="Times New Roman" w:cs="Times New Roman"/>
          <w:sz w:val="24"/>
          <w:szCs w:val="24"/>
        </w:rPr>
        <w:t xml:space="preserve">ould be regarded as </w:t>
      </w:r>
      <w:r w:rsidR="00321BED">
        <w:rPr>
          <w:rFonts w:ascii="Times New Roman" w:hAnsi="Times New Roman" w:cs="Times New Roman"/>
          <w:sz w:val="24"/>
          <w:szCs w:val="24"/>
        </w:rPr>
        <w:t>teaching</w:t>
      </w:r>
      <w:r w:rsidR="00FF5CFF">
        <w:rPr>
          <w:rFonts w:ascii="Times New Roman" w:hAnsi="Times New Roman" w:cs="Times New Roman"/>
          <w:sz w:val="24"/>
          <w:szCs w:val="24"/>
        </w:rPr>
        <w:t>/student support</w:t>
      </w:r>
      <w:r w:rsidR="002E2F82">
        <w:rPr>
          <w:rFonts w:ascii="Times New Roman" w:hAnsi="Times New Roman" w:cs="Times New Roman"/>
          <w:sz w:val="24"/>
          <w:szCs w:val="24"/>
        </w:rPr>
        <w:t xml:space="preserve"> time.</w:t>
      </w:r>
    </w:p>
    <w:p w:rsidR="00EE35D1" w:rsidRPr="00CC1E3E" w:rsidRDefault="00EE35D1" w:rsidP="001C70FF">
      <w:pPr>
        <w:spacing w:after="0"/>
        <w:jc w:val="both"/>
        <w:rPr>
          <w:rFonts w:ascii="Times New Roman" w:hAnsi="Times New Roman" w:cs="Times New Roman"/>
          <w:sz w:val="20"/>
          <w:szCs w:val="20"/>
        </w:rPr>
      </w:pPr>
    </w:p>
    <w:p w:rsidR="00CC1E3E" w:rsidRDefault="000603C1" w:rsidP="001C70F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5.2 </w:t>
      </w:r>
      <w:r w:rsidR="002E2F82" w:rsidRPr="002E2F82">
        <w:rPr>
          <w:rFonts w:ascii="Times New Roman" w:hAnsi="Times New Roman" w:cs="Times New Roman"/>
          <w:b/>
          <w:i/>
          <w:sz w:val="24"/>
          <w:szCs w:val="24"/>
        </w:rPr>
        <w:t>Multipliers/Weightings for Teaching</w:t>
      </w:r>
    </w:p>
    <w:p w:rsidR="002E2F82" w:rsidRDefault="00CC1E3E" w:rsidP="001C70FF">
      <w:pPr>
        <w:spacing w:after="0"/>
        <w:jc w:val="both"/>
        <w:rPr>
          <w:rFonts w:ascii="Times New Roman" w:hAnsi="Times New Roman" w:cs="Times New Roman"/>
        </w:rPr>
      </w:pPr>
      <w:r>
        <w:rPr>
          <w:rFonts w:ascii="Times New Roman" w:hAnsi="Times New Roman" w:cs="Times New Roman"/>
          <w:sz w:val="24"/>
          <w:szCs w:val="24"/>
        </w:rPr>
        <w:t>W</w:t>
      </w:r>
      <w:r w:rsidR="00EF7EAE" w:rsidRPr="00A903E2">
        <w:rPr>
          <w:rFonts w:ascii="Times New Roman" w:hAnsi="Times New Roman" w:cs="Times New Roman"/>
          <w:sz w:val="24"/>
          <w:szCs w:val="24"/>
        </w:rPr>
        <w:t xml:space="preserve">e agreed that the most practical means of determining overall teaching-related workloads was to use contact time as a basis of multiplication, and to apply consistent multipliers (or weightings) for a range of activities and circumstances. The following set of multipliers/weightings was accepted as reasonable, </w:t>
      </w:r>
      <w:r w:rsidR="00F44CD2">
        <w:rPr>
          <w:rFonts w:ascii="Times New Roman" w:hAnsi="Times New Roman" w:cs="Times New Roman"/>
          <w:sz w:val="24"/>
          <w:szCs w:val="24"/>
        </w:rPr>
        <w:t xml:space="preserve">subject to local adjustments (with justifications noted for the amendments), </w:t>
      </w:r>
      <w:r w:rsidR="00EF7EAE" w:rsidRPr="00A903E2">
        <w:rPr>
          <w:rFonts w:ascii="Times New Roman" w:hAnsi="Times New Roman" w:cs="Times New Roman"/>
          <w:sz w:val="24"/>
          <w:szCs w:val="24"/>
        </w:rPr>
        <w:t>to be applied to actual class contact time to arrive at a notional number of hours of teaching-related work</w:t>
      </w:r>
      <w:r w:rsidR="00EF7EAE">
        <w:rPr>
          <w:rFonts w:ascii="Times New Roman" w:hAnsi="Times New Roman" w:cs="Times New Roman"/>
        </w:rPr>
        <w:t>:</w:t>
      </w:r>
    </w:p>
    <w:p w:rsidR="00EF7EAE" w:rsidRPr="00EF7EAE" w:rsidRDefault="00EF7EAE" w:rsidP="001C70FF">
      <w:pPr>
        <w:spacing w:after="0"/>
        <w:jc w:val="both"/>
        <w:rPr>
          <w:rFonts w:ascii="Times New Roman" w:hAnsi="Times New Roman" w:cs="Times New Roman"/>
          <w:sz w:val="12"/>
          <w:szCs w:val="12"/>
        </w:rPr>
      </w:pPr>
    </w:p>
    <w:p w:rsidR="00EF7EAE" w:rsidRPr="00EF7EAE" w:rsidRDefault="00EF7EAE" w:rsidP="00EF7EAE">
      <w:pPr>
        <w:tabs>
          <w:tab w:val="left" w:pos="6804"/>
        </w:tabs>
        <w:spacing w:after="0" w:line="240" w:lineRule="auto"/>
        <w:ind w:left="2160" w:hanging="1440"/>
        <w:contextualSpacing/>
        <w:jc w:val="both"/>
        <w:rPr>
          <w:rFonts w:ascii="Times New Roman" w:hAnsi="Times New Roman" w:cs="Times New Roman"/>
          <w:sz w:val="24"/>
          <w:szCs w:val="24"/>
        </w:rPr>
      </w:pPr>
      <w:r w:rsidRPr="00EF7EAE">
        <w:rPr>
          <w:rFonts w:ascii="Times New Roman" w:hAnsi="Times New Roman" w:cs="Times New Roman"/>
          <w:sz w:val="24"/>
          <w:szCs w:val="24"/>
        </w:rPr>
        <w:t>Delivery of routine lecture/seminar</w:t>
      </w:r>
      <w:r w:rsidRPr="00EF7EAE">
        <w:rPr>
          <w:rFonts w:ascii="Times New Roman" w:hAnsi="Times New Roman" w:cs="Times New Roman"/>
          <w:sz w:val="24"/>
          <w:szCs w:val="24"/>
        </w:rPr>
        <w:tab/>
        <w:t>x 2</w:t>
      </w:r>
    </w:p>
    <w:p w:rsidR="00EF7EAE" w:rsidRPr="00EF7EAE" w:rsidRDefault="00EF7EAE" w:rsidP="00EF7EAE">
      <w:pPr>
        <w:tabs>
          <w:tab w:val="left" w:pos="6804"/>
        </w:tabs>
        <w:spacing w:after="0" w:line="240" w:lineRule="auto"/>
        <w:ind w:left="2160" w:hanging="1440"/>
        <w:contextualSpacing/>
        <w:jc w:val="both"/>
        <w:rPr>
          <w:rFonts w:ascii="Times New Roman" w:hAnsi="Times New Roman" w:cs="Times New Roman"/>
          <w:sz w:val="24"/>
          <w:szCs w:val="24"/>
        </w:rPr>
      </w:pPr>
      <w:r w:rsidRPr="00EF7EAE">
        <w:rPr>
          <w:rFonts w:ascii="Times New Roman" w:hAnsi="Times New Roman" w:cs="Times New Roman"/>
          <w:sz w:val="24"/>
          <w:szCs w:val="24"/>
        </w:rPr>
        <w:t>First time creation of new content</w:t>
      </w:r>
      <w:r w:rsidRPr="00EF7EAE">
        <w:rPr>
          <w:rFonts w:ascii="Times New Roman" w:hAnsi="Times New Roman" w:cs="Times New Roman"/>
          <w:sz w:val="24"/>
          <w:szCs w:val="24"/>
        </w:rPr>
        <w:tab/>
        <w:t>x 6</w:t>
      </w:r>
    </w:p>
    <w:p w:rsidR="00EF7EAE" w:rsidRPr="00EF7EAE" w:rsidRDefault="00EF7EAE" w:rsidP="00EF7EAE">
      <w:pPr>
        <w:tabs>
          <w:tab w:val="left" w:pos="6804"/>
        </w:tabs>
        <w:spacing w:after="0" w:line="240" w:lineRule="auto"/>
        <w:ind w:left="2160" w:hanging="1440"/>
        <w:contextualSpacing/>
        <w:jc w:val="both"/>
        <w:rPr>
          <w:rFonts w:ascii="Times New Roman" w:hAnsi="Times New Roman" w:cs="Times New Roman"/>
          <w:sz w:val="24"/>
          <w:szCs w:val="24"/>
        </w:rPr>
      </w:pPr>
      <w:r w:rsidRPr="00EF7EAE">
        <w:rPr>
          <w:rFonts w:ascii="Times New Roman" w:hAnsi="Times New Roman" w:cs="Times New Roman"/>
          <w:sz w:val="24"/>
          <w:szCs w:val="24"/>
        </w:rPr>
        <w:t>Tutorials</w:t>
      </w:r>
      <w:r w:rsidRPr="00EF7EAE">
        <w:rPr>
          <w:rFonts w:ascii="Times New Roman" w:hAnsi="Times New Roman" w:cs="Times New Roman"/>
          <w:sz w:val="24"/>
          <w:szCs w:val="24"/>
        </w:rPr>
        <w:tab/>
      </w:r>
      <w:r w:rsidRPr="00EF7EAE">
        <w:rPr>
          <w:rFonts w:ascii="Times New Roman" w:hAnsi="Times New Roman" w:cs="Times New Roman"/>
          <w:sz w:val="24"/>
          <w:szCs w:val="24"/>
        </w:rPr>
        <w:tab/>
        <w:t>x 1.5</w:t>
      </w:r>
    </w:p>
    <w:p w:rsidR="00EF7EAE" w:rsidRPr="00EF7EAE" w:rsidRDefault="00EF7EAE" w:rsidP="00EF7EAE">
      <w:pPr>
        <w:tabs>
          <w:tab w:val="left" w:pos="6804"/>
        </w:tabs>
        <w:spacing w:after="0" w:line="240" w:lineRule="auto"/>
        <w:ind w:left="2160" w:hanging="1440"/>
        <w:contextualSpacing/>
        <w:jc w:val="both"/>
        <w:rPr>
          <w:rFonts w:ascii="Times New Roman" w:hAnsi="Times New Roman" w:cs="Times New Roman"/>
          <w:sz w:val="24"/>
          <w:szCs w:val="24"/>
        </w:rPr>
      </w:pPr>
      <w:r w:rsidRPr="00EF7EAE">
        <w:rPr>
          <w:rFonts w:ascii="Times New Roman" w:hAnsi="Times New Roman" w:cs="Times New Roman"/>
          <w:sz w:val="24"/>
          <w:szCs w:val="24"/>
        </w:rPr>
        <w:t>Studio teaching/lab demonstration/supervision</w:t>
      </w:r>
      <w:r w:rsidRPr="00EF7EAE">
        <w:rPr>
          <w:rFonts w:ascii="Times New Roman" w:hAnsi="Times New Roman" w:cs="Times New Roman"/>
          <w:sz w:val="24"/>
          <w:szCs w:val="24"/>
        </w:rPr>
        <w:tab/>
        <w:t>x 1</w:t>
      </w:r>
    </w:p>
    <w:p w:rsidR="004C35CD" w:rsidRDefault="004C35CD" w:rsidP="001C70FF">
      <w:pPr>
        <w:spacing w:after="0"/>
        <w:jc w:val="both"/>
        <w:rPr>
          <w:rFonts w:ascii="Times New Roman" w:hAnsi="Times New Roman" w:cs="Times New Roman"/>
          <w:sz w:val="24"/>
          <w:szCs w:val="24"/>
        </w:rPr>
      </w:pPr>
    </w:p>
    <w:p w:rsidR="002E2F82" w:rsidRDefault="00EF7EAE" w:rsidP="001C70FF">
      <w:pPr>
        <w:spacing w:after="0"/>
        <w:jc w:val="both"/>
        <w:rPr>
          <w:rFonts w:ascii="Times New Roman" w:hAnsi="Times New Roman" w:cs="Times New Roman"/>
          <w:sz w:val="24"/>
          <w:szCs w:val="24"/>
        </w:rPr>
      </w:pPr>
      <w:r>
        <w:rPr>
          <w:rFonts w:ascii="Times New Roman" w:hAnsi="Times New Roman" w:cs="Times New Roman"/>
          <w:sz w:val="24"/>
          <w:szCs w:val="24"/>
        </w:rPr>
        <w:t>In addition to these weightings</w:t>
      </w:r>
      <w:r w:rsidR="00CC1E3E">
        <w:rPr>
          <w:rFonts w:ascii="Times New Roman" w:hAnsi="Times New Roman" w:cs="Times New Roman"/>
          <w:sz w:val="24"/>
          <w:szCs w:val="24"/>
        </w:rPr>
        <w:t>, School manager</w:t>
      </w:r>
      <w:r w:rsidR="00494CC3">
        <w:rPr>
          <w:rFonts w:ascii="Times New Roman" w:hAnsi="Times New Roman" w:cs="Times New Roman"/>
          <w:sz w:val="24"/>
          <w:szCs w:val="24"/>
        </w:rPr>
        <w:t>s</w:t>
      </w:r>
      <w:r w:rsidR="00CC1E3E">
        <w:rPr>
          <w:rFonts w:ascii="Times New Roman" w:hAnsi="Times New Roman" w:cs="Times New Roman"/>
          <w:sz w:val="24"/>
          <w:szCs w:val="24"/>
        </w:rPr>
        <w:t xml:space="preserve"> need to factor into their workload allocations time devoted to assessment. The following multipliers were agreed for assessment and supervision of students</w:t>
      </w:r>
      <w:r w:rsidR="00E93FF8">
        <w:rPr>
          <w:rFonts w:ascii="Times New Roman" w:hAnsi="Times New Roman" w:cs="Times New Roman"/>
          <w:sz w:val="24"/>
          <w:szCs w:val="24"/>
        </w:rPr>
        <w:t>:</w:t>
      </w:r>
    </w:p>
    <w:p w:rsidR="00E93FF8" w:rsidRPr="006970D2" w:rsidRDefault="00E93FF8" w:rsidP="001C70FF">
      <w:pPr>
        <w:spacing w:after="0"/>
        <w:jc w:val="both"/>
        <w:rPr>
          <w:rFonts w:ascii="Times New Roman" w:hAnsi="Times New Roman" w:cs="Times New Roman"/>
          <w:sz w:val="16"/>
          <w:szCs w:val="16"/>
        </w:rPr>
      </w:pPr>
    </w:p>
    <w:tbl>
      <w:tblPr>
        <w:tblW w:w="7852" w:type="dxa"/>
        <w:tblInd w:w="108" w:type="dxa"/>
        <w:tblLook w:val="04A0" w:firstRow="1" w:lastRow="0" w:firstColumn="1" w:lastColumn="0" w:noHBand="0" w:noVBand="1"/>
      </w:tblPr>
      <w:tblGrid>
        <w:gridCol w:w="3969"/>
        <w:gridCol w:w="1518"/>
        <w:gridCol w:w="1260"/>
        <w:gridCol w:w="1105"/>
      </w:tblGrid>
      <w:tr w:rsidR="00E93FF8" w:rsidRPr="001E672F" w:rsidTr="00A45627">
        <w:trPr>
          <w:trHeight w:val="91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FF8" w:rsidRPr="001E672F" w:rsidRDefault="00E93FF8" w:rsidP="00A45627">
            <w:pPr>
              <w:spacing w:after="0" w:line="240" w:lineRule="auto"/>
              <w:rPr>
                <w:rFonts w:ascii="Arial" w:eastAsia="Times New Roman" w:hAnsi="Arial" w:cs="Arial"/>
                <w:b/>
                <w:bCs/>
                <w:sz w:val="20"/>
                <w:szCs w:val="20"/>
                <w:lang w:eastAsia="en-GB"/>
              </w:rPr>
            </w:pPr>
            <w:r w:rsidRPr="001E672F">
              <w:rPr>
                <w:rFonts w:ascii="Arial" w:eastAsia="Times New Roman" w:hAnsi="Arial" w:cs="Arial"/>
                <w:b/>
                <w:bCs/>
                <w:sz w:val="20"/>
                <w:szCs w:val="20"/>
                <w:lang w:eastAsia="en-GB"/>
              </w:rPr>
              <w:t>1.2 Assessment and Supervision</w:t>
            </w:r>
          </w:p>
        </w:tc>
        <w:tc>
          <w:tcPr>
            <w:tcW w:w="1518" w:type="dxa"/>
            <w:tcBorders>
              <w:top w:val="single" w:sz="4" w:space="0" w:color="auto"/>
              <w:left w:val="nil"/>
              <w:bottom w:val="single" w:sz="4" w:space="0" w:color="auto"/>
              <w:right w:val="nil"/>
            </w:tcBorders>
            <w:shd w:val="clear" w:color="auto" w:fill="auto"/>
            <w:noWrap/>
            <w:vAlign w:val="bottom"/>
            <w:hideMark/>
          </w:tcPr>
          <w:p w:rsidR="00E93FF8" w:rsidRPr="001E672F" w:rsidRDefault="00E93FF8" w:rsidP="00A45627">
            <w:pPr>
              <w:spacing w:after="0" w:line="240" w:lineRule="auto"/>
              <w:jc w:val="center"/>
              <w:rPr>
                <w:rFonts w:ascii="Arial" w:eastAsia="Times New Roman" w:hAnsi="Arial" w:cs="Arial"/>
                <w:b/>
                <w:bCs/>
                <w:sz w:val="20"/>
                <w:szCs w:val="20"/>
                <w:lang w:eastAsia="en-GB"/>
              </w:rPr>
            </w:pPr>
            <w:r w:rsidRPr="001E672F">
              <w:rPr>
                <w:rFonts w:ascii="Arial" w:eastAsia="Times New Roman" w:hAnsi="Arial" w:cs="Arial"/>
                <w:b/>
                <w:bCs/>
                <w:sz w:val="20"/>
                <w:szCs w:val="20"/>
                <w:lang w:eastAsia="en-GB"/>
              </w:rPr>
              <w:t xml:space="preserve">Number </w:t>
            </w:r>
          </w:p>
        </w:tc>
        <w:tc>
          <w:tcPr>
            <w:tcW w:w="1260" w:type="dxa"/>
            <w:tcBorders>
              <w:top w:val="single" w:sz="4" w:space="0" w:color="auto"/>
              <w:left w:val="nil"/>
              <w:bottom w:val="single" w:sz="4" w:space="0" w:color="auto"/>
              <w:right w:val="nil"/>
            </w:tcBorders>
            <w:shd w:val="clear" w:color="auto" w:fill="auto"/>
            <w:vAlign w:val="bottom"/>
            <w:hideMark/>
          </w:tcPr>
          <w:p w:rsidR="00E93FF8" w:rsidRPr="001E672F" w:rsidRDefault="00E93FF8" w:rsidP="00A45627">
            <w:pPr>
              <w:spacing w:after="0" w:line="240" w:lineRule="auto"/>
              <w:jc w:val="center"/>
              <w:rPr>
                <w:rFonts w:ascii="Arial" w:eastAsia="Times New Roman" w:hAnsi="Arial" w:cs="Arial"/>
                <w:b/>
                <w:bCs/>
                <w:sz w:val="20"/>
                <w:szCs w:val="20"/>
                <w:lang w:eastAsia="en-GB"/>
              </w:rPr>
            </w:pPr>
            <w:r w:rsidRPr="001E672F">
              <w:rPr>
                <w:rFonts w:ascii="Arial" w:eastAsia="Times New Roman" w:hAnsi="Arial" w:cs="Arial"/>
                <w:b/>
                <w:bCs/>
                <w:sz w:val="20"/>
                <w:szCs w:val="20"/>
                <w:lang w:eastAsia="en-GB"/>
              </w:rPr>
              <w:t>Proportion marked</w:t>
            </w:r>
          </w:p>
        </w:tc>
        <w:tc>
          <w:tcPr>
            <w:tcW w:w="1105" w:type="dxa"/>
            <w:tcBorders>
              <w:top w:val="single" w:sz="4" w:space="0" w:color="auto"/>
              <w:left w:val="nil"/>
              <w:bottom w:val="single" w:sz="4" w:space="0" w:color="auto"/>
              <w:right w:val="nil"/>
            </w:tcBorders>
            <w:shd w:val="clear" w:color="000000" w:fill="D9D9D9"/>
            <w:noWrap/>
            <w:vAlign w:val="bottom"/>
            <w:hideMark/>
          </w:tcPr>
          <w:p w:rsidR="00E93FF8" w:rsidRPr="00B36A1C" w:rsidRDefault="00E93FF8" w:rsidP="00A45627">
            <w:pPr>
              <w:spacing w:after="0" w:line="240" w:lineRule="auto"/>
              <w:jc w:val="center"/>
              <w:rPr>
                <w:rFonts w:ascii="Arial" w:eastAsia="Times New Roman" w:hAnsi="Arial" w:cs="Arial"/>
                <w:b/>
                <w:bCs/>
                <w:sz w:val="20"/>
                <w:szCs w:val="20"/>
                <w:lang w:eastAsia="en-GB"/>
              </w:rPr>
            </w:pPr>
            <w:r w:rsidRPr="00B36A1C">
              <w:rPr>
                <w:rFonts w:ascii="Arial" w:eastAsia="Times New Roman" w:hAnsi="Arial" w:cs="Arial"/>
                <w:b/>
                <w:bCs/>
                <w:sz w:val="20"/>
                <w:szCs w:val="20"/>
                <w:lang w:eastAsia="en-GB"/>
              </w:rPr>
              <w:t>Multiplier</w:t>
            </w:r>
          </w:p>
        </w:tc>
      </w:tr>
      <w:tr w:rsidR="00E93FF8" w:rsidRPr="001E672F" w:rsidTr="00A45627">
        <w:trPr>
          <w:trHeight w:val="525"/>
        </w:trPr>
        <w:tc>
          <w:tcPr>
            <w:tcW w:w="3969" w:type="dxa"/>
            <w:tcBorders>
              <w:top w:val="nil"/>
              <w:left w:val="single" w:sz="4" w:space="0" w:color="auto"/>
              <w:bottom w:val="nil"/>
              <w:right w:val="single" w:sz="4" w:space="0" w:color="auto"/>
            </w:tcBorders>
            <w:shd w:val="clear" w:color="auto" w:fill="auto"/>
            <w:vAlign w:val="bottom"/>
            <w:hideMark/>
          </w:tcPr>
          <w:p w:rsidR="00E93FF8" w:rsidRPr="001E672F" w:rsidRDefault="00E93FF8" w:rsidP="00A45627">
            <w:pPr>
              <w:spacing w:after="0" w:line="240" w:lineRule="auto"/>
              <w:rPr>
                <w:rFonts w:ascii="Arial" w:eastAsia="Times New Roman" w:hAnsi="Arial" w:cs="Arial"/>
                <w:sz w:val="20"/>
                <w:szCs w:val="20"/>
                <w:lang w:eastAsia="en-GB"/>
              </w:rPr>
            </w:pPr>
            <w:r w:rsidRPr="001E672F">
              <w:rPr>
                <w:rFonts w:ascii="Arial" w:eastAsia="Times New Roman" w:hAnsi="Arial" w:cs="Arial"/>
                <w:sz w:val="20"/>
                <w:szCs w:val="20"/>
                <w:lang w:eastAsia="en-GB"/>
              </w:rPr>
              <w:t>1.5 hour exam script</w:t>
            </w:r>
          </w:p>
        </w:tc>
        <w:tc>
          <w:tcPr>
            <w:tcW w:w="1518" w:type="dxa"/>
            <w:tcBorders>
              <w:top w:val="nil"/>
              <w:left w:val="nil"/>
              <w:bottom w:val="nil"/>
              <w:right w:val="nil"/>
            </w:tcBorders>
            <w:shd w:val="clear" w:color="auto" w:fill="auto"/>
            <w:noWrap/>
            <w:vAlign w:val="bottom"/>
            <w:hideMark/>
          </w:tcPr>
          <w:p w:rsidR="00E93FF8" w:rsidRPr="001E672F" w:rsidRDefault="00E93FF8" w:rsidP="00A45627">
            <w:pPr>
              <w:spacing w:after="0" w:line="240" w:lineRule="auto"/>
              <w:jc w:val="center"/>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vAlign w:val="bottom"/>
            <w:hideMark/>
          </w:tcPr>
          <w:p w:rsidR="00E93FF8" w:rsidRPr="001E672F" w:rsidRDefault="00E93FF8" w:rsidP="00A45627">
            <w:pPr>
              <w:spacing w:after="0" w:line="240" w:lineRule="auto"/>
              <w:jc w:val="center"/>
              <w:rPr>
                <w:rFonts w:ascii="Arial" w:eastAsia="Times New Roman" w:hAnsi="Arial" w:cs="Arial"/>
                <w:sz w:val="20"/>
                <w:szCs w:val="20"/>
                <w:lang w:eastAsia="en-GB"/>
              </w:rPr>
            </w:pPr>
          </w:p>
        </w:tc>
        <w:tc>
          <w:tcPr>
            <w:tcW w:w="1105" w:type="dxa"/>
            <w:tcBorders>
              <w:top w:val="nil"/>
              <w:left w:val="nil"/>
              <w:bottom w:val="nil"/>
              <w:right w:val="nil"/>
            </w:tcBorders>
            <w:shd w:val="clear" w:color="000000" w:fill="D9D9D9"/>
            <w:noWrap/>
            <w:vAlign w:val="bottom"/>
            <w:hideMark/>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0.5</w:t>
            </w:r>
          </w:p>
        </w:tc>
      </w:tr>
      <w:tr w:rsidR="00E93FF8" w:rsidRPr="001E672F" w:rsidTr="00A45627">
        <w:trPr>
          <w:trHeight w:val="300"/>
        </w:trPr>
        <w:tc>
          <w:tcPr>
            <w:tcW w:w="3969" w:type="dxa"/>
            <w:tcBorders>
              <w:top w:val="nil"/>
              <w:left w:val="single" w:sz="4" w:space="0" w:color="auto"/>
              <w:bottom w:val="nil"/>
              <w:right w:val="single" w:sz="4" w:space="0" w:color="auto"/>
            </w:tcBorders>
            <w:shd w:val="clear" w:color="auto" w:fill="auto"/>
            <w:vAlign w:val="bottom"/>
            <w:hideMark/>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Two hour exam script</w:t>
            </w:r>
          </w:p>
        </w:tc>
        <w:tc>
          <w:tcPr>
            <w:tcW w:w="1518" w:type="dxa"/>
            <w:tcBorders>
              <w:top w:val="nil"/>
              <w:left w:val="nil"/>
              <w:bottom w:val="nil"/>
              <w:right w:val="nil"/>
            </w:tcBorders>
            <w:shd w:val="clear" w:color="auto" w:fill="auto"/>
            <w:noWrap/>
            <w:vAlign w:val="bottom"/>
            <w:hideMark/>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auto" w:fill="auto"/>
            <w:noWrap/>
            <w:vAlign w:val="bottom"/>
            <w:hideMark/>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105" w:type="dxa"/>
            <w:tcBorders>
              <w:top w:val="nil"/>
              <w:left w:val="nil"/>
              <w:bottom w:val="nil"/>
              <w:right w:val="nil"/>
            </w:tcBorders>
            <w:shd w:val="clear" w:color="000000" w:fill="D9D9D9"/>
            <w:noWrap/>
            <w:vAlign w:val="bottom"/>
            <w:hideMark/>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0.75</w:t>
            </w:r>
          </w:p>
        </w:tc>
      </w:tr>
      <w:tr w:rsidR="00E93FF8" w:rsidRPr="001E672F" w:rsidTr="00A45627">
        <w:trPr>
          <w:trHeight w:val="300"/>
        </w:trPr>
        <w:tc>
          <w:tcPr>
            <w:tcW w:w="3969" w:type="dxa"/>
            <w:tcBorders>
              <w:top w:val="nil"/>
              <w:left w:val="single" w:sz="4" w:space="0" w:color="auto"/>
              <w:bottom w:val="nil"/>
              <w:right w:val="single" w:sz="4" w:space="0" w:color="auto"/>
            </w:tcBorders>
            <w:shd w:val="clear" w:color="auto" w:fill="auto"/>
            <w:vAlign w:val="bottom"/>
            <w:hideMark/>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Three hour exam script</w:t>
            </w:r>
          </w:p>
        </w:tc>
        <w:tc>
          <w:tcPr>
            <w:tcW w:w="1518" w:type="dxa"/>
            <w:tcBorders>
              <w:top w:val="nil"/>
              <w:left w:val="nil"/>
              <w:bottom w:val="nil"/>
              <w:right w:val="nil"/>
            </w:tcBorders>
            <w:shd w:val="clear" w:color="auto" w:fill="auto"/>
            <w:noWrap/>
            <w:vAlign w:val="bottom"/>
            <w:hideMark/>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auto" w:fill="auto"/>
            <w:noWrap/>
            <w:vAlign w:val="bottom"/>
            <w:hideMark/>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105" w:type="dxa"/>
            <w:tcBorders>
              <w:top w:val="nil"/>
              <w:left w:val="nil"/>
              <w:bottom w:val="nil"/>
              <w:right w:val="nil"/>
            </w:tcBorders>
            <w:shd w:val="clear" w:color="000000" w:fill="D9D9D9"/>
            <w:noWrap/>
            <w:vAlign w:val="bottom"/>
            <w:hideMark/>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1</w:t>
            </w:r>
          </w:p>
        </w:tc>
      </w:tr>
      <w:tr w:rsidR="00E93FF8" w:rsidRPr="001E672F" w:rsidTr="00A45627">
        <w:trPr>
          <w:trHeight w:val="480"/>
        </w:trPr>
        <w:tc>
          <w:tcPr>
            <w:tcW w:w="3969" w:type="dxa"/>
            <w:tcBorders>
              <w:top w:val="nil"/>
              <w:left w:val="single" w:sz="4" w:space="0" w:color="auto"/>
              <w:bottom w:val="nil"/>
              <w:right w:val="single" w:sz="4" w:space="0" w:color="auto"/>
            </w:tcBorders>
            <w:shd w:val="clear" w:color="auto" w:fill="auto"/>
            <w:vAlign w:val="bottom"/>
            <w:hideMark/>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Summative Essay (</w:t>
            </w:r>
            <w:r>
              <w:rPr>
                <w:rFonts w:ascii="Calibri" w:eastAsia="Times New Roman" w:hAnsi="Calibri" w:cs="Times New Roman"/>
                <w:color w:val="000000"/>
                <w:lang w:eastAsia="en-GB"/>
              </w:rPr>
              <w:t>up to 3000 words</w:t>
            </w:r>
            <w:r w:rsidRPr="001E672F">
              <w:rPr>
                <w:rFonts w:ascii="Calibri" w:eastAsia="Times New Roman" w:hAnsi="Calibri" w:cs="Times New Roman"/>
                <w:color w:val="000000"/>
                <w:lang w:eastAsia="en-GB"/>
              </w:rPr>
              <w:t>)</w:t>
            </w:r>
          </w:p>
        </w:tc>
        <w:tc>
          <w:tcPr>
            <w:tcW w:w="1518" w:type="dxa"/>
            <w:tcBorders>
              <w:top w:val="nil"/>
              <w:left w:val="nil"/>
              <w:bottom w:val="nil"/>
              <w:right w:val="nil"/>
            </w:tcBorders>
            <w:shd w:val="clear" w:color="auto" w:fill="auto"/>
            <w:noWrap/>
            <w:vAlign w:val="bottom"/>
            <w:hideMark/>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000000" w:fill="808080"/>
            <w:noWrap/>
            <w:vAlign w:val="bottom"/>
            <w:hideMark/>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 </w:t>
            </w:r>
          </w:p>
        </w:tc>
        <w:tc>
          <w:tcPr>
            <w:tcW w:w="1105" w:type="dxa"/>
            <w:tcBorders>
              <w:top w:val="nil"/>
              <w:left w:val="nil"/>
              <w:bottom w:val="nil"/>
              <w:right w:val="nil"/>
            </w:tcBorders>
            <w:shd w:val="clear" w:color="000000" w:fill="D9D9D9"/>
            <w:noWrap/>
            <w:vAlign w:val="bottom"/>
            <w:hideMark/>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0.5</w:t>
            </w:r>
          </w:p>
        </w:tc>
      </w:tr>
      <w:tr w:rsidR="00E93FF8" w:rsidRPr="001E672F" w:rsidTr="00A45627">
        <w:trPr>
          <w:trHeight w:val="480"/>
        </w:trPr>
        <w:tc>
          <w:tcPr>
            <w:tcW w:w="3969" w:type="dxa"/>
            <w:tcBorders>
              <w:top w:val="nil"/>
              <w:left w:val="single" w:sz="4" w:space="0" w:color="auto"/>
              <w:bottom w:val="nil"/>
              <w:right w:val="single" w:sz="4" w:space="0" w:color="auto"/>
            </w:tcBorders>
            <w:shd w:val="clear" w:color="auto" w:fill="auto"/>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Summative Essay (3001-45</w:t>
            </w:r>
            <w:r w:rsidRPr="001E672F">
              <w:rPr>
                <w:rFonts w:ascii="Calibri" w:eastAsia="Times New Roman" w:hAnsi="Calibri" w:cs="Times New Roman"/>
                <w:color w:val="000000"/>
                <w:lang w:eastAsia="en-GB"/>
              </w:rPr>
              <w:t>00 words)</w:t>
            </w:r>
          </w:p>
        </w:tc>
        <w:tc>
          <w:tcPr>
            <w:tcW w:w="1518" w:type="dxa"/>
            <w:tcBorders>
              <w:top w:val="nil"/>
              <w:left w:val="nil"/>
              <w:bottom w:val="nil"/>
              <w:right w:val="nil"/>
            </w:tcBorders>
            <w:shd w:val="clear" w:color="auto" w:fill="auto"/>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000000" w:fill="808080"/>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 </w:t>
            </w:r>
          </w:p>
        </w:tc>
        <w:tc>
          <w:tcPr>
            <w:tcW w:w="1105" w:type="dxa"/>
            <w:tcBorders>
              <w:top w:val="nil"/>
              <w:left w:val="nil"/>
              <w:bottom w:val="nil"/>
              <w:right w:val="nil"/>
            </w:tcBorders>
            <w:shd w:val="clear" w:color="000000" w:fill="D9D9D9"/>
            <w:noWrap/>
            <w:vAlign w:val="bottom"/>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0.75</w:t>
            </w:r>
          </w:p>
        </w:tc>
      </w:tr>
      <w:tr w:rsidR="00E93FF8" w:rsidRPr="001E672F" w:rsidTr="00A45627">
        <w:trPr>
          <w:trHeight w:val="480"/>
        </w:trPr>
        <w:tc>
          <w:tcPr>
            <w:tcW w:w="3969" w:type="dxa"/>
            <w:tcBorders>
              <w:top w:val="nil"/>
              <w:left w:val="single" w:sz="4" w:space="0" w:color="auto"/>
              <w:bottom w:val="nil"/>
              <w:right w:val="single" w:sz="4" w:space="0" w:color="auto"/>
            </w:tcBorders>
            <w:shd w:val="clear" w:color="auto" w:fill="auto"/>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Summative Essay (45</w:t>
            </w:r>
            <w:r w:rsidRPr="001E672F">
              <w:rPr>
                <w:rFonts w:ascii="Calibri" w:eastAsia="Times New Roman" w:hAnsi="Calibri" w:cs="Times New Roman"/>
                <w:color w:val="000000"/>
                <w:lang w:eastAsia="en-GB"/>
              </w:rPr>
              <w:t>01 words or more)</w:t>
            </w:r>
          </w:p>
        </w:tc>
        <w:tc>
          <w:tcPr>
            <w:tcW w:w="1518" w:type="dxa"/>
            <w:tcBorders>
              <w:top w:val="nil"/>
              <w:left w:val="nil"/>
              <w:bottom w:val="nil"/>
              <w:right w:val="nil"/>
            </w:tcBorders>
            <w:shd w:val="clear" w:color="auto" w:fill="auto"/>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000000" w:fill="808080"/>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 </w:t>
            </w:r>
          </w:p>
        </w:tc>
        <w:tc>
          <w:tcPr>
            <w:tcW w:w="1105" w:type="dxa"/>
            <w:tcBorders>
              <w:top w:val="nil"/>
              <w:left w:val="nil"/>
              <w:bottom w:val="nil"/>
              <w:right w:val="nil"/>
            </w:tcBorders>
            <w:shd w:val="clear" w:color="000000" w:fill="D9D9D9"/>
            <w:noWrap/>
            <w:vAlign w:val="bottom"/>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1</w:t>
            </w:r>
          </w:p>
        </w:tc>
      </w:tr>
      <w:tr w:rsidR="00E93FF8" w:rsidRPr="001E672F" w:rsidTr="00A45627">
        <w:trPr>
          <w:trHeight w:val="480"/>
        </w:trPr>
        <w:tc>
          <w:tcPr>
            <w:tcW w:w="3969" w:type="dxa"/>
            <w:tcBorders>
              <w:top w:val="nil"/>
              <w:left w:val="single" w:sz="4" w:space="0" w:color="auto"/>
              <w:bottom w:val="nil"/>
              <w:right w:val="single" w:sz="4" w:space="0" w:color="auto"/>
            </w:tcBorders>
            <w:shd w:val="clear" w:color="auto" w:fill="auto"/>
            <w:vAlign w:val="bottom"/>
          </w:tcPr>
          <w:p w:rsidR="00E93FF8" w:rsidRDefault="00E93FF8" w:rsidP="00A45627">
            <w:pPr>
              <w:spacing w:after="0" w:line="240" w:lineRule="auto"/>
              <w:rPr>
                <w:rFonts w:ascii="Calibri" w:eastAsia="Times New Roman" w:hAnsi="Calibri" w:cs="Times New Roman"/>
                <w:color w:val="000000"/>
                <w:lang w:eastAsia="en-GB"/>
              </w:rPr>
            </w:pPr>
          </w:p>
          <w:p w:rsidR="00E93FF8" w:rsidRPr="001E672F" w:rsidRDefault="00E93FF8" w:rsidP="00AB5935">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Summative assignment other than an essay</w:t>
            </w:r>
          </w:p>
        </w:tc>
        <w:tc>
          <w:tcPr>
            <w:tcW w:w="1518" w:type="dxa"/>
            <w:tcBorders>
              <w:top w:val="nil"/>
              <w:left w:val="nil"/>
              <w:bottom w:val="nil"/>
              <w:right w:val="nil"/>
            </w:tcBorders>
            <w:shd w:val="clear" w:color="auto" w:fill="auto"/>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000000" w:fill="808080"/>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 </w:t>
            </w:r>
          </w:p>
        </w:tc>
        <w:tc>
          <w:tcPr>
            <w:tcW w:w="1105" w:type="dxa"/>
            <w:tcBorders>
              <w:top w:val="nil"/>
              <w:left w:val="nil"/>
              <w:bottom w:val="nil"/>
              <w:right w:val="nil"/>
            </w:tcBorders>
            <w:shd w:val="clear" w:color="000000" w:fill="D9D9D9"/>
            <w:noWrap/>
            <w:vAlign w:val="bottom"/>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0.25</w:t>
            </w:r>
          </w:p>
        </w:tc>
      </w:tr>
      <w:tr w:rsidR="00E93FF8" w:rsidRPr="001E672F" w:rsidTr="00A45627">
        <w:trPr>
          <w:trHeight w:val="480"/>
        </w:trPr>
        <w:tc>
          <w:tcPr>
            <w:tcW w:w="3969" w:type="dxa"/>
            <w:tcBorders>
              <w:top w:val="nil"/>
              <w:left w:val="single" w:sz="4" w:space="0" w:color="auto"/>
              <w:bottom w:val="nil"/>
              <w:right w:val="single" w:sz="4" w:space="0" w:color="auto"/>
            </w:tcBorders>
            <w:shd w:val="clear" w:color="auto" w:fill="auto"/>
            <w:vAlign w:val="bottom"/>
          </w:tcPr>
          <w:p w:rsidR="00E93FF8" w:rsidRDefault="00E93FF8" w:rsidP="00A45627">
            <w:pPr>
              <w:spacing w:after="0" w:line="240" w:lineRule="auto"/>
              <w:rPr>
                <w:rFonts w:ascii="Calibri" w:eastAsia="Times New Roman" w:hAnsi="Calibri" w:cs="Times New Roman"/>
                <w:color w:val="000000"/>
                <w:lang w:eastAsia="en-GB"/>
              </w:rPr>
            </w:pPr>
          </w:p>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Summative Hons/Masters Essay moderation</w:t>
            </w:r>
          </w:p>
        </w:tc>
        <w:tc>
          <w:tcPr>
            <w:tcW w:w="1518" w:type="dxa"/>
            <w:tcBorders>
              <w:top w:val="nil"/>
              <w:left w:val="nil"/>
              <w:bottom w:val="nil"/>
              <w:right w:val="nil"/>
            </w:tcBorders>
            <w:shd w:val="clear" w:color="auto" w:fill="auto"/>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000000" w:fill="808080"/>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 </w:t>
            </w:r>
          </w:p>
        </w:tc>
        <w:tc>
          <w:tcPr>
            <w:tcW w:w="1105" w:type="dxa"/>
            <w:tcBorders>
              <w:top w:val="nil"/>
              <w:left w:val="nil"/>
              <w:bottom w:val="nil"/>
              <w:right w:val="nil"/>
            </w:tcBorders>
            <w:shd w:val="clear" w:color="000000" w:fill="D9D9D9"/>
            <w:noWrap/>
            <w:vAlign w:val="bottom"/>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0.25</w:t>
            </w:r>
          </w:p>
        </w:tc>
      </w:tr>
      <w:tr w:rsidR="00E93FF8" w:rsidRPr="001E672F" w:rsidTr="00A45627">
        <w:trPr>
          <w:trHeight w:val="525"/>
        </w:trPr>
        <w:tc>
          <w:tcPr>
            <w:tcW w:w="3969" w:type="dxa"/>
            <w:tcBorders>
              <w:top w:val="nil"/>
              <w:left w:val="single" w:sz="4" w:space="0" w:color="auto"/>
              <w:bottom w:val="nil"/>
              <w:right w:val="single" w:sz="4" w:space="0" w:color="auto"/>
            </w:tcBorders>
            <w:shd w:val="clear" w:color="auto" w:fill="auto"/>
            <w:vAlign w:val="bottom"/>
          </w:tcPr>
          <w:p w:rsidR="00E93FF8" w:rsidRDefault="00E93FF8" w:rsidP="00A45627">
            <w:pPr>
              <w:spacing w:after="0" w:line="240" w:lineRule="auto"/>
              <w:rPr>
                <w:rFonts w:ascii="Calibri" w:eastAsia="Times New Roman" w:hAnsi="Calibri" w:cs="Times New Roman"/>
                <w:color w:val="000000"/>
                <w:lang w:eastAsia="en-GB"/>
              </w:rPr>
            </w:pPr>
          </w:p>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Honours/Masters Dissertations/MSc Research Methods Marked</w:t>
            </w:r>
          </w:p>
        </w:tc>
        <w:tc>
          <w:tcPr>
            <w:tcW w:w="1518" w:type="dxa"/>
            <w:tcBorders>
              <w:top w:val="nil"/>
              <w:left w:val="nil"/>
              <w:bottom w:val="nil"/>
              <w:right w:val="nil"/>
            </w:tcBorders>
            <w:shd w:val="clear" w:color="auto" w:fill="auto"/>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000000" w:fill="808080"/>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 </w:t>
            </w:r>
          </w:p>
        </w:tc>
        <w:tc>
          <w:tcPr>
            <w:tcW w:w="1105" w:type="dxa"/>
            <w:tcBorders>
              <w:top w:val="nil"/>
              <w:left w:val="nil"/>
              <w:bottom w:val="nil"/>
              <w:right w:val="nil"/>
            </w:tcBorders>
            <w:shd w:val="clear" w:color="000000" w:fill="D9D9D9"/>
            <w:noWrap/>
            <w:vAlign w:val="bottom"/>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2</w:t>
            </w:r>
          </w:p>
        </w:tc>
      </w:tr>
      <w:tr w:rsidR="00E93FF8" w:rsidRPr="001E672F" w:rsidTr="00A45627">
        <w:trPr>
          <w:trHeight w:val="615"/>
        </w:trPr>
        <w:tc>
          <w:tcPr>
            <w:tcW w:w="3969" w:type="dxa"/>
            <w:tcBorders>
              <w:top w:val="nil"/>
              <w:left w:val="single" w:sz="4" w:space="0" w:color="auto"/>
              <w:bottom w:val="nil"/>
              <w:right w:val="single" w:sz="4" w:space="0" w:color="auto"/>
            </w:tcBorders>
            <w:shd w:val="clear" w:color="auto" w:fill="auto"/>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Masters by Research Dissertation examination</w:t>
            </w:r>
          </w:p>
        </w:tc>
        <w:tc>
          <w:tcPr>
            <w:tcW w:w="1518" w:type="dxa"/>
            <w:tcBorders>
              <w:top w:val="nil"/>
              <w:left w:val="nil"/>
              <w:bottom w:val="nil"/>
              <w:right w:val="nil"/>
            </w:tcBorders>
            <w:shd w:val="clear" w:color="auto" w:fill="auto"/>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000000" w:fill="808080"/>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 </w:t>
            </w:r>
          </w:p>
        </w:tc>
        <w:tc>
          <w:tcPr>
            <w:tcW w:w="1105" w:type="dxa"/>
            <w:tcBorders>
              <w:top w:val="nil"/>
              <w:left w:val="nil"/>
              <w:bottom w:val="nil"/>
              <w:right w:val="nil"/>
            </w:tcBorders>
            <w:shd w:val="clear" w:color="000000" w:fill="D9D9D9"/>
            <w:noWrap/>
            <w:vAlign w:val="bottom"/>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4</w:t>
            </w:r>
          </w:p>
        </w:tc>
      </w:tr>
      <w:tr w:rsidR="00E93FF8" w:rsidRPr="001E672F" w:rsidTr="00A45627">
        <w:trPr>
          <w:trHeight w:val="300"/>
        </w:trPr>
        <w:tc>
          <w:tcPr>
            <w:tcW w:w="3969" w:type="dxa"/>
            <w:tcBorders>
              <w:top w:val="nil"/>
              <w:left w:val="single" w:sz="4" w:space="0" w:color="auto"/>
              <w:bottom w:val="nil"/>
              <w:right w:val="single" w:sz="4" w:space="0" w:color="auto"/>
            </w:tcBorders>
            <w:shd w:val="clear" w:color="auto" w:fill="auto"/>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Internal PhD Examination</w:t>
            </w:r>
          </w:p>
        </w:tc>
        <w:tc>
          <w:tcPr>
            <w:tcW w:w="1518" w:type="dxa"/>
            <w:tcBorders>
              <w:top w:val="nil"/>
              <w:left w:val="nil"/>
              <w:bottom w:val="nil"/>
              <w:right w:val="nil"/>
            </w:tcBorders>
            <w:shd w:val="clear" w:color="auto" w:fill="auto"/>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000000" w:fill="808080"/>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r w:rsidRPr="001E672F">
              <w:rPr>
                <w:rFonts w:ascii="Calibri" w:eastAsia="Times New Roman" w:hAnsi="Calibri" w:cs="Times New Roman"/>
                <w:color w:val="000000"/>
                <w:lang w:eastAsia="en-GB"/>
              </w:rPr>
              <w:t> </w:t>
            </w:r>
          </w:p>
        </w:tc>
        <w:tc>
          <w:tcPr>
            <w:tcW w:w="1105" w:type="dxa"/>
            <w:tcBorders>
              <w:top w:val="nil"/>
              <w:left w:val="nil"/>
              <w:bottom w:val="nil"/>
              <w:right w:val="nil"/>
            </w:tcBorders>
            <w:shd w:val="clear" w:color="000000" w:fill="D9D9D9"/>
            <w:noWrap/>
            <w:vAlign w:val="bottom"/>
          </w:tcPr>
          <w:p w:rsidR="00E93FF8" w:rsidRPr="00B36A1C" w:rsidRDefault="00E93FF8" w:rsidP="00A45627">
            <w:pPr>
              <w:spacing w:after="0" w:line="240" w:lineRule="auto"/>
              <w:jc w:val="right"/>
              <w:rPr>
                <w:rFonts w:ascii="Arial" w:eastAsia="Times New Roman" w:hAnsi="Arial" w:cs="Arial"/>
                <w:sz w:val="20"/>
                <w:szCs w:val="20"/>
                <w:lang w:eastAsia="en-GB"/>
              </w:rPr>
            </w:pPr>
            <w:r w:rsidRPr="00B36A1C">
              <w:rPr>
                <w:rFonts w:ascii="Arial" w:eastAsia="Times New Roman" w:hAnsi="Arial" w:cs="Arial"/>
                <w:sz w:val="20"/>
                <w:szCs w:val="20"/>
                <w:lang w:eastAsia="en-GB"/>
              </w:rPr>
              <w:t>20</w:t>
            </w:r>
          </w:p>
        </w:tc>
      </w:tr>
      <w:tr w:rsidR="00E93FF8" w:rsidRPr="001E672F" w:rsidTr="00A45627">
        <w:trPr>
          <w:trHeight w:val="300"/>
        </w:trPr>
        <w:tc>
          <w:tcPr>
            <w:tcW w:w="3969" w:type="dxa"/>
            <w:tcBorders>
              <w:top w:val="nil"/>
              <w:left w:val="single" w:sz="4" w:space="0" w:color="auto"/>
              <w:bottom w:val="nil"/>
              <w:right w:val="single" w:sz="4" w:space="0" w:color="auto"/>
            </w:tcBorders>
            <w:shd w:val="clear" w:color="auto" w:fill="auto"/>
            <w:vAlign w:val="bottom"/>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518" w:type="dxa"/>
            <w:tcBorders>
              <w:top w:val="nil"/>
              <w:left w:val="nil"/>
              <w:bottom w:val="nil"/>
              <w:right w:val="nil"/>
            </w:tcBorders>
            <w:shd w:val="clear" w:color="auto" w:fill="auto"/>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260" w:type="dxa"/>
            <w:tcBorders>
              <w:top w:val="nil"/>
              <w:left w:val="nil"/>
              <w:bottom w:val="nil"/>
              <w:right w:val="nil"/>
            </w:tcBorders>
            <w:shd w:val="clear" w:color="000000" w:fill="808080"/>
            <w:noWrap/>
            <w:vAlign w:val="bottom"/>
          </w:tcPr>
          <w:p w:rsidR="00E93FF8" w:rsidRPr="001E672F" w:rsidRDefault="00E93FF8" w:rsidP="00A45627">
            <w:pPr>
              <w:spacing w:after="0" w:line="240" w:lineRule="auto"/>
              <w:rPr>
                <w:rFonts w:ascii="Calibri" w:eastAsia="Times New Roman" w:hAnsi="Calibri" w:cs="Times New Roman"/>
                <w:color w:val="000000"/>
                <w:lang w:eastAsia="en-GB"/>
              </w:rPr>
            </w:pPr>
          </w:p>
        </w:tc>
        <w:tc>
          <w:tcPr>
            <w:tcW w:w="1105" w:type="dxa"/>
            <w:tcBorders>
              <w:top w:val="nil"/>
              <w:left w:val="nil"/>
              <w:bottom w:val="nil"/>
              <w:right w:val="nil"/>
            </w:tcBorders>
            <w:shd w:val="clear" w:color="000000" w:fill="D9D9D9"/>
            <w:noWrap/>
            <w:vAlign w:val="bottom"/>
          </w:tcPr>
          <w:p w:rsidR="00E93FF8" w:rsidRPr="00B36A1C" w:rsidRDefault="00E93FF8" w:rsidP="00A45627">
            <w:pPr>
              <w:spacing w:after="0" w:line="240" w:lineRule="auto"/>
              <w:jc w:val="right"/>
              <w:rPr>
                <w:rFonts w:ascii="Arial" w:eastAsia="Times New Roman" w:hAnsi="Arial" w:cs="Arial"/>
                <w:color w:val="FFFFFF" w:themeColor="background1"/>
                <w:sz w:val="20"/>
                <w:szCs w:val="20"/>
                <w:lang w:eastAsia="en-GB"/>
              </w:rPr>
            </w:pPr>
          </w:p>
        </w:tc>
      </w:tr>
    </w:tbl>
    <w:p w:rsidR="006970D2" w:rsidRPr="006970D2" w:rsidRDefault="006970D2" w:rsidP="00E93FF8">
      <w:pPr>
        <w:tabs>
          <w:tab w:val="left" w:pos="851"/>
          <w:tab w:val="left" w:pos="6804"/>
        </w:tabs>
        <w:spacing w:after="0" w:line="240" w:lineRule="auto"/>
        <w:contextualSpacing/>
        <w:jc w:val="both"/>
        <w:rPr>
          <w:rFonts w:ascii="Times New Roman" w:hAnsi="Times New Roman" w:cs="Times New Roman"/>
          <w:b/>
          <w:sz w:val="16"/>
          <w:szCs w:val="16"/>
        </w:rPr>
      </w:pPr>
    </w:p>
    <w:p w:rsidR="00E93FF8" w:rsidRPr="00E4552D" w:rsidRDefault="00E93FF8" w:rsidP="00E93FF8">
      <w:pPr>
        <w:tabs>
          <w:tab w:val="left" w:pos="851"/>
          <w:tab w:val="left" w:pos="6804"/>
        </w:tabs>
        <w:spacing w:after="0" w:line="240" w:lineRule="auto"/>
        <w:contextualSpacing/>
        <w:jc w:val="both"/>
        <w:rPr>
          <w:rFonts w:ascii="Times New Roman" w:hAnsi="Times New Roman" w:cs="Times New Roman"/>
          <w:b/>
          <w:sz w:val="24"/>
          <w:szCs w:val="24"/>
        </w:rPr>
      </w:pPr>
      <w:r w:rsidRPr="00E4552D">
        <w:rPr>
          <w:rFonts w:ascii="Times New Roman" w:hAnsi="Times New Roman" w:cs="Times New Roman"/>
          <w:b/>
          <w:sz w:val="24"/>
          <w:szCs w:val="24"/>
        </w:rPr>
        <w:t>*</w:t>
      </w:r>
      <w:r w:rsidRPr="00AB5935">
        <w:rPr>
          <w:rFonts w:ascii="Times New Roman" w:hAnsi="Times New Roman" w:cs="Times New Roman"/>
          <w:sz w:val="20"/>
          <w:szCs w:val="20"/>
        </w:rPr>
        <w:t xml:space="preserve">LLC has additional common weightings for </w:t>
      </w:r>
      <w:r w:rsidR="00AB5935">
        <w:rPr>
          <w:rFonts w:ascii="Times New Roman" w:hAnsi="Times New Roman" w:cs="Times New Roman"/>
          <w:sz w:val="20"/>
          <w:szCs w:val="20"/>
        </w:rPr>
        <w:t xml:space="preserve">the different requirements of </w:t>
      </w:r>
      <w:r w:rsidRPr="00AB5935">
        <w:rPr>
          <w:rFonts w:ascii="Times New Roman" w:hAnsi="Times New Roman" w:cs="Times New Roman"/>
          <w:sz w:val="20"/>
          <w:szCs w:val="20"/>
        </w:rPr>
        <w:t>marking</w:t>
      </w:r>
      <w:r w:rsidR="00AB5935">
        <w:rPr>
          <w:rFonts w:ascii="Times New Roman" w:hAnsi="Times New Roman" w:cs="Times New Roman"/>
          <w:sz w:val="20"/>
          <w:szCs w:val="20"/>
        </w:rPr>
        <w:t xml:space="preserve"> language assignments.</w:t>
      </w:r>
    </w:p>
    <w:p w:rsidR="00075BF5" w:rsidRDefault="00075BF5" w:rsidP="00E93FF8">
      <w:pPr>
        <w:tabs>
          <w:tab w:val="left" w:pos="851"/>
          <w:tab w:val="left" w:pos="6804"/>
        </w:tabs>
        <w:spacing w:after="0" w:line="240" w:lineRule="auto"/>
        <w:contextualSpacing/>
        <w:jc w:val="both"/>
        <w:rPr>
          <w:rFonts w:ascii="Times New Roman" w:hAnsi="Times New Roman" w:cs="Times New Roman"/>
          <w:sz w:val="20"/>
          <w:szCs w:val="20"/>
        </w:rPr>
      </w:pPr>
    </w:p>
    <w:p w:rsidR="006970D2" w:rsidRPr="006970D2" w:rsidRDefault="006970D2" w:rsidP="00E93FF8">
      <w:pPr>
        <w:tabs>
          <w:tab w:val="left" w:pos="851"/>
          <w:tab w:val="left" w:pos="6804"/>
        </w:tabs>
        <w:spacing w:after="0" w:line="240" w:lineRule="auto"/>
        <w:contextualSpacing/>
        <w:jc w:val="both"/>
        <w:rPr>
          <w:rFonts w:ascii="Times New Roman" w:hAnsi="Times New Roman" w:cs="Times New Roman"/>
          <w:sz w:val="20"/>
          <w:szCs w:val="20"/>
        </w:rPr>
      </w:pPr>
    </w:p>
    <w:p w:rsidR="00CA12E2" w:rsidRDefault="00CA12E2" w:rsidP="002E2F82">
      <w:pPr>
        <w:spacing w:after="0"/>
        <w:jc w:val="both"/>
        <w:rPr>
          <w:rFonts w:ascii="Times New Roman" w:hAnsi="Times New Roman" w:cs="Times New Roman"/>
          <w:b/>
          <w:i/>
          <w:sz w:val="24"/>
          <w:szCs w:val="24"/>
        </w:rPr>
      </w:pPr>
      <w:r>
        <w:rPr>
          <w:rFonts w:ascii="Times New Roman" w:hAnsi="Times New Roman" w:cs="Times New Roman"/>
          <w:b/>
          <w:i/>
          <w:sz w:val="24"/>
          <w:szCs w:val="24"/>
        </w:rPr>
        <w:t>5.4 Grade UE06 Tutors</w:t>
      </w:r>
    </w:p>
    <w:p w:rsidR="00CA12E2" w:rsidRPr="00CA12E2" w:rsidRDefault="00CA12E2" w:rsidP="002E2F82">
      <w:pPr>
        <w:spacing w:after="0"/>
        <w:jc w:val="both"/>
        <w:rPr>
          <w:rFonts w:ascii="Times New Roman" w:hAnsi="Times New Roman" w:cs="Times New Roman"/>
          <w:sz w:val="24"/>
          <w:szCs w:val="24"/>
        </w:rPr>
      </w:pPr>
      <w:r>
        <w:rPr>
          <w:rFonts w:ascii="Times New Roman" w:hAnsi="Times New Roman" w:cs="Times New Roman"/>
          <w:sz w:val="24"/>
          <w:szCs w:val="24"/>
        </w:rPr>
        <w:t>The teaching-related weightings outlined in section 5.2 should apply equally to all</w:t>
      </w:r>
      <w:r w:rsidR="00BD6B6A">
        <w:rPr>
          <w:rFonts w:ascii="Times New Roman" w:hAnsi="Times New Roman" w:cs="Times New Roman"/>
          <w:sz w:val="24"/>
          <w:szCs w:val="24"/>
        </w:rPr>
        <w:t xml:space="preserve"> staff with a contractual expectation of involvement in teaching </w:t>
      </w:r>
      <w:r w:rsidR="006970D2">
        <w:rPr>
          <w:rFonts w:ascii="Times New Roman" w:hAnsi="Times New Roman" w:cs="Times New Roman"/>
          <w:sz w:val="24"/>
          <w:szCs w:val="24"/>
        </w:rPr>
        <w:t xml:space="preserve">and student support </w:t>
      </w:r>
      <w:r w:rsidR="00BD6B6A">
        <w:rPr>
          <w:rFonts w:ascii="Times New Roman" w:hAnsi="Times New Roman" w:cs="Times New Roman"/>
          <w:sz w:val="24"/>
          <w:szCs w:val="24"/>
        </w:rPr>
        <w:t>from grade UE07 to grade UE10. We should, however, recognise in our WAMs that for colleagues employed as tutors on grade UE06 contracts, many of whom are PhD students just beginning their academic careers, it will be necessary to allocate more time to preparation and assessment. Accordingly, for UE06 tutors who have yet to complete their PhD the following weightings should apply to contact time and to assessment</w:t>
      </w:r>
      <w:r w:rsidR="00F44CD2">
        <w:rPr>
          <w:rFonts w:ascii="Times New Roman" w:hAnsi="Times New Roman" w:cs="Times New Roman"/>
          <w:sz w:val="24"/>
          <w:szCs w:val="24"/>
        </w:rPr>
        <w:t>, again subject to local requirements (with justifications for the amendments clearly noted)</w:t>
      </w:r>
      <w:r w:rsidR="00BD6B6A">
        <w:rPr>
          <w:rFonts w:ascii="Times New Roman" w:hAnsi="Times New Roman" w:cs="Times New Roman"/>
          <w:sz w:val="24"/>
          <w:szCs w:val="24"/>
        </w:rPr>
        <w:t>:</w:t>
      </w:r>
    </w:p>
    <w:p w:rsidR="00CA12E2" w:rsidRPr="006970D2" w:rsidRDefault="00CA12E2" w:rsidP="002E2F82">
      <w:pPr>
        <w:spacing w:after="0"/>
        <w:jc w:val="both"/>
        <w:rPr>
          <w:rFonts w:ascii="Times New Roman" w:hAnsi="Times New Roman" w:cs="Times New Roman"/>
          <w:sz w:val="16"/>
          <w:szCs w:val="16"/>
        </w:rPr>
      </w:pPr>
    </w:p>
    <w:p w:rsidR="00911542" w:rsidRDefault="00911542" w:rsidP="002E2F82">
      <w:pPr>
        <w:spacing w:after="0"/>
        <w:jc w:val="both"/>
        <w:rPr>
          <w:rFonts w:ascii="Times New Roman" w:hAnsi="Times New Roman" w:cs="Times New Roman"/>
          <w:sz w:val="24"/>
          <w:szCs w:val="24"/>
        </w:rPr>
      </w:pPr>
      <w:r>
        <w:rPr>
          <w:rFonts w:ascii="Times New Roman" w:hAnsi="Times New Roman" w:cs="Times New Roman"/>
          <w:b/>
          <w:i/>
          <w:sz w:val="24"/>
          <w:szCs w:val="24"/>
        </w:rPr>
        <w:lastRenderedPageBreak/>
        <w:tab/>
      </w:r>
      <w:r>
        <w:rPr>
          <w:rFonts w:ascii="Times New Roman" w:hAnsi="Times New Roman" w:cs="Times New Roman"/>
          <w:sz w:val="24"/>
          <w:szCs w:val="24"/>
        </w:rPr>
        <w:t>Tutorial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2</w:t>
      </w:r>
    </w:p>
    <w:p w:rsidR="00911542" w:rsidRDefault="00911542" w:rsidP="002E2F82">
      <w:pPr>
        <w:spacing w:after="0"/>
        <w:jc w:val="both"/>
        <w:rPr>
          <w:rFonts w:ascii="Times New Roman" w:hAnsi="Times New Roman" w:cs="Times New Roman"/>
          <w:sz w:val="24"/>
          <w:szCs w:val="24"/>
        </w:rPr>
      </w:pPr>
      <w:r>
        <w:rPr>
          <w:rFonts w:ascii="Times New Roman" w:hAnsi="Times New Roman" w:cs="Times New Roman"/>
          <w:sz w:val="24"/>
          <w:szCs w:val="24"/>
        </w:rPr>
        <w:tab/>
        <w:t>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values above x 1.25</w:t>
      </w:r>
    </w:p>
    <w:p w:rsidR="006970D2" w:rsidRDefault="006970D2" w:rsidP="002E2F82">
      <w:pPr>
        <w:spacing w:after="0"/>
        <w:jc w:val="both"/>
        <w:rPr>
          <w:rFonts w:ascii="Times New Roman" w:hAnsi="Times New Roman" w:cs="Times New Roman"/>
          <w:b/>
          <w:i/>
          <w:sz w:val="24"/>
          <w:szCs w:val="24"/>
        </w:rPr>
      </w:pPr>
    </w:p>
    <w:p w:rsidR="002E2F82" w:rsidRPr="002E2F82" w:rsidRDefault="000603C1" w:rsidP="002E2F82">
      <w:pPr>
        <w:spacing w:after="0"/>
        <w:jc w:val="both"/>
        <w:rPr>
          <w:rFonts w:ascii="Times New Roman" w:hAnsi="Times New Roman" w:cs="Times New Roman"/>
          <w:b/>
          <w:i/>
          <w:sz w:val="24"/>
          <w:szCs w:val="24"/>
        </w:rPr>
      </w:pPr>
      <w:r>
        <w:rPr>
          <w:rFonts w:ascii="Times New Roman" w:hAnsi="Times New Roman" w:cs="Times New Roman"/>
          <w:b/>
          <w:i/>
          <w:sz w:val="24"/>
          <w:szCs w:val="24"/>
        </w:rPr>
        <w:t>5.</w:t>
      </w:r>
      <w:r w:rsidR="00CA12E2">
        <w:rPr>
          <w:rFonts w:ascii="Times New Roman" w:hAnsi="Times New Roman" w:cs="Times New Roman"/>
          <w:b/>
          <w:i/>
          <w:sz w:val="24"/>
          <w:szCs w:val="24"/>
        </w:rPr>
        <w:t>4</w:t>
      </w:r>
      <w:r>
        <w:rPr>
          <w:rFonts w:ascii="Times New Roman" w:hAnsi="Times New Roman" w:cs="Times New Roman"/>
          <w:b/>
          <w:i/>
          <w:sz w:val="24"/>
          <w:szCs w:val="24"/>
        </w:rPr>
        <w:t xml:space="preserve"> </w:t>
      </w:r>
      <w:r w:rsidR="002E2F82" w:rsidRPr="002E2F82">
        <w:rPr>
          <w:rFonts w:ascii="Times New Roman" w:hAnsi="Times New Roman" w:cs="Times New Roman"/>
          <w:b/>
          <w:i/>
          <w:sz w:val="24"/>
          <w:szCs w:val="24"/>
        </w:rPr>
        <w:t>PhD Supervision</w:t>
      </w:r>
    </w:p>
    <w:p w:rsidR="00635E90" w:rsidRDefault="00D14CE7" w:rsidP="001C70FF">
      <w:pPr>
        <w:spacing w:after="0"/>
        <w:jc w:val="both"/>
        <w:rPr>
          <w:rFonts w:ascii="Times New Roman" w:hAnsi="Times New Roman" w:cs="Times New Roman"/>
          <w:sz w:val="24"/>
          <w:szCs w:val="24"/>
        </w:rPr>
      </w:pPr>
      <w:r>
        <w:rPr>
          <w:rFonts w:ascii="Times New Roman" w:hAnsi="Times New Roman" w:cs="Times New Roman"/>
          <w:sz w:val="24"/>
          <w:szCs w:val="24"/>
        </w:rPr>
        <w:t xml:space="preserve">The following </w:t>
      </w:r>
      <w:r w:rsidR="00DE4BD0">
        <w:rPr>
          <w:rFonts w:ascii="Times New Roman" w:hAnsi="Times New Roman" w:cs="Times New Roman"/>
          <w:sz w:val="24"/>
          <w:szCs w:val="24"/>
        </w:rPr>
        <w:t xml:space="preserve">time </w:t>
      </w:r>
      <w:r>
        <w:rPr>
          <w:rFonts w:ascii="Times New Roman" w:hAnsi="Times New Roman" w:cs="Times New Roman"/>
          <w:sz w:val="24"/>
          <w:szCs w:val="24"/>
        </w:rPr>
        <w:t xml:space="preserve">allocations </w:t>
      </w:r>
      <w:r w:rsidR="00DE4BD0">
        <w:rPr>
          <w:rFonts w:ascii="Times New Roman" w:hAnsi="Times New Roman" w:cs="Times New Roman"/>
          <w:sz w:val="24"/>
          <w:szCs w:val="24"/>
        </w:rPr>
        <w:t xml:space="preserve">should be used </w:t>
      </w:r>
      <w:r>
        <w:rPr>
          <w:rFonts w:ascii="Times New Roman" w:hAnsi="Times New Roman" w:cs="Times New Roman"/>
          <w:sz w:val="24"/>
          <w:szCs w:val="24"/>
        </w:rPr>
        <w:t>for the teaching-related work involved in supervising PhD students:</w:t>
      </w:r>
    </w:p>
    <w:p w:rsidR="00D14CE7" w:rsidRPr="00D14CE7" w:rsidRDefault="00D14CE7" w:rsidP="001C70FF">
      <w:pPr>
        <w:spacing w:after="0"/>
        <w:jc w:val="both"/>
        <w:rPr>
          <w:rFonts w:ascii="Times New Roman" w:hAnsi="Times New Roman" w:cs="Times New Roman"/>
          <w:sz w:val="12"/>
          <w:szCs w:val="12"/>
        </w:rPr>
      </w:pPr>
    </w:p>
    <w:p w:rsidR="00D14CE7" w:rsidRPr="00D14CE7" w:rsidRDefault="00D14CE7" w:rsidP="00D14CE7">
      <w:pPr>
        <w:tabs>
          <w:tab w:val="left" w:pos="851"/>
          <w:tab w:val="left" w:pos="3544"/>
          <w:tab w:val="left" w:pos="6804"/>
        </w:tabs>
        <w:spacing w:after="0" w:line="240" w:lineRule="auto"/>
        <w:ind w:left="720"/>
        <w:contextualSpacing/>
        <w:jc w:val="both"/>
        <w:rPr>
          <w:rFonts w:ascii="Times New Roman" w:hAnsi="Times New Roman" w:cs="Times New Roman"/>
          <w:sz w:val="24"/>
          <w:szCs w:val="24"/>
        </w:rPr>
      </w:pPr>
      <w:r w:rsidRPr="00D14CE7">
        <w:rPr>
          <w:rFonts w:ascii="Times New Roman" w:hAnsi="Times New Roman" w:cs="Times New Roman"/>
          <w:sz w:val="24"/>
          <w:szCs w:val="24"/>
        </w:rPr>
        <w:t>First supervisor</w:t>
      </w:r>
      <w:r w:rsidRPr="00D14CE7">
        <w:rPr>
          <w:rFonts w:ascii="Times New Roman" w:hAnsi="Times New Roman" w:cs="Times New Roman"/>
          <w:sz w:val="24"/>
          <w:szCs w:val="24"/>
        </w:rPr>
        <w:tab/>
        <w:t>45 hours per full-time student per year</w:t>
      </w:r>
    </w:p>
    <w:p w:rsidR="00D14CE7" w:rsidRPr="00D14CE7" w:rsidRDefault="00D14CE7" w:rsidP="00D14CE7">
      <w:pPr>
        <w:tabs>
          <w:tab w:val="left" w:pos="851"/>
          <w:tab w:val="left" w:pos="3544"/>
          <w:tab w:val="left" w:pos="6804"/>
        </w:tabs>
        <w:spacing w:after="0" w:line="240" w:lineRule="auto"/>
        <w:ind w:left="720"/>
        <w:contextualSpacing/>
        <w:jc w:val="both"/>
        <w:rPr>
          <w:rFonts w:ascii="Times New Roman" w:hAnsi="Times New Roman" w:cs="Times New Roman"/>
          <w:sz w:val="24"/>
          <w:szCs w:val="24"/>
        </w:rPr>
      </w:pPr>
      <w:r w:rsidRPr="00D14CE7">
        <w:rPr>
          <w:rFonts w:ascii="Times New Roman" w:hAnsi="Times New Roman" w:cs="Times New Roman"/>
          <w:sz w:val="24"/>
          <w:szCs w:val="24"/>
        </w:rPr>
        <w:t>2</w:t>
      </w:r>
      <w:r w:rsidRPr="00D14CE7">
        <w:rPr>
          <w:rFonts w:ascii="Times New Roman" w:hAnsi="Times New Roman" w:cs="Times New Roman"/>
          <w:sz w:val="24"/>
          <w:szCs w:val="24"/>
          <w:vertAlign w:val="superscript"/>
        </w:rPr>
        <w:t>nd</w:t>
      </w:r>
      <w:r w:rsidRPr="00D14CE7">
        <w:rPr>
          <w:rFonts w:ascii="Times New Roman" w:hAnsi="Times New Roman" w:cs="Times New Roman"/>
          <w:sz w:val="24"/>
          <w:szCs w:val="24"/>
        </w:rPr>
        <w:t xml:space="preserve"> supervisor</w:t>
      </w:r>
      <w:r w:rsidRPr="00D14CE7">
        <w:rPr>
          <w:rFonts w:ascii="Times New Roman" w:hAnsi="Times New Roman" w:cs="Times New Roman"/>
          <w:sz w:val="24"/>
          <w:szCs w:val="24"/>
        </w:rPr>
        <w:tab/>
        <w:t>15 hours per full-time student per year</w:t>
      </w:r>
    </w:p>
    <w:p w:rsidR="00D14CE7" w:rsidRPr="00D14CE7" w:rsidRDefault="00D14CE7" w:rsidP="00D14CE7">
      <w:pPr>
        <w:tabs>
          <w:tab w:val="left" w:pos="851"/>
          <w:tab w:val="left" w:pos="3544"/>
          <w:tab w:val="left" w:pos="6804"/>
        </w:tabs>
        <w:spacing w:after="0" w:line="240" w:lineRule="auto"/>
        <w:ind w:left="720"/>
        <w:contextualSpacing/>
        <w:jc w:val="both"/>
        <w:rPr>
          <w:rFonts w:ascii="Times New Roman" w:hAnsi="Times New Roman" w:cs="Times New Roman"/>
          <w:sz w:val="24"/>
          <w:szCs w:val="24"/>
        </w:rPr>
      </w:pPr>
      <w:r w:rsidRPr="00D14CE7">
        <w:rPr>
          <w:rFonts w:ascii="Times New Roman" w:hAnsi="Times New Roman" w:cs="Times New Roman"/>
          <w:sz w:val="24"/>
          <w:szCs w:val="24"/>
        </w:rPr>
        <w:t>Joint supervisor</w:t>
      </w:r>
      <w:r w:rsidR="006970D2">
        <w:rPr>
          <w:rFonts w:ascii="Times New Roman" w:hAnsi="Times New Roman" w:cs="Times New Roman"/>
          <w:sz w:val="24"/>
          <w:szCs w:val="24"/>
        </w:rPr>
        <w:t>s</w:t>
      </w:r>
      <w:r w:rsidRPr="00D14CE7">
        <w:rPr>
          <w:rFonts w:ascii="Times New Roman" w:hAnsi="Times New Roman" w:cs="Times New Roman"/>
          <w:sz w:val="24"/>
          <w:szCs w:val="24"/>
        </w:rPr>
        <w:tab/>
        <w:t xml:space="preserve">30 hours </w:t>
      </w:r>
      <w:r w:rsidR="006970D2">
        <w:rPr>
          <w:rFonts w:ascii="Times New Roman" w:hAnsi="Times New Roman" w:cs="Times New Roman"/>
          <w:sz w:val="24"/>
          <w:szCs w:val="24"/>
        </w:rPr>
        <w:t xml:space="preserve">each </w:t>
      </w:r>
      <w:r w:rsidRPr="00D14CE7">
        <w:rPr>
          <w:rFonts w:ascii="Times New Roman" w:hAnsi="Times New Roman" w:cs="Times New Roman"/>
          <w:sz w:val="24"/>
          <w:szCs w:val="24"/>
        </w:rPr>
        <w:t>per full-time student per year</w:t>
      </w:r>
    </w:p>
    <w:p w:rsidR="00D14CE7" w:rsidRPr="00D14CE7" w:rsidRDefault="00D14CE7" w:rsidP="00D14CE7">
      <w:pPr>
        <w:tabs>
          <w:tab w:val="left" w:pos="851"/>
          <w:tab w:val="left" w:pos="6804"/>
        </w:tabs>
        <w:spacing w:after="0" w:line="240" w:lineRule="auto"/>
        <w:contextualSpacing/>
        <w:jc w:val="both"/>
        <w:rPr>
          <w:rFonts w:ascii="Times New Roman" w:hAnsi="Times New Roman" w:cs="Times New Roman"/>
          <w:sz w:val="12"/>
          <w:szCs w:val="12"/>
        </w:rPr>
      </w:pPr>
    </w:p>
    <w:p w:rsidR="00D14CE7" w:rsidRDefault="00CC1E3E" w:rsidP="00D14CE7">
      <w:pPr>
        <w:tabs>
          <w:tab w:val="left" w:pos="851"/>
          <w:tab w:val="left" w:pos="680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D14CE7" w:rsidRPr="00D14CE7">
        <w:rPr>
          <w:rFonts w:ascii="Times New Roman" w:hAnsi="Times New Roman" w:cs="Times New Roman"/>
          <w:sz w:val="24"/>
          <w:szCs w:val="24"/>
        </w:rPr>
        <w:t>hese rates would be halved for part-time students.</w:t>
      </w:r>
      <w:r w:rsidR="009F41AF">
        <w:rPr>
          <w:rFonts w:ascii="Times New Roman" w:hAnsi="Times New Roman" w:cs="Times New Roman"/>
          <w:sz w:val="24"/>
          <w:szCs w:val="24"/>
        </w:rPr>
        <w:t xml:space="preserve"> </w:t>
      </w:r>
      <w:r w:rsidR="00DE4BD0">
        <w:rPr>
          <w:rFonts w:ascii="Times New Roman" w:hAnsi="Times New Roman" w:cs="Times New Roman"/>
          <w:sz w:val="24"/>
          <w:szCs w:val="24"/>
        </w:rPr>
        <w:t>T</w:t>
      </w:r>
      <w:r w:rsidR="00D14CE7">
        <w:rPr>
          <w:rFonts w:ascii="Times New Roman" w:hAnsi="Times New Roman" w:cs="Times New Roman"/>
          <w:sz w:val="24"/>
          <w:szCs w:val="24"/>
        </w:rPr>
        <w:t xml:space="preserve">hese values for PhD supervision should apply for four years of full-time </w:t>
      </w:r>
      <w:r w:rsidR="00D706AC">
        <w:rPr>
          <w:rFonts w:ascii="Times New Roman" w:hAnsi="Times New Roman" w:cs="Times New Roman"/>
          <w:sz w:val="24"/>
          <w:szCs w:val="24"/>
        </w:rPr>
        <w:t xml:space="preserve">PhD </w:t>
      </w:r>
      <w:r w:rsidR="00D14CE7">
        <w:rPr>
          <w:rFonts w:ascii="Times New Roman" w:hAnsi="Times New Roman" w:cs="Times New Roman"/>
          <w:sz w:val="24"/>
          <w:szCs w:val="24"/>
        </w:rPr>
        <w:t>study</w:t>
      </w:r>
      <w:r w:rsidR="00DE4BD0">
        <w:rPr>
          <w:rFonts w:ascii="Times New Roman" w:hAnsi="Times New Roman" w:cs="Times New Roman"/>
          <w:sz w:val="24"/>
          <w:szCs w:val="24"/>
        </w:rPr>
        <w:t xml:space="preserve"> only</w:t>
      </w:r>
      <w:r w:rsidR="00D14CE7">
        <w:rPr>
          <w:rFonts w:ascii="Times New Roman" w:hAnsi="Times New Roman" w:cs="Times New Roman"/>
          <w:sz w:val="24"/>
          <w:szCs w:val="24"/>
        </w:rPr>
        <w:t>.</w:t>
      </w:r>
      <w:r w:rsidR="00387132">
        <w:rPr>
          <w:rFonts w:ascii="Times New Roman" w:hAnsi="Times New Roman" w:cs="Times New Roman"/>
          <w:sz w:val="24"/>
          <w:szCs w:val="24"/>
        </w:rPr>
        <w:t xml:space="preserve">  Similar </w:t>
      </w:r>
      <w:r w:rsidR="00F44CD2">
        <w:rPr>
          <w:rFonts w:ascii="Times New Roman" w:hAnsi="Times New Roman" w:cs="Times New Roman"/>
          <w:sz w:val="24"/>
          <w:szCs w:val="24"/>
        </w:rPr>
        <w:t>allocations</w:t>
      </w:r>
      <w:r w:rsidR="00387132">
        <w:rPr>
          <w:rFonts w:ascii="Times New Roman" w:hAnsi="Times New Roman" w:cs="Times New Roman"/>
          <w:sz w:val="24"/>
          <w:szCs w:val="24"/>
        </w:rPr>
        <w:t>, or a variation of them (with justifications supplied)</w:t>
      </w:r>
      <w:r w:rsidR="00F44CD2">
        <w:rPr>
          <w:rFonts w:ascii="Times New Roman" w:hAnsi="Times New Roman" w:cs="Times New Roman"/>
          <w:sz w:val="24"/>
          <w:szCs w:val="24"/>
        </w:rPr>
        <w:t xml:space="preserve"> should be used </w:t>
      </w:r>
      <w:r w:rsidR="00387132">
        <w:rPr>
          <w:rFonts w:ascii="Times New Roman" w:hAnsi="Times New Roman" w:cs="Times New Roman"/>
          <w:sz w:val="24"/>
          <w:szCs w:val="24"/>
        </w:rPr>
        <w:t>for supervising Honours or Masters dissertations.</w:t>
      </w:r>
    </w:p>
    <w:p w:rsidR="00E4552D" w:rsidRPr="00B36A1C" w:rsidRDefault="00E4552D" w:rsidP="00D14CE7">
      <w:pPr>
        <w:tabs>
          <w:tab w:val="left" w:pos="851"/>
          <w:tab w:val="left" w:pos="6804"/>
        </w:tabs>
        <w:spacing w:after="0" w:line="240" w:lineRule="auto"/>
        <w:contextualSpacing/>
        <w:jc w:val="both"/>
        <w:rPr>
          <w:rFonts w:ascii="Times New Roman" w:hAnsi="Times New Roman" w:cs="Times New Roman"/>
          <w:sz w:val="32"/>
          <w:szCs w:val="32"/>
        </w:rPr>
      </w:pPr>
    </w:p>
    <w:p w:rsidR="00D14CE7" w:rsidRDefault="00D14CE7" w:rsidP="00A903E2">
      <w:pPr>
        <w:spacing w:after="0"/>
        <w:jc w:val="both"/>
        <w:rPr>
          <w:rFonts w:ascii="Times New Roman" w:hAnsi="Times New Roman" w:cs="Times New Roman"/>
          <w:b/>
          <w:sz w:val="24"/>
          <w:szCs w:val="24"/>
        </w:rPr>
      </w:pPr>
      <w:r w:rsidRPr="00075245">
        <w:rPr>
          <w:rFonts w:ascii="Times New Roman" w:hAnsi="Times New Roman" w:cs="Times New Roman"/>
          <w:b/>
          <w:sz w:val="24"/>
          <w:szCs w:val="24"/>
        </w:rPr>
        <w:t>6. Research</w:t>
      </w:r>
      <w:r w:rsidR="00075245" w:rsidRPr="00075245">
        <w:rPr>
          <w:rFonts w:ascii="Times New Roman" w:hAnsi="Times New Roman" w:cs="Times New Roman"/>
          <w:b/>
          <w:sz w:val="24"/>
          <w:szCs w:val="24"/>
        </w:rPr>
        <w:t>/Knowledge Exchange</w:t>
      </w:r>
      <w:r w:rsidRPr="00075245">
        <w:rPr>
          <w:rFonts w:ascii="Times New Roman" w:hAnsi="Times New Roman" w:cs="Times New Roman"/>
          <w:b/>
          <w:sz w:val="24"/>
          <w:szCs w:val="24"/>
        </w:rPr>
        <w:t>-related Responsib</w:t>
      </w:r>
      <w:r w:rsidR="00E24B5C">
        <w:rPr>
          <w:rFonts w:ascii="Times New Roman" w:hAnsi="Times New Roman" w:cs="Times New Roman"/>
          <w:b/>
          <w:sz w:val="24"/>
          <w:szCs w:val="24"/>
        </w:rPr>
        <w:t>ilities</w:t>
      </w:r>
    </w:p>
    <w:p w:rsidR="00FE76C3" w:rsidRDefault="00D706AC" w:rsidP="00E24B5C">
      <w:pPr>
        <w:tabs>
          <w:tab w:val="left" w:pos="851"/>
          <w:tab w:val="left" w:pos="680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E24B5C" w:rsidRPr="00E24B5C">
        <w:rPr>
          <w:rFonts w:ascii="Times New Roman" w:hAnsi="Times New Roman" w:cs="Times New Roman"/>
          <w:sz w:val="24"/>
          <w:szCs w:val="24"/>
        </w:rPr>
        <w:t xml:space="preserve">allocation by managers of time to be deployed on research </w:t>
      </w:r>
      <w:r w:rsidR="006970D2">
        <w:rPr>
          <w:rFonts w:ascii="Times New Roman" w:hAnsi="Times New Roman" w:cs="Times New Roman"/>
          <w:sz w:val="24"/>
          <w:szCs w:val="24"/>
        </w:rPr>
        <w:t xml:space="preserve">and knowledge exchange activities </w:t>
      </w:r>
      <w:r w:rsidR="00E24B5C" w:rsidRPr="00E24B5C">
        <w:rPr>
          <w:rFonts w:ascii="Times New Roman" w:hAnsi="Times New Roman" w:cs="Times New Roman"/>
          <w:sz w:val="24"/>
          <w:szCs w:val="24"/>
        </w:rPr>
        <w:t>should take account of the ability of individual colleagues to contribute to their School’s research activities.</w:t>
      </w:r>
      <w:r w:rsidR="00E24B5C">
        <w:rPr>
          <w:rFonts w:ascii="Times New Roman" w:hAnsi="Times New Roman" w:cs="Times New Roman"/>
          <w:sz w:val="24"/>
          <w:szCs w:val="24"/>
        </w:rPr>
        <w:t xml:space="preserve"> Against that background</w:t>
      </w:r>
      <w:r w:rsidR="00DE4BD0">
        <w:rPr>
          <w:rFonts w:ascii="Times New Roman" w:hAnsi="Times New Roman" w:cs="Times New Roman"/>
          <w:sz w:val="24"/>
          <w:szCs w:val="24"/>
        </w:rPr>
        <w:t>,</w:t>
      </w:r>
      <w:r w:rsidR="00E24B5C">
        <w:rPr>
          <w:rFonts w:ascii="Times New Roman" w:hAnsi="Times New Roman" w:cs="Times New Roman"/>
          <w:sz w:val="24"/>
          <w:szCs w:val="24"/>
        </w:rPr>
        <w:t xml:space="preserve"> </w:t>
      </w:r>
      <w:r w:rsidR="00FE76C3">
        <w:rPr>
          <w:rFonts w:ascii="Times New Roman" w:hAnsi="Times New Roman" w:cs="Times New Roman"/>
          <w:sz w:val="24"/>
          <w:szCs w:val="24"/>
        </w:rPr>
        <w:t>a</w:t>
      </w:r>
      <w:r w:rsidR="00E24B5C" w:rsidRPr="00E24B5C">
        <w:rPr>
          <w:rFonts w:ascii="Times New Roman" w:hAnsi="Times New Roman" w:cs="Times New Roman"/>
          <w:sz w:val="24"/>
          <w:szCs w:val="24"/>
        </w:rPr>
        <w:t xml:space="preserve"> typical academic performing to a </w:t>
      </w:r>
      <w:r w:rsidR="00494CC3">
        <w:rPr>
          <w:rFonts w:ascii="Times New Roman" w:hAnsi="Times New Roman" w:cs="Times New Roman"/>
          <w:sz w:val="24"/>
          <w:szCs w:val="24"/>
        </w:rPr>
        <w:t>satisfactory</w:t>
      </w:r>
      <w:r w:rsidR="00E24B5C" w:rsidRPr="00E24B5C">
        <w:rPr>
          <w:rFonts w:ascii="Times New Roman" w:hAnsi="Times New Roman" w:cs="Times New Roman"/>
          <w:sz w:val="24"/>
          <w:szCs w:val="24"/>
        </w:rPr>
        <w:t xml:space="preserve"> standard across the full range of academic activities </w:t>
      </w:r>
      <w:r w:rsidR="00FE76C3">
        <w:rPr>
          <w:rFonts w:ascii="Times New Roman" w:hAnsi="Times New Roman" w:cs="Times New Roman"/>
          <w:sz w:val="24"/>
          <w:szCs w:val="24"/>
        </w:rPr>
        <w:t xml:space="preserve">would </w:t>
      </w:r>
      <w:r w:rsidR="001B7FF3">
        <w:rPr>
          <w:rFonts w:ascii="Times New Roman" w:hAnsi="Times New Roman" w:cs="Times New Roman"/>
          <w:sz w:val="24"/>
          <w:szCs w:val="24"/>
        </w:rPr>
        <w:t xml:space="preserve">normally </w:t>
      </w:r>
      <w:r w:rsidR="00FE76C3">
        <w:rPr>
          <w:rFonts w:ascii="Times New Roman" w:hAnsi="Times New Roman" w:cs="Times New Roman"/>
          <w:sz w:val="24"/>
          <w:szCs w:val="24"/>
        </w:rPr>
        <w:t>have</w:t>
      </w:r>
      <w:r w:rsidR="00E24B5C" w:rsidRPr="00E24B5C">
        <w:rPr>
          <w:rFonts w:ascii="Times New Roman" w:hAnsi="Times New Roman" w:cs="Times New Roman"/>
          <w:sz w:val="24"/>
          <w:szCs w:val="24"/>
        </w:rPr>
        <w:t xml:space="preserve"> an allocation of </w:t>
      </w:r>
      <w:r w:rsidR="00FE76C3">
        <w:rPr>
          <w:rFonts w:ascii="Times New Roman" w:hAnsi="Times New Roman" w:cs="Times New Roman"/>
          <w:sz w:val="24"/>
          <w:szCs w:val="24"/>
        </w:rPr>
        <w:t>40</w:t>
      </w:r>
      <w:r w:rsidR="00E24B5C" w:rsidRPr="00E24B5C">
        <w:rPr>
          <w:rFonts w:ascii="Times New Roman" w:hAnsi="Times New Roman" w:cs="Times New Roman"/>
          <w:sz w:val="24"/>
          <w:szCs w:val="24"/>
        </w:rPr>
        <w:t xml:space="preserve">% of their time </w:t>
      </w:r>
      <w:r w:rsidR="00FE76C3">
        <w:rPr>
          <w:rFonts w:ascii="Times New Roman" w:hAnsi="Times New Roman" w:cs="Times New Roman"/>
          <w:sz w:val="24"/>
          <w:szCs w:val="24"/>
        </w:rPr>
        <w:t>for</w:t>
      </w:r>
      <w:r w:rsidR="00E24B5C" w:rsidRPr="00E24B5C">
        <w:rPr>
          <w:rFonts w:ascii="Times New Roman" w:hAnsi="Times New Roman" w:cs="Times New Roman"/>
          <w:sz w:val="24"/>
          <w:szCs w:val="24"/>
        </w:rPr>
        <w:t xml:space="preserve"> research</w:t>
      </w:r>
      <w:r w:rsidR="00DE4BD0">
        <w:rPr>
          <w:rFonts w:ascii="Times New Roman" w:hAnsi="Times New Roman" w:cs="Times New Roman"/>
          <w:sz w:val="24"/>
          <w:szCs w:val="24"/>
        </w:rPr>
        <w:t xml:space="preserve"> </w:t>
      </w:r>
      <w:r w:rsidR="00DE4BD0" w:rsidRPr="00B8586F">
        <w:rPr>
          <w:rFonts w:ascii="Times New Roman" w:hAnsi="Times New Roman" w:cs="Times New Roman"/>
          <w:sz w:val="24"/>
          <w:szCs w:val="24"/>
        </w:rPr>
        <w:t xml:space="preserve">(inclusive of </w:t>
      </w:r>
      <w:r w:rsidR="00D51877">
        <w:rPr>
          <w:rFonts w:ascii="Times New Roman" w:hAnsi="Times New Roman" w:cs="Times New Roman"/>
          <w:sz w:val="24"/>
          <w:szCs w:val="24"/>
        </w:rPr>
        <w:t>the allocation of time for</w:t>
      </w:r>
      <w:r w:rsidR="00DE4BD0" w:rsidRPr="00B8586F">
        <w:rPr>
          <w:rFonts w:ascii="Times New Roman" w:hAnsi="Times New Roman" w:cs="Times New Roman"/>
          <w:sz w:val="24"/>
          <w:szCs w:val="24"/>
        </w:rPr>
        <w:t xml:space="preserve"> engagement in </w:t>
      </w:r>
      <w:r w:rsidR="00DE4BD0">
        <w:rPr>
          <w:rFonts w:ascii="Times New Roman" w:hAnsi="Times New Roman" w:cs="Times New Roman"/>
          <w:sz w:val="24"/>
          <w:szCs w:val="24"/>
        </w:rPr>
        <w:t xml:space="preserve">research-related </w:t>
      </w:r>
      <w:r w:rsidR="00DE4BD0" w:rsidRPr="00B8586F">
        <w:rPr>
          <w:rFonts w:ascii="Times New Roman" w:hAnsi="Times New Roman" w:cs="Times New Roman"/>
          <w:sz w:val="24"/>
          <w:szCs w:val="24"/>
        </w:rPr>
        <w:t>professional development)</w:t>
      </w:r>
      <w:r w:rsidR="00E24B5C" w:rsidRPr="00E24B5C">
        <w:rPr>
          <w:rFonts w:ascii="Times New Roman" w:hAnsi="Times New Roman" w:cs="Times New Roman"/>
          <w:sz w:val="24"/>
          <w:szCs w:val="24"/>
        </w:rPr>
        <w:t xml:space="preserve">.  </w:t>
      </w:r>
      <w:r w:rsidR="00FE76C3">
        <w:rPr>
          <w:rFonts w:ascii="Times New Roman" w:hAnsi="Times New Roman" w:cs="Times New Roman"/>
          <w:sz w:val="24"/>
          <w:szCs w:val="24"/>
        </w:rPr>
        <w:t xml:space="preserve">But </w:t>
      </w:r>
      <w:r w:rsidR="001B7FF3">
        <w:rPr>
          <w:rFonts w:ascii="Times New Roman" w:hAnsi="Times New Roman" w:cs="Times New Roman"/>
          <w:sz w:val="24"/>
          <w:szCs w:val="24"/>
        </w:rPr>
        <w:t xml:space="preserve">that </w:t>
      </w:r>
      <w:r w:rsidR="00FE76C3">
        <w:rPr>
          <w:rFonts w:ascii="Times New Roman" w:hAnsi="Times New Roman" w:cs="Times New Roman"/>
          <w:sz w:val="24"/>
          <w:szCs w:val="24"/>
        </w:rPr>
        <w:t>would be an allocation made by the</w:t>
      </w:r>
      <w:r w:rsidR="006970D2">
        <w:rPr>
          <w:rFonts w:ascii="Times New Roman" w:hAnsi="Times New Roman" w:cs="Times New Roman"/>
          <w:sz w:val="24"/>
          <w:szCs w:val="24"/>
        </w:rPr>
        <w:t>ir</w:t>
      </w:r>
      <w:r w:rsidR="00FE76C3">
        <w:rPr>
          <w:rFonts w:ascii="Times New Roman" w:hAnsi="Times New Roman" w:cs="Times New Roman"/>
          <w:sz w:val="24"/>
          <w:szCs w:val="24"/>
        </w:rPr>
        <w:t xml:space="preserve"> </w:t>
      </w:r>
      <w:r w:rsidR="006970D2">
        <w:rPr>
          <w:rFonts w:ascii="Times New Roman" w:hAnsi="Times New Roman" w:cs="Times New Roman"/>
          <w:sz w:val="24"/>
          <w:szCs w:val="24"/>
        </w:rPr>
        <w:t>manager(s)</w:t>
      </w:r>
      <w:r w:rsidR="00E24B5C" w:rsidRPr="00E24B5C">
        <w:rPr>
          <w:rFonts w:ascii="Times New Roman" w:hAnsi="Times New Roman" w:cs="Times New Roman"/>
          <w:sz w:val="24"/>
          <w:szCs w:val="24"/>
        </w:rPr>
        <w:t xml:space="preserve">, </w:t>
      </w:r>
      <w:r w:rsidR="00FE76C3">
        <w:rPr>
          <w:rFonts w:ascii="Times New Roman" w:hAnsi="Times New Roman" w:cs="Times New Roman"/>
          <w:sz w:val="24"/>
          <w:szCs w:val="24"/>
        </w:rPr>
        <w:t>and could</w:t>
      </w:r>
      <w:r w:rsidR="00E24B5C" w:rsidRPr="00E24B5C">
        <w:rPr>
          <w:rFonts w:ascii="Times New Roman" w:hAnsi="Times New Roman" w:cs="Times New Roman"/>
          <w:sz w:val="24"/>
          <w:szCs w:val="24"/>
        </w:rPr>
        <w:t xml:space="preserve"> not be regarded as a</w:t>
      </w:r>
      <w:r w:rsidR="001B7FF3">
        <w:rPr>
          <w:rFonts w:ascii="Times New Roman" w:hAnsi="Times New Roman" w:cs="Times New Roman"/>
          <w:sz w:val="24"/>
          <w:szCs w:val="24"/>
        </w:rPr>
        <w:t xml:space="preserve"> contractual</w:t>
      </w:r>
      <w:r w:rsidR="00E24B5C" w:rsidRPr="00E24B5C">
        <w:rPr>
          <w:rFonts w:ascii="Times New Roman" w:hAnsi="Times New Roman" w:cs="Times New Roman"/>
          <w:sz w:val="24"/>
          <w:szCs w:val="24"/>
        </w:rPr>
        <w:t xml:space="preserve"> entitlement</w:t>
      </w:r>
      <w:r w:rsidR="00FE76C3">
        <w:rPr>
          <w:rFonts w:ascii="Times New Roman" w:hAnsi="Times New Roman" w:cs="Times New Roman"/>
          <w:sz w:val="24"/>
          <w:szCs w:val="24"/>
        </w:rPr>
        <w:t>.</w:t>
      </w:r>
    </w:p>
    <w:p w:rsidR="00FE76C3" w:rsidRPr="002A7C59" w:rsidRDefault="00FE76C3" w:rsidP="00E24B5C">
      <w:pPr>
        <w:tabs>
          <w:tab w:val="left" w:pos="851"/>
          <w:tab w:val="left" w:pos="6804"/>
        </w:tabs>
        <w:spacing w:after="0" w:line="240" w:lineRule="auto"/>
        <w:contextualSpacing/>
        <w:jc w:val="both"/>
        <w:rPr>
          <w:rFonts w:ascii="Times New Roman" w:hAnsi="Times New Roman" w:cs="Times New Roman"/>
          <w:sz w:val="16"/>
          <w:szCs w:val="16"/>
        </w:rPr>
      </w:pPr>
    </w:p>
    <w:p w:rsidR="00E24B5C" w:rsidRDefault="00D706AC" w:rsidP="00E24B5C">
      <w:pPr>
        <w:tabs>
          <w:tab w:val="left" w:pos="851"/>
          <w:tab w:val="left" w:pos="680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w:t>
      </w:r>
      <w:r w:rsidR="00E24B5C" w:rsidRPr="00E24B5C">
        <w:rPr>
          <w:rFonts w:ascii="Times New Roman" w:hAnsi="Times New Roman" w:cs="Times New Roman"/>
          <w:sz w:val="24"/>
          <w:szCs w:val="24"/>
        </w:rPr>
        <w:t>or those colleagues less able to contribute to the</w:t>
      </w:r>
      <w:r w:rsidR="00FE76C3">
        <w:rPr>
          <w:rFonts w:ascii="Times New Roman" w:hAnsi="Times New Roman" w:cs="Times New Roman"/>
          <w:sz w:val="24"/>
          <w:szCs w:val="24"/>
        </w:rPr>
        <w:t>ir</w:t>
      </w:r>
      <w:r w:rsidR="00E24B5C" w:rsidRPr="00E24B5C">
        <w:rPr>
          <w:rFonts w:ascii="Times New Roman" w:hAnsi="Times New Roman" w:cs="Times New Roman"/>
          <w:sz w:val="24"/>
          <w:szCs w:val="24"/>
        </w:rPr>
        <w:t xml:space="preserve"> School’s research activities a lower allocation </w:t>
      </w:r>
      <w:r w:rsidR="00DE4BD0">
        <w:rPr>
          <w:rFonts w:ascii="Times New Roman" w:hAnsi="Times New Roman" w:cs="Times New Roman"/>
          <w:sz w:val="24"/>
          <w:szCs w:val="24"/>
        </w:rPr>
        <w:t xml:space="preserve">than 40% of their deployable time </w:t>
      </w:r>
      <w:r w:rsidR="00FE76C3">
        <w:rPr>
          <w:rFonts w:ascii="Times New Roman" w:hAnsi="Times New Roman" w:cs="Times New Roman"/>
          <w:sz w:val="24"/>
          <w:szCs w:val="24"/>
        </w:rPr>
        <w:t>would</w:t>
      </w:r>
      <w:r w:rsidR="00E24B5C" w:rsidRPr="00E24B5C">
        <w:rPr>
          <w:rFonts w:ascii="Times New Roman" w:hAnsi="Times New Roman" w:cs="Times New Roman"/>
          <w:sz w:val="24"/>
          <w:szCs w:val="24"/>
        </w:rPr>
        <w:t xml:space="preserve"> be more suitable, and for research-inactive colleagues </w:t>
      </w:r>
      <w:r w:rsidR="00FE76C3">
        <w:rPr>
          <w:rFonts w:ascii="Times New Roman" w:hAnsi="Times New Roman" w:cs="Times New Roman"/>
          <w:sz w:val="24"/>
          <w:szCs w:val="24"/>
        </w:rPr>
        <w:t>an</w:t>
      </w:r>
      <w:r w:rsidR="00E24B5C" w:rsidRPr="00E24B5C">
        <w:rPr>
          <w:rFonts w:ascii="Times New Roman" w:hAnsi="Times New Roman" w:cs="Times New Roman"/>
          <w:sz w:val="24"/>
          <w:szCs w:val="24"/>
        </w:rPr>
        <w:t xml:space="preserve"> allocation </w:t>
      </w:r>
      <w:r w:rsidR="00DE4BD0">
        <w:rPr>
          <w:rFonts w:ascii="Times New Roman" w:hAnsi="Times New Roman" w:cs="Times New Roman"/>
          <w:sz w:val="24"/>
          <w:szCs w:val="24"/>
        </w:rPr>
        <w:t xml:space="preserve">of deployable time </w:t>
      </w:r>
      <w:r w:rsidR="00FE76C3">
        <w:rPr>
          <w:rFonts w:ascii="Times New Roman" w:hAnsi="Times New Roman" w:cs="Times New Roman"/>
          <w:sz w:val="24"/>
          <w:szCs w:val="24"/>
        </w:rPr>
        <w:t xml:space="preserve">for scholarly engagement </w:t>
      </w:r>
      <w:r>
        <w:rPr>
          <w:rFonts w:ascii="Times New Roman" w:hAnsi="Times New Roman" w:cs="Times New Roman"/>
          <w:sz w:val="24"/>
          <w:szCs w:val="24"/>
        </w:rPr>
        <w:t>would</w:t>
      </w:r>
      <w:r w:rsidR="00E24B5C" w:rsidRPr="00E24B5C">
        <w:rPr>
          <w:rFonts w:ascii="Times New Roman" w:hAnsi="Times New Roman" w:cs="Times New Roman"/>
          <w:sz w:val="24"/>
          <w:szCs w:val="24"/>
        </w:rPr>
        <w:t xml:space="preserve"> be appropriate.  Accordingly, </w:t>
      </w:r>
      <w:r w:rsidR="00FE76C3">
        <w:rPr>
          <w:rFonts w:ascii="Times New Roman" w:hAnsi="Times New Roman" w:cs="Times New Roman"/>
          <w:sz w:val="24"/>
          <w:szCs w:val="24"/>
        </w:rPr>
        <w:t xml:space="preserve">the guiding principle for our </w:t>
      </w:r>
      <w:r>
        <w:rPr>
          <w:rFonts w:ascii="Times New Roman" w:hAnsi="Times New Roman" w:cs="Times New Roman"/>
          <w:sz w:val="24"/>
          <w:szCs w:val="24"/>
        </w:rPr>
        <w:t xml:space="preserve">College-wide </w:t>
      </w:r>
      <w:r w:rsidR="00FE76C3">
        <w:rPr>
          <w:rFonts w:ascii="Times New Roman" w:hAnsi="Times New Roman" w:cs="Times New Roman"/>
          <w:sz w:val="24"/>
          <w:szCs w:val="24"/>
        </w:rPr>
        <w:t xml:space="preserve">WAM </w:t>
      </w:r>
      <w:r w:rsidR="00DE4BD0">
        <w:rPr>
          <w:rFonts w:ascii="Times New Roman" w:hAnsi="Times New Roman" w:cs="Times New Roman"/>
          <w:sz w:val="24"/>
          <w:szCs w:val="24"/>
        </w:rPr>
        <w:t>is</w:t>
      </w:r>
      <w:r w:rsidR="00E24B5C" w:rsidRPr="00E24B5C">
        <w:rPr>
          <w:rFonts w:ascii="Times New Roman" w:hAnsi="Times New Roman" w:cs="Times New Roman"/>
          <w:sz w:val="24"/>
          <w:szCs w:val="24"/>
        </w:rPr>
        <w:t xml:space="preserve"> that the time allocated to research </w:t>
      </w:r>
      <w:r w:rsidR="006970D2">
        <w:rPr>
          <w:rFonts w:ascii="Times New Roman" w:hAnsi="Times New Roman" w:cs="Times New Roman"/>
          <w:sz w:val="24"/>
          <w:szCs w:val="24"/>
        </w:rPr>
        <w:t xml:space="preserve">and knowledge exchange </w:t>
      </w:r>
      <w:r w:rsidR="00E24B5C" w:rsidRPr="00E24B5C">
        <w:rPr>
          <w:rFonts w:ascii="Times New Roman" w:hAnsi="Times New Roman" w:cs="Times New Roman"/>
          <w:sz w:val="24"/>
          <w:szCs w:val="24"/>
        </w:rPr>
        <w:t>activities should be considered on an individual basis</w:t>
      </w:r>
      <w:r w:rsidR="00FE76C3">
        <w:rPr>
          <w:rFonts w:ascii="Times New Roman" w:hAnsi="Times New Roman" w:cs="Times New Roman"/>
          <w:sz w:val="24"/>
          <w:szCs w:val="24"/>
        </w:rPr>
        <w:t>,</w:t>
      </w:r>
      <w:r w:rsidR="00E24B5C" w:rsidRPr="00E24B5C">
        <w:rPr>
          <w:rFonts w:ascii="Times New Roman" w:hAnsi="Times New Roman" w:cs="Times New Roman"/>
          <w:sz w:val="24"/>
          <w:szCs w:val="24"/>
        </w:rPr>
        <w:t xml:space="preserve"> and could reasonably vary within a range from </w:t>
      </w:r>
      <w:r w:rsidR="00FE76C3">
        <w:rPr>
          <w:rFonts w:ascii="Times New Roman" w:hAnsi="Times New Roman" w:cs="Times New Roman"/>
          <w:sz w:val="24"/>
          <w:szCs w:val="24"/>
        </w:rPr>
        <w:t>5</w:t>
      </w:r>
      <w:r w:rsidR="00E24B5C" w:rsidRPr="00E24B5C">
        <w:rPr>
          <w:rFonts w:ascii="Times New Roman" w:hAnsi="Times New Roman" w:cs="Times New Roman"/>
          <w:sz w:val="24"/>
          <w:szCs w:val="24"/>
        </w:rPr>
        <w:t xml:space="preserve">% to </w:t>
      </w:r>
      <w:r w:rsidR="00D51877">
        <w:rPr>
          <w:rFonts w:ascii="Times New Roman" w:hAnsi="Times New Roman" w:cs="Times New Roman"/>
          <w:sz w:val="24"/>
          <w:szCs w:val="24"/>
        </w:rPr>
        <w:t>45/</w:t>
      </w:r>
      <w:r w:rsidR="00A903E2">
        <w:rPr>
          <w:rFonts w:ascii="Times New Roman" w:hAnsi="Times New Roman" w:cs="Times New Roman"/>
          <w:sz w:val="24"/>
          <w:szCs w:val="24"/>
        </w:rPr>
        <w:t>5</w:t>
      </w:r>
      <w:r w:rsidR="00494CC3">
        <w:rPr>
          <w:rFonts w:ascii="Times New Roman" w:hAnsi="Times New Roman" w:cs="Times New Roman"/>
          <w:sz w:val="24"/>
          <w:szCs w:val="24"/>
        </w:rPr>
        <w:t>0</w:t>
      </w:r>
      <w:r w:rsidR="00E24B5C" w:rsidRPr="00E24B5C">
        <w:rPr>
          <w:rFonts w:ascii="Times New Roman" w:hAnsi="Times New Roman" w:cs="Times New Roman"/>
          <w:sz w:val="24"/>
          <w:szCs w:val="24"/>
        </w:rPr>
        <w:t xml:space="preserve">% of </w:t>
      </w:r>
      <w:r w:rsidR="00DE4BD0">
        <w:rPr>
          <w:rFonts w:ascii="Times New Roman" w:hAnsi="Times New Roman" w:cs="Times New Roman"/>
          <w:sz w:val="24"/>
          <w:szCs w:val="24"/>
        </w:rPr>
        <w:t xml:space="preserve">an individual academic’s </w:t>
      </w:r>
      <w:r w:rsidR="00E24B5C" w:rsidRPr="00E24B5C">
        <w:rPr>
          <w:rFonts w:ascii="Times New Roman" w:hAnsi="Times New Roman" w:cs="Times New Roman"/>
          <w:sz w:val="24"/>
          <w:szCs w:val="24"/>
        </w:rPr>
        <w:t>deployable time</w:t>
      </w:r>
      <w:r w:rsidR="006970D2">
        <w:rPr>
          <w:rFonts w:ascii="Times New Roman" w:hAnsi="Times New Roman" w:cs="Times New Roman"/>
          <w:sz w:val="24"/>
          <w:szCs w:val="24"/>
        </w:rPr>
        <w:t xml:space="preserve"> (unless they are bought-out for all or part of their contracted time, when a larger overall allocation of research time would be possible)</w:t>
      </w:r>
      <w:r w:rsidR="00E24B5C" w:rsidRPr="00E24B5C">
        <w:rPr>
          <w:rFonts w:ascii="Times New Roman" w:hAnsi="Times New Roman" w:cs="Times New Roman"/>
          <w:sz w:val="24"/>
          <w:szCs w:val="24"/>
        </w:rPr>
        <w:t>.</w:t>
      </w:r>
    </w:p>
    <w:p w:rsidR="00BB2977" w:rsidRPr="00B36A1C" w:rsidRDefault="00BB2977" w:rsidP="00E24B5C">
      <w:pPr>
        <w:tabs>
          <w:tab w:val="left" w:pos="851"/>
          <w:tab w:val="left" w:pos="6804"/>
        </w:tabs>
        <w:spacing w:after="0" w:line="240" w:lineRule="auto"/>
        <w:contextualSpacing/>
        <w:jc w:val="both"/>
        <w:rPr>
          <w:rFonts w:ascii="Times New Roman" w:hAnsi="Times New Roman" w:cs="Times New Roman"/>
          <w:sz w:val="32"/>
          <w:szCs w:val="32"/>
        </w:rPr>
      </w:pPr>
    </w:p>
    <w:p w:rsidR="002A7C59" w:rsidRPr="002A7C59" w:rsidRDefault="002A7C59" w:rsidP="001C70FF">
      <w:pPr>
        <w:spacing w:after="0"/>
        <w:jc w:val="both"/>
        <w:rPr>
          <w:rFonts w:ascii="Times New Roman" w:hAnsi="Times New Roman" w:cs="Times New Roman"/>
          <w:b/>
          <w:sz w:val="24"/>
          <w:szCs w:val="24"/>
        </w:rPr>
      </w:pPr>
      <w:r w:rsidRPr="002A7C59">
        <w:rPr>
          <w:rFonts w:ascii="Times New Roman" w:hAnsi="Times New Roman" w:cs="Times New Roman"/>
          <w:b/>
          <w:sz w:val="24"/>
          <w:szCs w:val="24"/>
        </w:rPr>
        <w:t>7. Management Responsibilities</w:t>
      </w:r>
    </w:p>
    <w:p w:rsidR="002A7C59" w:rsidRPr="00420AAC" w:rsidRDefault="002A7C59" w:rsidP="001C70FF">
      <w:pPr>
        <w:spacing w:after="0"/>
        <w:jc w:val="both"/>
        <w:rPr>
          <w:rFonts w:ascii="Times New Roman" w:hAnsi="Times New Roman" w:cs="Times New Roman"/>
          <w:sz w:val="12"/>
          <w:szCs w:val="12"/>
        </w:rPr>
      </w:pPr>
    </w:p>
    <w:p w:rsidR="002A7C59" w:rsidRPr="00A903E2" w:rsidRDefault="00420AAC" w:rsidP="001C70FF">
      <w:pPr>
        <w:spacing w:after="0"/>
        <w:jc w:val="both"/>
        <w:rPr>
          <w:rFonts w:ascii="Times New Roman" w:hAnsi="Times New Roman" w:cs="Times New Roman"/>
          <w:b/>
          <w:i/>
          <w:sz w:val="24"/>
          <w:szCs w:val="24"/>
        </w:rPr>
      </w:pPr>
      <w:r w:rsidRPr="00082653">
        <w:rPr>
          <w:rFonts w:ascii="Times New Roman" w:hAnsi="Times New Roman" w:cs="Times New Roman"/>
          <w:b/>
          <w:i/>
          <w:sz w:val="24"/>
          <w:szCs w:val="24"/>
        </w:rPr>
        <w:t>7.1 Head of School Allocation</w:t>
      </w:r>
    </w:p>
    <w:p w:rsidR="00420AAC" w:rsidRDefault="00651C02" w:rsidP="001C70FF">
      <w:pPr>
        <w:spacing w:after="0"/>
        <w:jc w:val="both"/>
        <w:rPr>
          <w:rFonts w:ascii="Times New Roman" w:hAnsi="Times New Roman" w:cs="Times New Roman"/>
          <w:sz w:val="24"/>
          <w:szCs w:val="24"/>
        </w:rPr>
      </w:pPr>
      <w:r>
        <w:rPr>
          <w:rFonts w:ascii="Times New Roman" w:hAnsi="Times New Roman" w:cs="Times New Roman"/>
          <w:sz w:val="24"/>
          <w:szCs w:val="24"/>
        </w:rPr>
        <w:t>T</w:t>
      </w:r>
      <w:r w:rsidR="00C355C5">
        <w:rPr>
          <w:rFonts w:ascii="Times New Roman" w:hAnsi="Times New Roman" w:cs="Times New Roman"/>
          <w:sz w:val="24"/>
          <w:szCs w:val="24"/>
        </w:rPr>
        <w:t xml:space="preserve">he Head of School </w:t>
      </w:r>
      <w:r w:rsidR="00E903BA">
        <w:rPr>
          <w:rFonts w:ascii="Times New Roman" w:hAnsi="Times New Roman" w:cs="Times New Roman"/>
          <w:sz w:val="24"/>
          <w:szCs w:val="24"/>
        </w:rPr>
        <w:t xml:space="preserve">(HoS) </w:t>
      </w:r>
      <w:r w:rsidR="00C355C5">
        <w:rPr>
          <w:rFonts w:ascii="Times New Roman" w:hAnsi="Times New Roman" w:cs="Times New Roman"/>
          <w:sz w:val="24"/>
          <w:szCs w:val="24"/>
        </w:rPr>
        <w:t>allocation should be 80% of total time available,</w:t>
      </w:r>
      <w:r w:rsidR="000527DE">
        <w:rPr>
          <w:rFonts w:ascii="Times New Roman" w:hAnsi="Times New Roman" w:cs="Times New Roman"/>
          <w:sz w:val="24"/>
          <w:szCs w:val="24"/>
        </w:rPr>
        <w:t xml:space="preserve"> irrespective of size of School; that is, 1230 hours per year. The other management and administrative roles described below are calibrated against this HoS time allocation.</w:t>
      </w:r>
    </w:p>
    <w:p w:rsidR="00420AAC" w:rsidRPr="00420AAC" w:rsidRDefault="00420AAC" w:rsidP="001C70FF">
      <w:pPr>
        <w:spacing w:after="0"/>
        <w:jc w:val="both"/>
        <w:rPr>
          <w:rFonts w:ascii="Times New Roman" w:hAnsi="Times New Roman" w:cs="Times New Roman"/>
          <w:sz w:val="20"/>
          <w:szCs w:val="20"/>
        </w:rPr>
      </w:pPr>
    </w:p>
    <w:p w:rsidR="00420AAC" w:rsidRPr="00082653" w:rsidRDefault="00420AAC" w:rsidP="001C70FF">
      <w:pPr>
        <w:spacing w:after="0"/>
        <w:jc w:val="both"/>
        <w:rPr>
          <w:rFonts w:ascii="Times New Roman" w:hAnsi="Times New Roman" w:cs="Times New Roman"/>
          <w:b/>
          <w:i/>
          <w:sz w:val="24"/>
          <w:szCs w:val="24"/>
        </w:rPr>
      </w:pPr>
      <w:r w:rsidRPr="00082653">
        <w:rPr>
          <w:rFonts w:ascii="Times New Roman" w:hAnsi="Times New Roman" w:cs="Times New Roman"/>
          <w:b/>
          <w:i/>
          <w:sz w:val="24"/>
          <w:szCs w:val="24"/>
        </w:rPr>
        <w:t>7.2 Other Senior Academic Management Roles</w:t>
      </w:r>
    </w:p>
    <w:p w:rsidR="00420AAC" w:rsidRDefault="00651C02" w:rsidP="001C70FF">
      <w:pPr>
        <w:spacing w:after="0"/>
        <w:jc w:val="both"/>
        <w:rPr>
          <w:rFonts w:ascii="Times New Roman" w:hAnsi="Times New Roman" w:cs="Times New Roman"/>
          <w:sz w:val="24"/>
          <w:szCs w:val="24"/>
        </w:rPr>
      </w:pPr>
      <w:r>
        <w:rPr>
          <w:rFonts w:ascii="Times New Roman" w:hAnsi="Times New Roman" w:cs="Times New Roman"/>
          <w:sz w:val="24"/>
          <w:szCs w:val="24"/>
        </w:rPr>
        <w:t>O</w:t>
      </w:r>
      <w:r w:rsidR="00CD3393">
        <w:rPr>
          <w:rFonts w:ascii="Times New Roman" w:hAnsi="Times New Roman" w:cs="Times New Roman"/>
          <w:sz w:val="24"/>
          <w:szCs w:val="24"/>
        </w:rPr>
        <w:t xml:space="preserve">ther senior academic management roles </w:t>
      </w:r>
      <w:r w:rsidR="00D706AC">
        <w:rPr>
          <w:rFonts w:ascii="Times New Roman" w:hAnsi="Times New Roman" w:cs="Times New Roman"/>
          <w:sz w:val="24"/>
          <w:szCs w:val="24"/>
        </w:rPr>
        <w:t>with</w:t>
      </w:r>
      <w:r w:rsidR="00CD3393">
        <w:rPr>
          <w:rFonts w:ascii="Times New Roman" w:hAnsi="Times New Roman" w:cs="Times New Roman"/>
          <w:sz w:val="24"/>
          <w:szCs w:val="24"/>
        </w:rPr>
        <w:t xml:space="preserve">in a School </w:t>
      </w:r>
      <w:r>
        <w:rPr>
          <w:rFonts w:ascii="Times New Roman" w:hAnsi="Times New Roman" w:cs="Times New Roman"/>
          <w:sz w:val="24"/>
          <w:szCs w:val="24"/>
        </w:rPr>
        <w:t>sh</w:t>
      </w:r>
      <w:r w:rsidR="00CD3393">
        <w:rPr>
          <w:rFonts w:ascii="Times New Roman" w:hAnsi="Times New Roman" w:cs="Times New Roman"/>
          <w:sz w:val="24"/>
          <w:szCs w:val="24"/>
        </w:rPr>
        <w:t xml:space="preserve">ould </w:t>
      </w:r>
      <w:r w:rsidR="00D706AC">
        <w:rPr>
          <w:rFonts w:ascii="Times New Roman" w:hAnsi="Times New Roman" w:cs="Times New Roman"/>
          <w:sz w:val="24"/>
          <w:szCs w:val="24"/>
        </w:rPr>
        <w:t>have a time allocation of</w:t>
      </w:r>
      <w:r w:rsidR="00CD3393">
        <w:rPr>
          <w:rFonts w:ascii="Times New Roman" w:hAnsi="Times New Roman" w:cs="Times New Roman"/>
          <w:sz w:val="24"/>
          <w:szCs w:val="24"/>
        </w:rPr>
        <w:t xml:space="preserve"> 50% of the HoS allocation, or 40% of the total workload</w:t>
      </w:r>
      <w:r w:rsidR="00402D7D">
        <w:rPr>
          <w:rFonts w:ascii="Times New Roman" w:hAnsi="Times New Roman" w:cs="Times New Roman"/>
          <w:sz w:val="24"/>
          <w:szCs w:val="24"/>
        </w:rPr>
        <w:t xml:space="preserve"> (615 hours per year)</w:t>
      </w:r>
      <w:r w:rsidR="006970D2">
        <w:rPr>
          <w:rFonts w:ascii="Times New Roman" w:hAnsi="Times New Roman" w:cs="Times New Roman"/>
          <w:sz w:val="24"/>
          <w:szCs w:val="24"/>
        </w:rPr>
        <w:t>, with the remaining 60% of deployable time split between teaching/student support and research/knowledge exchange in accordance with the principles of this guidance</w:t>
      </w:r>
      <w:r w:rsidR="00CD3393">
        <w:rPr>
          <w:rFonts w:ascii="Times New Roman" w:hAnsi="Times New Roman" w:cs="Times New Roman"/>
          <w:sz w:val="24"/>
          <w:szCs w:val="24"/>
        </w:rPr>
        <w:t>.</w:t>
      </w:r>
      <w:r w:rsidR="00494CC3">
        <w:rPr>
          <w:rFonts w:ascii="Times New Roman" w:hAnsi="Times New Roman" w:cs="Times New Roman"/>
          <w:sz w:val="24"/>
          <w:szCs w:val="24"/>
        </w:rPr>
        <w:t xml:space="preserve"> T</w:t>
      </w:r>
      <w:r w:rsidR="00D706AC">
        <w:rPr>
          <w:rFonts w:ascii="Times New Roman" w:hAnsi="Times New Roman" w:cs="Times New Roman"/>
          <w:sz w:val="24"/>
          <w:szCs w:val="24"/>
        </w:rPr>
        <w:t>he term</w:t>
      </w:r>
      <w:r w:rsidR="00CD3393">
        <w:rPr>
          <w:rFonts w:ascii="Times New Roman" w:hAnsi="Times New Roman" w:cs="Times New Roman"/>
          <w:sz w:val="24"/>
          <w:szCs w:val="24"/>
        </w:rPr>
        <w:t xml:space="preserve"> </w:t>
      </w:r>
      <w:r w:rsidR="00CD3393" w:rsidRPr="00494CC3">
        <w:rPr>
          <w:rFonts w:ascii="Times New Roman" w:hAnsi="Times New Roman" w:cs="Times New Roman"/>
          <w:i/>
          <w:sz w:val="24"/>
          <w:szCs w:val="24"/>
        </w:rPr>
        <w:t>Senior Academic Management Role</w:t>
      </w:r>
      <w:r w:rsidR="00D706AC">
        <w:rPr>
          <w:rFonts w:ascii="Times New Roman" w:hAnsi="Times New Roman" w:cs="Times New Roman"/>
          <w:sz w:val="24"/>
          <w:szCs w:val="24"/>
        </w:rPr>
        <w:t xml:space="preserve"> </w:t>
      </w:r>
      <w:r w:rsidR="00CD3393">
        <w:rPr>
          <w:rFonts w:ascii="Times New Roman" w:hAnsi="Times New Roman" w:cs="Times New Roman"/>
          <w:sz w:val="24"/>
          <w:szCs w:val="24"/>
        </w:rPr>
        <w:t>appl</w:t>
      </w:r>
      <w:r w:rsidR="00494CC3">
        <w:rPr>
          <w:rFonts w:ascii="Times New Roman" w:hAnsi="Times New Roman" w:cs="Times New Roman"/>
          <w:sz w:val="24"/>
          <w:szCs w:val="24"/>
        </w:rPr>
        <w:t>ies</w:t>
      </w:r>
      <w:r w:rsidR="00CD3393">
        <w:rPr>
          <w:rFonts w:ascii="Times New Roman" w:hAnsi="Times New Roman" w:cs="Times New Roman"/>
          <w:sz w:val="24"/>
          <w:szCs w:val="24"/>
        </w:rPr>
        <w:t xml:space="preserve"> to the following roles: </w:t>
      </w:r>
      <w:r w:rsidR="00CD3393" w:rsidRPr="00CD3393">
        <w:rPr>
          <w:rFonts w:ascii="Times New Roman" w:hAnsi="Times New Roman" w:cs="Times New Roman"/>
          <w:sz w:val="24"/>
          <w:szCs w:val="24"/>
        </w:rPr>
        <w:t xml:space="preserve">Head of Department/Subject Area, Undergraduate Director, Postgraduate Director, </w:t>
      </w:r>
      <w:r w:rsidR="00A4177D" w:rsidRPr="00CD3393">
        <w:rPr>
          <w:rFonts w:ascii="Times New Roman" w:hAnsi="Times New Roman" w:cs="Times New Roman"/>
          <w:sz w:val="24"/>
          <w:szCs w:val="24"/>
        </w:rPr>
        <w:t>and Director</w:t>
      </w:r>
      <w:r w:rsidR="00CD3393" w:rsidRPr="00CD3393">
        <w:rPr>
          <w:rFonts w:ascii="Times New Roman" w:hAnsi="Times New Roman" w:cs="Times New Roman"/>
          <w:sz w:val="24"/>
          <w:szCs w:val="24"/>
        </w:rPr>
        <w:t xml:space="preserve"> of Research/Knowledge Exchange</w:t>
      </w:r>
      <w:r w:rsidR="00CD3393">
        <w:rPr>
          <w:rFonts w:ascii="Times New Roman" w:hAnsi="Times New Roman" w:cs="Times New Roman"/>
          <w:sz w:val="24"/>
          <w:szCs w:val="24"/>
        </w:rPr>
        <w:t>.</w:t>
      </w:r>
      <w:r w:rsidR="00611D70">
        <w:rPr>
          <w:rFonts w:ascii="Times New Roman" w:hAnsi="Times New Roman" w:cs="Times New Roman"/>
          <w:sz w:val="24"/>
          <w:szCs w:val="24"/>
        </w:rPr>
        <w:t xml:space="preserve"> These are academic management roles which are required in each School and where </w:t>
      </w:r>
      <w:r w:rsidR="00611D70">
        <w:rPr>
          <w:rFonts w:ascii="Times New Roman" w:hAnsi="Times New Roman" w:cs="Times New Roman"/>
          <w:sz w:val="24"/>
          <w:szCs w:val="24"/>
        </w:rPr>
        <w:lastRenderedPageBreak/>
        <w:t>we have developed common job descriptions and person specifications. Accordingly, they will have similar representational and other responsibilities, irrespective of the size of the School. As such, it makes sense for them to have a standard workload allocation across the College.</w:t>
      </w:r>
    </w:p>
    <w:p w:rsidR="009D28F5" w:rsidRDefault="009D28F5" w:rsidP="001C70FF">
      <w:pPr>
        <w:spacing w:after="0"/>
        <w:jc w:val="both"/>
        <w:rPr>
          <w:rFonts w:ascii="Times New Roman" w:hAnsi="Times New Roman" w:cs="Times New Roman"/>
          <w:sz w:val="24"/>
          <w:szCs w:val="24"/>
        </w:rPr>
      </w:pPr>
    </w:p>
    <w:p w:rsidR="00420AAC" w:rsidRPr="00082653" w:rsidRDefault="00420AAC" w:rsidP="001C70FF">
      <w:pPr>
        <w:spacing w:after="0"/>
        <w:jc w:val="both"/>
        <w:rPr>
          <w:rFonts w:ascii="Times New Roman" w:hAnsi="Times New Roman" w:cs="Times New Roman"/>
          <w:b/>
          <w:i/>
          <w:sz w:val="24"/>
          <w:szCs w:val="24"/>
        </w:rPr>
      </w:pPr>
      <w:r w:rsidRPr="00082653">
        <w:rPr>
          <w:rFonts w:ascii="Times New Roman" w:hAnsi="Times New Roman" w:cs="Times New Roman"/>
          <w:b/>
          <w:i/>
          <w:sz w:val="24"/>
          <w:szCs w:val="24"/>
        </w:rPr>
        <w:t xml:space="preserve">7.3 Other </w:t>
      </w:r>
      <w:r w:rsidR="00611D70">
        <w:rPr>
          <w:rFonts w:ascii="Times New Roman" w:hAnsi="Times New Roman" w:cs="Times New Roman"/>
          <w:b/>
          <w:i/>
          <w:sz w:val="24"/>
          <w:szCs w:val="24"/>
        </w:rPr>
        <w:t>Standard</w:t>
      </w:r>
      <w:r w:rsidR="00E5749F">
        <w:rPr>
          <w:rFonts w:ascii="Times New Roman" w:hAnsi="Times New Roman" w:cs="Times New Roman"/>
          <w:b/>
          <w:i/>
          <w:sz w:val="24"/>
          <w:szCs w:val="24"/>
        </w:rPr>
        <w:t xml:space="preserve"> </w:t>
      </w:r>
      <w:r w:rsidRPr="00082653">
        <w:rPr>
          <w:rFonts w:ascii="Times New Roman" w:hAnsi="Times New Roman" w:cs="Times New Roman"/>
          <w:b/>
          <w:i/>
          <w:sz w:val="24"/>
          <w:szCs w:val="24"/>
        </w:rPr>
        <w:t xml:space="preserve">Academic </w:t>
      </w:r>
      <w:r w:rsidR="00E5749F" w:rsidRPr="00402D7D">
        <w:rPr>
          <w:rFonts w:ascii="Times New Roman" w:hAnsi="Times New Roman" w:cs="Times New Roman"/>
          <w:b/>
          <w:i/>
          <w:sz w:val="24"/>
          <w:szCs w:val="24"/>
        </w:rPr>
        <w:t>Management/Administrative</w:t>
      </w:r>
      <w:r w:rsidRPr="00082653">
        <w:rPr>
          <w:rFonts w:ascii="Times New Roman" w:hAnsi="Times New Roman" w:cs="Times New Roman"/>
          <w:b/>
          <w:i/>
          <w:sz w:val="24"/>
          <w:szCs w:val="24"/>
        </w:rPr>
        <w:t xml:space="preserve"> Roles</w:t>
      </w:r>
    </w:p>
    <w:p w:rsidR="00611D70" w:rsidRDefault="00611D70" w:rsidP="001C70FF">
      <w:pPr>
        <w:spacing w:after="0"/>
        <w:jc w:val="both"/>
        <w:rPr>
          <w:rFonts w:ascii="Times New Roman" w:hAnsi="Times New Roman" w:cs="Times New Roman"/>
          <w:sz w:val="24"/>
          <w:szCs w:val="24"/>
        </w:rPr>
      </w:pPr>
      <w:r>
        <w:rPr>
          <w:rFonts w:ascii="Times New Roman" w:hAnsi="Times New Roman" w:cs="Times New Roman"/>
          <w:sz w:val="24"/>
          <w:szCs w:val="24"/>
        </w:rPr>
        <w:t xml:space="preserve">There </w:t>
      </w:r>
      <w:r w:rsidR="00494CC3">
        <w:rPr>
          <w:rFonts w:ascii="Times New Roman" w:hAnsi="Times New Roman" w:cs="Times New Roman"/>
          <w:sz w:val="24"/>
          <w:szCs w:val="24"/>
        </w:rPr>
        <w:t xml:space="preserve">are </w:t>
      </w:r>
      <w:r>
        <w:rPr>
          <w:rFonts w:ascii="Times New Roman" w:hAnsi="Times New Roman" w:cs="Times New Roman"/>
          <w:sz w:val="24"/>
          <w:szCs w:val="24"/>
        </w:rPr>
        <w:t xml:space="preserve">other standard academic management and administrative roles which are required in each School in the College, where we have common role descriptors and expectations, and which, accordingly, lend themselves to consistent workload allocations. </w:t>
      </w:r>
    </w:p>
    <w:p w:rsidR="00611D70" w:rsidRPr="00611D70" w:rsidRDefault="00611D70" w:rsidP="001C70FF">
      <w:pPr>
        <w:spacing w:after="0"/>
        <w:jc w:val="both"/>
        <w:rPr>
          <w:rFonts w:ascii="Times New Roman" w:hAnsi="Times New Roman" w:cs="Times New Roman"/>
          <w:sz w:val="16"/>
          <w:szCs w:val="16"/>
        </w:rPr>
      </w:pPr>
    </w:p>
    <w:p w:rsidR="00611D70" w:rsidRDefault="00611D70" w:rsidP="00611D70">
      <w:pPr>
        <w:spacing w:after="0"/>
        <w:jc w:val="both"/>
        <w:rPr>
          <w:rFonts w:ascii="Times New Roman" w:hAnsi="Times New Roman" w:cs="Times New Roman"/>
          <w:sz w:val="24"/>
          <w:szCs w:val="24"/>
        </w:rPr>
      </w:pPr>
      <w:r>
        <w:rPr>
          <w:rFonts w:ascii="Times New Roman" w:hAnsi="Times New Roman" w:cs="Times New Roman"/>
          <w:sz w:val="24"/>
          <w:szCs w:val="24"/>
        </w:rPr>
        <w:t xml:space="preserve">These include </w:t>
      </w:r>
      <w:r w:rsidR="00402D7D" w:rsidRPr="00402D7D">
        <w:rPr>
          <w:rFonts w:ascii="Times New Roman" w:hAnsi="Times New Roman" w:cs="Times New Roman"/>
          <w:sz w:val="24"/>
          <w:szCs w:val="24"/>
        </w:rPr>
        <w:t xml:space="preserve">the </w:t>
      </w:r>
      <w:r w:rsidR="00E903BA">
        <w:rPr>
          <w:rFonts w:ascii="Times New Roman" w:hAnsi="Times New Roman" w:cs="Times New Roman"/>
          <w:sz w:val="24"/>
          <w:szCs w:val="24"/>
        </w:rPr>
        <w:t xml:space="preserve">School’s </w:t>
      </w:r>
      <w:r w:rsidR="00402D7D" w:rsidRPr="00402D7D">
        <w:rPr>
          <w:rFonts w:ascii="Times New Roman" w:hAnsi="Times New Roman" w:cs="Times New Roman"/>
          <w:sz w:val="24"/>
          <w:szCs w:val="24"/>
        </w:rPr>
        <w:t>Q</w:t>
      </w:r>
      <w:r w:rsidR="00E903BA">
        <w:rPr>
          <w:rFonts w:ascii="Times New Roman" w:hAnsi="Times New Roman" w:cs="Times New Roman"/>
          <w:sz w:val="24"/>
          <w:szCs w:val="24"/>
        </w:rPr>
        <w:t xml:space="preserve">uality </w:t>
      </w:r>
      <w:r w:rsidR="00402D7D" w:rsidRPr="00402D7D">
        <w:rPr>
          <w:rFonts w:ascii="Times New Roman" w:hAnsi="Times New Roman" w:cs="Times New Roman"/>
          <w:sz w:val="24"/>
          <w:szCs w:val="24"/>
        </w:rPr>
        <w:t>A</w:t>
      </w:r>
      <w:r w:rsidR="00E903BA">
        <w:rPr>
          <w:rFonts w:ascii="Times New Roman" w:hAnsi="Times New Roman" w:cs="Times New Roman"/>
          <w:sz w:val="24"/>
          <w:szCs w:val="24"/>
        </w:rPr>
        <w:t>ssurance</w:t>
      </w:r>
      <w:r w:rsidR="00402D7D" w:rsidRPr="00402D7D">
        <w:rPr>
          <w:rFonts w:ascii="Times New Roman" w:hAnsi="Times New Roman" w:cs="Times New Roman"/>
          <w:sz w:val="24"/>
          <w:szCs w:val="24"/>
        </w:rPr>
        <w:t xml:space="preserve"> Director</w:t>
      </w:r>
      <w:r>
        <w:rPr>
          <w:rFonts w:ascii="Times New Roman" w:hAnsi="Times New Roman" w:cs="Times New Roman"/>
          <w:sz w:val="24"/>
          <w:szCs w:val="24"/>
        </w:rPr>
        <w:t>, which should be regarded</w:t>
      </w:r>
      <w:r w:rsidR="00402D7D" w:rsidRPr="00402D7D">
        <w:rPr>
          <w:rFonts w:ascii="Times New Roman" w:hAnsi="Times New Roman" w:cs="Times New Roman"/>
          <w:sz w:val="24"/>
          <w:szCs w:val="24"/>
        </w:rPr>
        <w:t xml:space="preserve"> </w:t>
      </w:r>
      <w:r w:rsidRPr="00402D7D">
        <w:rPr>
          <w:rFonts w:ascii="Times New Roman" w:hAnsi="Times New Roman" w:cs="Times New Roman"/>
          <w:sz w:val="24"/>
          <w:szCs w:val="24"/>
        </w:rPr>
        <w:t>as 25% of the Head of School allocation</w:t>
      </w:r>
      <w:r>
        <w:rPr>
          <w:rFonts w:ascii="Times New Roman" w:hAnsi="Times New Roman" w:cs="Times New Roman"/>
          <w:sz w:val="24"/>
          <w:szCs w:val="24"/>
        </w:rPr>
        <w:t>, or 310 hours per year, given that the duties of the role</w:t>
      </w:r>
      <w:r w:rsidRPr="00402D7D">
        <w:rPr>
          <w:rFonts w:ascii="Times New Roman" w:hAnsi="Times New Roman" w:cs="Times New Roman"/>
          <w:sz w:val="24"/>
          <w:szCs w:val="24"/>
        </w:rPr>
        <w:t xml:space="preserve"> </w:t>
      </w:r>
      <w:r w:rsidR="00402D7D" w:rsidRPr="00402D7D">
        <w:rPr>
          <w:rFonts w:ascii="Times New Roman" w:hAnsi="Times New Roman" w:cs="Times New Roman"/>
          <w:sz w:val="24"/>
          <w:szCs w:val="24"/>
        </w:rPr>
        <w:t>would be more concentrated at certain times of the year.</w:t>
      </w:r>
      <w:r w:rsidR="00402D7D">
        <w:rPr>
          <w:rFonts w:ascii="Times New Roman" w:hAnsi="Times New Roman" w:cs="Times New Roman"/>
          <w:sz w:val="24"/>
          <w:szCs w:val="24"/>
        </w:rPr>
        <w:t xml:space="preserve"> </w:t>
      </w:r>
      <w:r w:rsidR="005E1B3D">
        <w:rPr>
          <w:rFonts w:ascii="Times New Roman" w:hAnsi="Times New Roman" w:cs="Times New Roman"/>
          <w:sz w:val="24"/>
          <w:szCs w:val="24"/>
        </w:rPr>
        <w:t>It</w:t>
      </w:r>
      <w:r>
        <w:rPr>
          <w:rFonts w:ascii="Times New Roman" w:hAnsi="Times New Roman" w:cs="Times New Roman"/>
          <w:sz w:val="24"/>
          <w:szCs w:val="24"/>
        </w:rPr>
        <w:t xml:space="preserve"> was also </w:t>
      </w:r>
      <w:r w:rsidR="005E1B3D">
        <w:rPr>
          <w:rFonts w:ascii="Times New Roman" w:hAnsi="Times New Roman" w:cs="Times New Roman"/>
          <w:sz w:val="24"/>
          <w:szCs w:val="24"/>
        </w:rPr>
        <w:t>agreed</w:t>
      </w:r>
      <w:r>
        <w:rPr>
          <w:rFonts w:ascii="Times New Roman" w:hAnsi="Times New Roman" w:cs="Times New Roman"/>
          <w:sz w:val="24"/>
          <w:szCs w:val="24"/>
        </w:rPr>
        <w:t xml:space="preserve"> that for </w:t>
      </w:r>
      <w:r w:rsidRPr="00A01509">
        <w:rPr>
          <w:rFonts w:ascii="Times New Roman" w:hAnsi="Times New Roman" w:cs="Times New Roman"/>
          <w:sz w:val="24"/>
          <w:szCs w:val="24"/>
        </w:rPr>
        <w:t>several other academic management/administrative roles 5% of the Head of School allocation (60 hours per year)</w:t>
      </w:r>
      <w:r>
        <w:rPr>
          <w:rFonts w:ascii="Times New Roman" w:hAnsi="Times New Roman" w:cs="Times New Roman"/>
          <w:sz w:val="24"/>
          <w:szCs w:val="24"/>
        </w:rPr>
        <w:t xml:space="preserve"> would be an appropriate time allocation</w:t>
      </w:r>
      <w:r w:rsidRPr="00A01509">
        <w:rPr>
          <w:rFonts w:ascii="Times New Roman" w:hAnsi="Times New Roman" w:cs="Times New Roman"/>
          <w:sz w:val="24"/>
          <w:szCs w:val="24"/>
        </w:rPr>
        <w:t xml:space="preserve">.  These roles </w:t>
      </w:r>
      <w:r>
        <w:rPr>
          <w:rFonts w:ascii="Times New Roman" w:hAnsi="Times New Roman" w:cs="Times New Roman"/>
          <w:sz w:val="24"/>
          <w:szCs w:val="24"/>
        </w:rPr>
        <w:t xml:space="preserve">would </w:t>
      </w:r>
      <w:r w:rsidRPr="00A01509">
        <w:rPr>
          <w:rFonts w:ascii="Times New Roman" w:hAnsi="Times New Roman" w:cs="Times New Roman"/>
          <w:sz w:val="24"/>
          <w:szCs w:val="24"/>
        </w:rPr>
        <w:t>include: School Academic Misconduct Officer, Co-ordinator of Adjustments/Teachability Officer, Equality and Diversity</w:t>
      </w:r>
      <w:r w:rsidR="009D28F5">
        <w:rPr>
          <w:rFonts w:ascii="Times New Roman" w:hAnsi="Times New Roman" w:cs="Times New Roman"/>
          <w:sz w:val="24"/>
          <w:szCs w:val="24"/>
        </w:rPr>
        <w:t>/Athena Swan</w:t>
      </w:r>
      <w:r w:rsidRPr="00A01509">
        <w:rPr>
          <w:rFonts w:ascii="Times New Roman" w:hAnsi="Times New Roman" w:cs="Times New Roman"/>
          <w:sz w:val="24"/>
          <w:szCs w:val="24"/>
        </w:rPr>
        <w:t xml:space="preserve"> Co-ordinator, Library/IT representative</w:t>
      </w:r>
      <w:r w:rsidR="009D28F5">
        <w:rPr>
          <w:rFonts w:ascii="Times New Roman" w:hAnsi="Times New Roman" w:cs="Times New Roman"/>
          <w:sz w:val="24"/>
          <w:szCs w:val="24"/>
        </w:rPr>
        <w:t>, School Academic Promotions representative</w:t>
      </w:r>
      <w:r w:rsidRPr="00A01509">
        <w:rPr>
          <w:rFonts w:ascii="Times New Roman" w:hAnsi="Times New Roman" w:cs="Times New Roman"/>
          <w:sz w:val="24"/>
          <w:szCs w:val="24"/>
        </w:rPr>
        <w:t>.</w:t>
      </w:r>
      <w:r w:rsidR="005E1B3D">
        <w:rPr>
          <w:rFonts w:ascii="Times New Roman" w:hAnsi="Times New Roman" w:cs="Times New Roman"/>
          <w:sz w:val="24"/>
          <w:szCs w:val="24"/>
        </w:rPr>
        <w:t xml:space="preserve"> As a general point of principle </w:t>
      </w:r>
      <w:r w:rsidR="001B7FF3">
        <w:rPr>
          <w:rFonts w:ascii="Times New Roman" w:hAnsi="Times New Roman" w:cs="Times New Roman"/>
          <w:sz w:val="24"/>
          <w:szCs w:val="24"/>
        </w:rPr>
        <w:t>we regarded it as preferable to appoint</w:t>
      </w:r>
      <w:r w:rsidR="005E1B3D">
        <w:rPr>
          <w:rFonts w:ascii="Times New Roman" w:hAnsi="Times New Roman" w:cs="Times New Roman"/>
          <w:sz w:val="24"/>
          <w:szCs w:val="24"/>
        </w:rPr>
        <w:t xml:space="preserve"> additional people to such administrative/management roles to take account of School size, rather than to increase the workload and time allocation of</w:t>
      </w:r>
      <w:r w:rsidR="00494CC3">
        <w:rPr>
          <w:rFonts w:ascii="Times New Roman" w:hAnsi="Times New Roman" w:cs="Times New Roman"/>
          <w:sz w:val="24"/>
          <w:szCs w:val="24"/>
        </w:rPr>
        <w:t xml:space="preserve"> any individual member of staff. F</w:t>
      </w:r>
      <w:r w:rsidR="005E1B3D">
        <w:rPr>
          <w:rFonts w:ascii="Times New Roman" w:hAnsi="Times New Roman" w:cs="Times New Roman"/>
          <w:sz w:val="24"/>
          <w:szCs w:val="24"/>
        </w:rPr>
        <w:t xml:space="preserve">or example, </w:t>
      </w:r>
      <w:r w:rsidR="00494CC3">
        <w:rPr>
          <w:rFonts w:ascii="Times New Roman" w:hAnsi="Times New Roman" w:cs="Times New Roman"/>
          <w:sz w:val="24"/>
          <w:szCs w:val="24"/>
        </w:rPr>
        <w:t xml:space="preserve">if a large School has four times the workload that can be accommodated </w:t>
      </w:r>
      <w:r w:rsidR="00FC6914">
        <w:rPr>
          <w:rFonts w:ascii="Times New Roman" w:hAnsi="Times New Roman" w:cs="Times New Roman"/>
          <w:sz w:val="24"/>
          <w:szCs w:val="24"/>
        </w:rPr>
        <w:t xml:space="preserve">reasonably </w:t>
      </w:r>
      <w:r w:rsidR="00494CC3">
        <w:rPr>
          <w:rFonts w:ascii="Times New Roman" w:hAnsi="Times New Roman" w:cs="Times New Roman"/>
          <w:sz w:val="24"/>
          <w:szCs w:val="24"/>
        </w:rPr>
        <w:t xml:space="preserve">in a </w:t>
      </w:r>
      <w:r w:rsidR="001B7FF3">
        <w:rPr>
          <w:rFonts w:ascii="Times New Roman" w:hAnsi="Times New Roman" w:cs="Times New Roman"/>
          <w:sz w:val="24"/>
          <w:szCs w:val="24"/>
        </w:rPr>
        <w:t>60 hours per year</w:t>
      </w:r>
      <w:r w:rsidR="00494CC3">
        <w:rPr>
          <w:rFonts w:ascii="Times New Roman" w:hAnsi="Times New Roman" w:cs="Times New Roman"/>
          <w:sz w:val="24"/>
          <w:szCs w:val="24"/>
        </w:rPr>
        <w:t xml:space="preserve"> allocation of time to its School</w:t>
      </w:r>
      <w:r w:rsidR="005E1B3D">
        <w:rPr>
          <w:rFonts w:ascii="Times New Roman" w:hAnsi="Times New Roman" w:cs="Times New Roman"/>
          <w:sz w:val="24"/>
          <w:szCs w:val="24"/>
        </w:rPr>
        <w:t xml:space="preserve"> Academic Misconduct Officer</w:t>
      </w:r>
      <w:r w:rsidR="00494CC3">
        <w:rPr>
          <w:rFonts w:ascii="Times New Roman" w:hAnsi="Times New Roman" w:cs="Times New Roman"/>
          <w:sz w:val="24"/>
          <w:szCs w:val="24"/>
        </w:rPr>
        <w:t xml:space="preserve">, then the HoS should appoint another three SAMOs, rather than increase the time allocation of the single SAMO to </w:t>
      </w:r>
      <w:r w:rsidR="001B7FF3">
        <w:rPr>
          <w:rFonts w:ascii="Times New Roman" w:hAnsi="Times New Roman" w:cs="Times New Roman"/>
          <w:sz w:val="24"/>
          <w:szCs w:val="24"/>
        </w:rPr>
        <w:t>240 hours per year</w:t>
      </w:r>
      <w:r w:rsidR="005E1B3D">
        <w:rPr>
          <w:rFonts w:ascii="Times New Roman" w:hAnsi="Times New Roman" w:cs="Times New Roman"/>
          <w:sz w:val="24"/>
          <w:szCs w:val="24"/>
        </w:rPr>
        <w:t>.</w:t>
      </w:r>
    </w:p>
    <w:p w:rsidR="00611D70" w:rsidRPr="00611D70" w:rsidRDefault="00611D70" w:rsidP="001C70FF">
      <w:pPr>
        <w:spacing w:after="0"/>
        <w:jc w:val="both"/>
        <w:rPr>
          <w:rFonts w:ascii="Times New Roman" w:hAnsi="Times New Roman" w:cs="Times New Roman"/>
          <w:sz w:val="16"/>
          <w:szCs w:val="16"/>
        </w:rPr>
      </w:pPr>
    </w:p>
    <w:p w:rsidR="00420AAC" w:rsidRDefault="00611D70" w:rsidP="001C70FF">
      <w:pPr>
        <w:spacing w:after="0"/>
        <w:jc w:val="both"/>
        <w:rPr>
          <w:rFonts w:ascii="Times New Roman" w:hAnsi="Times New Roman" w:cs="Times New Roman"/>
          <w:sz w:val="24"/>
          <w:szCs w:val="24"/>
        </w:rPr>
      </w:pPr>
      <w:r>
        <w:rPr>
          <w:rFonts w:ascii="Times New Roman" w:hAnsi="Times New Roman" w:cs="Times New Roman"/>
          <w:sz w:val="24"/>
          <w:szCs w:val="24"/>
        </w:rPr>
        <w:t>Despite having a standard role descriptor and set of responsibilities, there is currently considerable variation among our Schools in the time allocated to th</w:t>
      </w:r>
      <w:r w:rsidR="005E1B3D">
        <w:rPr>
          <w:rFonts w:ascii="Times New Roman" w:hAnsi="Times New Roman" w:cs="Times New Roman"/>
          <w:sz w:val="24"/>
          <w:szCs w:val="24"/>
        </w:rPr>
        <w:t>e</w:t>
      </w:r>
      <w:r>
        <w:rPr>
          <w:rFonts w:ascii="Times New Roman" w:hAnsi="Times New Roman" w:cs="Times New Roman"/>
          <w:sz w:val="24"/>
          <w:szCs w:val="24"/>
        </w:rPr>
        <w:t xml:space="preserve"> role</w:t>
      </w:r>
      <w:r w:rsidR="005E1B3D">
        <w:rPr>
          <w:rFonts w:ascii="Times New Roman" w:hAnsi="Times New Roman" w:cs="Times New Roman"/>
          <w:sz w:val="24"/>
          <w:szCs w:val="24"/>
        </w:rPr>
        <w:t xml:space="preserve"> of Programme Director</w:t>
      </w:r>
      <w:r>
        <w:rPr>
          <w:rFonts w:ascii="Times New Roman" w:hAnsi="Times New Roman" w:cs="Times New Roman"/>
          <w:sz w:val="24"/>
          <w:szCs w:val="24"/>
        </w:rPr>
        <w:t xml:space="preserve">. </w:t>
      </w:r>
      <w:r w:rsidR="00130A38">
        <w:rPr>
          <w:rFonts w:ascii="Times New Roman" w:hAnsi="Times New Roman" w:cs="Times New Roman"/>
          <w:sz w:val="24"/>
          <w:szCs w:val="24"/>
        </w:rPr>
        <w:t>T</w:t>
      </w:r>
      <w:r w:rsidR="005E1B3D">
        <w:rPr>
          <w:rFonts w:ascii="Times New Roman" w:hAnsi="Times New Roman" w:cs="Times New Roman"/>
          <w:sz w:val="24"/>
          <w:szCs w:val="24"/>
        </w:rPr>
        <w:t>he Staffing Management Committee recognised</w:t>
      </w:r>
      <w:r>
        <w:rPr>
          <w:rFonts w:ascii="Times New Roman" w:hAnsi="Times New Roman" w:cs="Times New Roman"/>
          <w:sz w:val="24"/>
          <w:szCs w:val="24"/>
        </w:rPr>
        <w:t xml:space="preserve"> that some variation in the time allocated to this role across subject areas and Schools </w:t>
      </w:r>
      <w:r w:rsidR="00130A38">
        <w:rPr>
          <w:rFonts w:ascii="Times New Roman" w:hAnsi="Times New Roman" w:cs="Times New Roman"/>
          <w:sz w:val="24"/>
          <w:szCs w:val="24"/>
        </w:rPr>
        <w:t>was to be expected</w:t>
      </w:r>
      <w:r>
        <w:rPr>
          <w:rFonts w:ascii="Times New Roman" w:hAnsi="Times New Roman" w:cs="Times New Roman"/>
          <w:sz w:val="24"/>
          <w:szCs w:val="24"/>
        </w:rPr>
        <w:t>, if it reflect</w:t>
      </w:r>
      <w:r w:rsidR="00D9404D">
        <w:rPr>
          <w:rFonts w:ascii="Times New Roman" w:hAnsi="Times New Roman" w:cs="Times New Roman"/>
          <w:sz w:val="24"/>
          <w:szCs w:val="24"/>
        </w:rPr>
        <w:t>ed</w:t>
      </w:r>
      <w:r>
        <w:rPr>
          <w:rFonts w:ascii="Times New Roman" w:hAnsi="Times New Roman" w:cs="Times New Roman"/>
          <w:sz w:val="24"/>
          <w:szCs w:val="24"/>
        </w:rPr>
        <w:t xml:space="preserve"> variation in scale and</w:t>
      </w:r>
      <w:r w:rsidR="005E1B3D">
        <w:rPr>
          <w:rFonts w:ascii="Times New Roman" w:hAnsi="Times New Roman" w:cs="Times New Roman"/>
          <w:sz w:val="24"/>
          <w:szCs w:val="24"/>
        </w:rPr>
        <w:t xml:space="preserve"> complexity of </w:t>
      </w:r>
      <w:r w:rsidR="00F230F8">
        <w:rPr>
          <w:rFonts w:ascii="Times New Roman" w:hAnsi="Times New Roman" w:cs="Times New Roman"/>
          <w:sz w:val="24"/>
          <w:szCs w:val="24"/>
        </w:rPr>
        <w:t xml:space="preserve">the </w:t>
      </w:r>
      <w:r w:rsidR="005E1B3D">
        <w:rPr>
          <w:rFonts w:ascii="Times New Roman" w:hAnsi="Times New Roman" w:cs="Times New Roman"/>
          <w:sz w:val="24"/>
          <w:szCs w:val="24"/>
        </w:rPr>
        <w:t>work undertaken.</w:t>
      </w:r>
      <w:r w:rsidR="00D9404D">
        <w:rPr>
          <w:rFonts w:ascii="Times New Roman" w:hAnsi="Times New Roman" w:cs="Times New Roman"/>
          <w:sz w:val="24"/>
          <w:szCs w:val="24"/>
        </w:rPr>
        <w:t xml:space="preserve"> Each School should identify an appropriate time allocation for Programme Directors, which is calibrated against the other academic management values outlined in this paper, and which takes account of the number of students enrolled on each programme.</w:t>
      </w:r>
      <w:r w:rsidR="009D28F5">
        <w:rPr>
          <w:rFonts w:ascii="Times New Roman" w:hAnsi="Times New Roman" w:cs="Times New Roman"/>
          <w:sz w:val="24"/>
          <w:szCs w:val="24"/>
        </w:rPr>
        <w:t xml:space="preserve">  Similarly, there will be variation in the allocation </w:t>
      </w:r>
      <w:r w:rsidR="00DA7BFF">
        <w:rPr>
          <w:rFonts w:ascii="Times New Roman" w:hAnsi="Times New Roman" w:cs="Times New Roman"/>
          <w:sz w:val="24"/>
          <w:szCs w:val="24"/>
        </w:rPr>
        <w:t>of time to the role of Course Organiser across the Schools due to size and complexity.</w:t>
      </w:r>
    </w:p>
    <w:p w:rsidR="00402D7D" w:rsidRPr="00402D7D" w:rsidRDefault="00402D7D" w:rsidP="001C70FF">
      <w:pPr>
        <w:spacing w:after="0"/>
        <w:jc w:val="both"/>
        <w:rPr>
          <w:rFonts w:ascii="Times New Roman" w:hAnsi="Times New Roman" w:cs="Times New Roman"/>
          <w:sz w:val="20"/>
          <w:szCs w:val="20"/>
        </w:rPr>
      </w:pPr>
    </w:p>
    <w:p w:rsidR="00E5749F" w:rsidRDefault="00402D7D" w:rsidP="001C70FF">
      <w:pPr>
        <w:spacing w:after="0"/>
        <w:jc w:val="both"/>
        <w:rPr>
          <w:rFonts w:ascii="Times New Roman" w:hAnsi="Times New Roman" w:cs="Times New Roman"/>
          <w:b/>
          <w:i/>
          <w:sz w:val="24"/>
          <w:szCs w:val="24"/>
        </w:rPr>
      </w:pPr>
      <w:r w:rsidRPr="00402D7D">
        <w:rPr>
          <w:rFonts w:ascii="Times New Roman" w:hAnsi="Times New Roman" w:cs="Times New Roman"/>
          <w:b/>
          <w:i/>
          <w:sz w:val="24"/>
          <w:szCs w:val="24"/>
        </w:rPr>
        <w:t xml:space="preserve">7.4 </w:t>
      </w:r>
      <w:r w:rsidR="00611D70">
        <w:rPr>
          <w:rFonts w:ascii="Times New Roman" w:hAnsi="Times New Roman" w:cs="Times New Roman"/>
          <w:b/>
          <w:i/>
          <w:sz w:val="24"/>
          <w:szCs w:val="24"/>
        </w:rPr>
        <w:t>School-specific</w:t>
      </w:r>
      <w:r w:rsidRPr="00402D7D">
        <w:rPr>
          <w:rFonts w:ascii="Times New Roman" w:hAnsi="Times New Roman" w:cs="Times New Roman"/>
          <w:b/>
          <w:i/>
          <w:sz w:val="24"/>
          <w:szCs w:val="24"/>
        </w:rPr>
        <w:t xml:space="preserve"> Management/Administrative Roles</w:t>
      </w:r>
    </w:p>
    <w:p w:rsidR="00E4552D" w:rsidRPr="00913E67" w:rsidRDefault="00913E67" w:rsidP="001C70FF">
      <w:pPr>
        <w:spacing w:after="0"/>
        <w:jc w:val="both"/>
        <w:rPr>
          <w:rFonts w:ascii="Times New Roman" w:hAnsi="Times New Roman" w:cs="Times New Roman"/>
          <w:sz w:val="24"/>
          <w:szCs w:val="24"/>
        </w:rPr>
      </w:pPr>
      <w:r>
        <w:rPr>
          <w:rFonts w:ascii="Times New Roman" w:hAnsi="Times New Roman" w:cs="Times New Roman"/>
          <w:sz w:val="24"/>
          <w:szCs w:val="24"/>
        </w:rPr>
        <w:t>Our survey of existing School WAMs indicate</w:t>
      </w:r>
      <w:r w:rsidR="00BB2C9E">
        <w:rPr>
          <w:rFonts w:ascii="Times New Roman" w:hAnsi="Times New Roman" w:cs="Times New Roman"/>
          <w:sz w:val="24"/>
          <w:szCs w:val="24"/>
        </w:rPr>
        <w:t>d</w:t>
      </w:r>
      <w:r>
        <w:rPr>
          <w:rFonts w:ascii="Times New Roman" w:hAnsi="Times New Roman" w:cs="Times New Roman"/>
          <w:sz w:val="24"/>
          <w:szCs w:val="24"/>
        </w:rPr>
        <w:t xml:space="preserve"> that there </w:t>
      </w:r>
      <w:r w:rsidR="00BB2C9E">
        <w:rPr>
          <w:rFonts w:ascii="Times New Roman" w:hAnsi="Times New Roman" w:cs="Times New Roman"/>
          <w:sz w:val="24"/>
          <w:szCs w:val="24"/>
        </w:rPr>
        <w:t>was</w:t>
      </w:r>
      <w:r>
        <w:rPr>
          <w:rFonts w:ascii="Times New Roman" w:hAnsi="Times New Roman" w:cs="Times New Roman"/>
          <w:sz w:val="24"/>
          <w:szCs w:val="24"/>
        </w:rPr>
        <w:t xml:space="preserve"> another set of academic management/administrative roles which </w:t>
      </w:r>
      <w:r w:rsidR="00BB2C9E">
        <w:rPr>
          <w:rFonts w:ascii="Times New Roman" w:hAnsi="Times New Roman" w:cs="Times New Roman"/>
          <w:sz w:val="24"/>
          <w:szCs w:val="24"/>
        </w:rPr>
        <w:t>we</w:t>
      </w:r>
      <w:r>
        <w:rPr>
          <w:rFonts w:ascii="Times New Roman" w:hAnsi="Times New Roman" w:cs="Times New Roman"/>
          <w:sz w:val="24"/>
          <w:szCs w:val="24"/>
        </w:rPr>
        <w:t>re not standard across every School, but which individual Schools ha</w:t>
      </w:r>
      <w:r w:rsidR="00BB2C9E">
        <w:rPr>
          <w:rFonts w:ascii="Times New Roman" w:hAnsi="Times New Roman" w:cs="Times New Roman"/>
          <w:sz w:val="24"/>
          <w:szCs w:val="24"/>
        </w:rPr>
        <w:t>d</w:t>
      </w:r>
      <w:r>
        <w:rPr>
          <w:rFonts w:ascii="Times New Roman" w:hAnsi="Times New Roman" w:cs="Times New Roman"/>
          <w:sz w:val="24"/>
          <w:szCs w:val="24"/>
        </w:rPr>
        <w:t xml:space="preserve"> created to help them manage their operations. For example, some Schools created Deputy Head of School roles, while others ha</w:t>
      </w:r>
      <w:r w:rsidR="00BB2C9E">
        <w:rPr>
          <w:rFonts w:ascii="Times New Roman" w:hAnsi="Times New Roman" w:cs="Times New Roman"/>
          <w:sz w:val="24"/>
          <w:szCs w:val="24"/>
        </w:rPr>
        <w:t>d</w:t>
      </w:r>
      <w:r>
        <w:rPr>
          <w:rFonts w:ascii="Times New Roman" w:hAnsi="Times New Roman" w:cs="Times New Roman"/>
          <w:sz w:val="24"/>
          <w:szCs w:val="24"/>
        </w:rPr>
        <w:t xml:space="preserve"> not found it necessary to do so, and ECA has an exhibitions-related role that </w:t>
      </w:r>
      <w:r w:rsidR="00FC6914">
        <w:rPr>
          <w:rFonts w:ascii="Times New Roman" w:hAnsi="Times New Roman" w:cs="Times New Roman"/>
          <w:sz w:val="24"/>
          <w:szCs w:val="24"/>
        </w:rPr>
        <w:t>does</w:t>
      </w:r>
      <w:r>
        <w:rPr>
          <w:rFonts w:ascii="Times New Roman" w:hAnsi="Times New Roman" w:cs="Times New Roman"/>
          <w:sz w:val="24"/>
          <w:szCs w:val="24"/>
        </w:rPr>
        <w:t xml:space="preserve"> not feature in any other School. It is not necessary for us to standardise the workload allocation of such roles across the College, given the very different School requirements which they are intended to meet. However, Schools should calibrate the time allocation for such roles against the range of other, more standardised academic management and administrative roles o</w:t>
      </w:r>
      <w:r w:rsidR="000A0566">
        <w:rPr>
          <w:rFonts w:ascii="Times New Roman" w:hAnsi="Times New Roman" w:cs="Times New Roman"/>
          <w:sz w:val="24"/>
          <w:szCs w:val="24"/>
        </w:rPr>
        <w:t>utlined in sections 7.2 and 7.3</w:t>
      </w:r>
      <w:r>
        <w:rPr>
          <w:rFonts w:ascii="Times New Roman" w:hAnsi="Times New Roman" w:cs="Times New Roman"/>
          <w:sz w:val="24"/>
          <w:szCs w:val="24"/>
        </w:rPr>
        <w:t>.</w:t>
      </w:r>
    </w:p>
    <w:p w:rsidR="00F17A3B" w:rsidRPr="008110F6" w:rsidRDefault="00F50CDA" w:rsidP="001C70FF">
      <w:pPr>
        <w:spacing w:after="0"/>
        <w:jc w:val="both"/>
        <w:rPr>
          <w:rFonts w:ascii="Times New Roman" w:hAnsi="Times New Roman" w:cs="Times New Roman"/>
          <w:b/>
          <w:sz w:val="24"/>
          <w:szCs w:val="24"/>
        </w:rPr>
      </w:pPr>
      <w:r w:rsidRPr="0043465D">
        <w:rPr>
          <w:rFonts w:ascii="Times New Roman" w:hAnsi="Times New Roman" w:cs="Times New Roman"/>
          <w:b/>
          <w:sz w:val="24"/>
          <w:szCs w:val="24"/>
        </w:rPr>
        <w:lastRenderedPageBreak/>
        <w:t xml:space="preserve">8. </w:t>
      </w:r>
      <w:r w:rsidR="0043465D" w:rsidRPr="0043465D">
        <w:rPr>
          <w:rFonts w:ascii="Times New Roman" w:hAnsi="Times New Roman" w:cs="Times New Roman"/>
          <w:b/>
          <w:sz w:val="24"/>
          <w:szCs w:val="24"/>
        </w:rPr>
        <w:t>Variations from Standard WAM Principles</w:t>
      </w:r>
    </w:p>
    <w:p w:rsidR="0043465D" w:rsidRDefault="000B2700" w:rsidP="001C70FF">
      <w:pPr>
        <w:spacing w:after="0"/>
        <w:jc w:val="both"/>
        <w:rPr>
          <w:rFonts w:ascii="Times New Roman" w:hAnsi="Times New Roman" w:cs="Times New Roman"/>
          <w:sz w:val="24"/>
          <w:szCs w:val="24"/>
        </w:rPr>
      </w:pPr>
      <w:r>
        <w:rPr>
          <w:rFonts w:ascii="Times New Roman" w:hAnsi="Times New Roman" w:cs="Times New Roman"/>
          <w:sz w:val="24"/>
          <w:szCs w:val="24"/>
        </w:rPr>
        <w:t xml:space="preserve">In our discussions we recognised that there would be occasions or circumstances particular to a School where it would be sensible to introduce variations to these standard WAM principles. For example, in some Schools with particularly onerous professional </w:t>
      </w:r>
      <w:r w:rsidR="00BB2C9E">
        <w:rPr>
          <w:rFonts w:ascii="Times New Roman" w:hAnsi="Times New Roman" w:cs="Times New Roman"/>
          <w:sz w:val="24"/>
          <w:szCs w:val="24"/>
        </w:rPr>
        <w:t>body accreditation requirements</w:t>
      </w:r>
      <w:r>
        <w:rPr>
          <w:rFonts w:ascii="Times New Roman" w:hAnsi="Times New Roman" w:cs="Times New Roman"/>
          <w:sz w:val="24"/>
          <w:szCs w:val="24"/>
        </w:rPr>
        <w:t xml:space="preserve"> it may make sense to use a larger time allocation than outlined here for their Q</w:t>
      </w:r>
      <w:r w:rsidR="000A0566">
        <w:rPr>
          <w:rFonts w:ascii="Times New Roman" w:hAnsi="Times New Roman" w:cs="Times New Roman"/>
          <w:sz w:val="24"/>
          <w:szCs w:val="24"/>
        </w:rPr>
        <w:t xml:space="preserve">uality </w:t>
      </w:r>
      <w:r>
        <w:rPr>
          <w:rFonts w:ascii="Times New Roman" w:hAnsi="Times New Roman" w:cs="Times New Roman"/>
          <w:sz w:val="24"/>
          <w:szCs w:val="24"/>
        </w:rPr>
        <w:t>A</w:t>
      </w:r>
      <w:r w:rsidR="000A0566">
        <w:rPr>
          <w:rFonts w:ascii="Times New Roman" w:hAnsi="Times New Roman" w:cs="Times New Roman"/>
          <w:sz w:val="24"/>
          <w:szCs w:val="24"/>
        </w:rPr>
        <w:t>ssurance</w:t>
      </w:r>
      <w:r>
        <w:rPr>
          <w:rFonts w:ascii="Times New Roman" w:hAnsi="Times New Roman" w:cs="Times New Roman"/>
          <w:sz w:val="24"/>
          <w:szCs w:val="24"/>
        </w:rPr>
        <w:t xml:space="preserve"> Director.</w:t>
      </w:r>
    </w:p>
    <w:p w:rsidR="000B2700" w:rsidRPr="000B2700" w:rsidRDefault="000B2700" w:rsidP="001C70FF">
      <w:pPr>
        <w:spacing w:after="0"/>
        <w:jc w:val="both"/>
        <w:rPr>
          <w:rFonts w:ascii="Times New Roman" w:hAnsi="Times New Roman" w:cs="Times New Roman"/>
          <w:sz w:val="16"/>
          <w:szCs w:val="16"/>
        </w:rPr>
      </w:pPr>
    </w:p>
    <w:p w:rsidR="000B2700" w:rsidRDefault="000A0566" w:rsidP="001C70FF">
      <w:pPr>
        <w:spacing w:after="0"/>
        <w:jc w:val="both"/>
        <w:rPr>
          <w:rFonts w:ascii="Times New Roman" w:hAnsi="Times New Roman" w:cs="Times New Roman"/>
          <w:sz w:val="24"/>
          <w:szCs w:val="24"/>
        </w:rPr>
      </w:pPr>
      <w:r>
        <w:rPr>
          <w:rFonts w:ascii="Times New Roman" w:hAnsi="Times New Roman" w:cs="Times New Roman"/>
          <w:sz w:val="24"/>
          <w:szCs w:val="24"/>
        </w:rPr>
        <w:t>W</w:t>
      </w:r>
      <w:r w:rsidR="000B2700">
        <w:rPr>
          <w:rFonts w:ascii="Times New Roman" w:hAnsi="Times New Roman" w:cs="Times New Roman"/>
          <w:sz w:val="24"/>
          <w:szCs w:val="24"/>
        </w:rPr>
        <w:t>e should not feel unduly constrained</w:t>
      </w:r>
      <w:r>
        <w:rPr>
          <w:rFonts w:ascii="Times New Roman" w:hAnsi="Times New Roman" w:cs="Times New Roman"/>
          <w:sz w:val="24"/>
          <w:szCs w:val="24"/>
        </w:rPr>
        <w:t xml:space="preserve"> by these general principles and guidelines</w:t>
      </w:r>
      <w:r w:rsidR="000B2700">
        <w:rPr>
          <w:rFonts w:ascii="Times New Roman" w:hAnsi="Times New Roman" w:cs="Times New Roman"/>
          <w:sz w:val="24"/>
          <w:szCs w:val="24"/>
        </w:rPr>
        <w:t xml:space="preserve">, and should have the managerial confidence to vary our practice to take account of local conditions. However, </w:t>
      </w:r>
      <w:r w:rsidR="00BB2C9E">
        <w:rPr>
          <w:rFonts w:ascii="Times New Roman" w:hAnsi="Times New Roman" w:cs="Times New Roman"/>
          <w:sz w:val="24"/>
          <w:szCs w:val="24"/>
        </w:rPr>
        <w:t xml:space="preserve">if we </w:t>
      </w:r>
      <w:r>
        <w:rPr>
          <w:rFonts w:ascii="Times New Roman" w:hAnsi="Times New Roman" w:cs="Times New Roman"/>
          <w:sz w:val="24"/>
          <w:szCs w:val="24"/>
        </w:rPr>
        <w:t>a</w:t>
      </w:r>
      <w:r w:rsidR="00BB2C9E">
        <w:rPr>
          <w:rFonts w:ascii="Times New Roman" w:hAnsi="Times New Roman" w:cs="Times New Roman"/>
          <w:sz w:val="24"/>
          <w:szCs w:val="24"/>
        </w:rPr>
        <w:t>re</w:t>
      </w:r>
      <w:r w:rsidR="000B2700">
        <w:rPr>
          <w:rFonts w:ascii="Times New Roman" w:hAnsi="Times New Roman" w:cs="Times New Roman"/>
          <w:sz w:val="24"/>
          <w:szCs w:val="24"/>
        </w:rPr>
        <w:t xml:space="preserve"> to move forward together as a group of managers with some sense of consistency across our College, it </w:t>
      </w:r>
      <w:r>
        <w:rPr>
          <w:rFonts w:ascii="Times New Roman" w:hAnsi="Times New Roman" w:cs="Times New Roman"/>
          <w:sz w:val="24"/>
          <w:szCs w:val="24"/>
        </w:rPr>
        <w:t>is necessary</w:t>
      </w:r>
      <w:r w:rsidR="000B2700">
        <w:rPr>
          <w:rFonts w:ascii="Times New Roman" w:hAnsi="Times New Roman" w:cs="Times New Roman"/>
          <w:sz w:val="24"/>
          <w:szCs w:val="24"/>
        </w:rPr>
        <w:t xml:space="preserve"> to accept the discipline of (i) keeping a record of the reasons for variations from the application of our general WAM principles, and (ii) reviewing the operation of our WAM, and the extent of variation from our norms, with some regularity, and no less frequently than once every three years.</w:t>
      </w:r>
    </w:p>
    <w:p w:rsidR="00E4552D" w:rsidRPr="00B36A1C" w:rsidRDefault="00E4552D" w:rsidP="001C70FF">
      <w:pPr>
        <w:spacing w:after="0"/>
        <w:jc w:val="both"/>
        <w:rPr>
          <w:rFonts w:ascii="Times New Roman" w:hAnsi="Times New Roman" w:cs="Times New Roman"/>
          <w:sz w:val="32"/>
          <w:szCs w:val="32"/>
        </w:rPr>
      </w:pPr>
    </w:p>
    <w:p w:rsidR="009E4CC4" w:rsidRPr="009E4CC4" w:rsidRDefault="00555070" w:rsidP="009E4CC4">
      <w:pPr>
        <w:tabs>
          <w:tab w:val="left" w:pos="851"/>
          <w:tab w:val="left" w:pos="6804"/>
        </w:tabs>
        <w:spacing w:after="0" w:line="240" w:lineRule="auto"/>
        <w:jc w:val="both"/>
        <w:rPr>
          <w:rFonts w:ascii="Times New Roman" w:hAnsi="Times New Roman" w:cs="Times New Roman"/>
          <w:b/>
          <w:sz w:val="24"/>
          <w:szCs w:val="24"/>
        </w:rPr>
      </w:pPr>
      <w:r w:rsidRPr="009E4CC4">
        <w:rPr>
          <w:rFonts w:ascii="Times New Roman" w:hAnsi="Times New Roman" w:cs="Times New Roman"/>
          <w:b/>
          <w:sz w:val="24"/>
          <w:szCs w:val="24"/>
        </w:rPr>
        <w:t xml:space="preserve">9. </w:t>
      </w:r>
      <w:r w:rsidR="00913E67">
        <w:rPr>
          <w:rFonts w:ascii="Times New Roman" w:hAnsi="Times New Roman" w:cs="Times New Roman"/>
          <w:b/>
          <w:sz w:val="24"/>
          <w:szCs w:val="24"/>
        </w:rPr>
        <w:t>Typical Workload Allocation</w:t>
      </w:r>
    </w:p>
    <w:p w:rsidR="00555070" w:rsidRDefault="009E4CC4" w:rsidP="001C70FF">
      <w:pPr>
        <w:spacing w:after="0"/>
        <w:jc w:val="both"/>
        <w:rPr>
          <w:rFonts w:ascii="Times New Roman" w:hAnsi="Times New Roman" w:cs="Times New Roman"/>
          <w:sz w:val="24"/>
          <w:szCs w:val="24"/>
        </w:rPr>
      </w:pPr>
      <w:r>
        <w:rPr>
          <w:rFonts w:ascii="Times New Roman" w:hAnsi="Times New Roman" w:cs="Times New Roman"/>
          <w:sz w:val="24"/>
          <w:szCs w:val="24"/>
        </w:rPr>
        <w:t xml:space="preserve">As the table below illustrates, these standard WAM principles should not </w:t>
      </w:r>
      <w:r w:rsidR="00BB2C9E">
        <w:rPr>
          <w:rFonts w:ascii="Times New Roman" w:hAnsi="Times New Roman" w:cs="Times New Roman"/>
          <w:sz w:val="24"/>
          <w:szCs w:val="24"/>
        </w:rPr>
        <w:t xml:space="preserve">necessarily </w:t>
      </w:r>
      <w:r>
        <w:rPr>
          <w:rFonts w:ascii="Times New Roman" w:hAnsi="Times New Roman" w:cs="Times New Roman"/>
          <w:sz w:val="24"/>
          <w:szCs w:val="24"/>
        </w:rPr>
        <w:t>result in much change from the typical split of academic responsibilities of 40% teaching, 40% research and 20% administration for the majority of our colleagues</w:t>
      </w:r>
      <w:r w:rsidR="00E5749F">
        <w:rPr>
          <w:rFonts w:ascii="Times New Roman" w:hAnsi="Times New Roman" w:cs="Times New Roman"/>
          <w:sz w:val="24"/>
          <w:szCs w:val="24"/>
        </w:rPr>
        <w:t xml:space="preserve"> who are performing the various duties of their</w:t>
      </w:r>
      <w:r w:rsidR="0038769D">
        <w:rPr>
          <w:rFonts w:ascii="Times New Roman" w:hAnsi="Times New Roman" w:cs="Times New Roman"/>
          <w:sz w:val="24"/>
          <w:szCs w:val="24"/>
        </w:rPr>
        <w:t xml:space="preserve"> academic</w:t>
      </w:r>
      <w:r w:rsidR="00E5749F">
        <w:rPr>
          <w:rFonts w:ascii="Times New Roman" w:hAnsi="Times New Roman" w:cs="Times New Roman"/>
          <w:sz w:val="24"/>
          <w:szCs w:val="24"/>
        </w:rPr>
        <w:t xml:space="preserve"> roles satisfactorily</w:t>
      </w:r>
      <w:r w:rsidR="00FC6914">
        <w:rPr>
          <w:rFonts w:ascii="Times New Roman" w:hAnsi="Times New Roman" w:cs="Times New Roman"/>
          <w:sz w:val="24"/>
          <w:szCs w:val="24"/>
        </w:rPr>
        <w:t>, and who are not bought-out for all or part of their contractual duties</w:t>
      </w:r>
      <w:r>
        <w:rPr>
          <w:rFonts w:ascii="Times New Roman" w:hAnsi="Times New Roman" w:cs="Times New Roman"/>
          <w:sz w:val="24"/>
          <w:szCs w:val="24"/>
        </w:rPr>
        <w:t xml:space="preserve">. However, these </w:t>
      </w:r>
      <w:r w:rsidR="009E1BD9">
        <w:rPr>
          <w:rFonts w:ascii="Times New Roman" w:hAnsi="Times New Roman" w:cs="Times New Roman"/>
          <w:sz w:val="24"/>
          <w:szCs w:val="24"/>
        </w:rPr>
        <w:t xml:space="preserve">guidelines </w:t>
      </w:r>
      <w:r>
        <w:rPr>
          <w:rFonts w:ascii="Times New Roman" w:hAnsi="Times New Roman" w:cs="Times New Roman"/>
          <w:sz w:val="24"/>
          <w:szCs w:val="24"/>
        </w:rPr>
        <w:t xml:space="preserve">would allow </w:t>
      </w:r>
      <w:r w:rsidR="00BB2C9E">
        <w:rPr>
          <w:rFonts w:ascii="Times New Roman" w:hAnsi="Times New Roman" w:cs="Times New Roman"/>
          <w:sz w:val="24"/>
          <w:szCs w:val="24"/>
        </w:rPr>
        <w:t>managers</w:t>
      </w:r>
      <w:r>
        <w:rPr>
          <w:rFonts w:ascii="Times New Roman" w:hAnsi="Times New Roman" w:cs="Times New Roman"/>
          <w:sz w:val="24"/>
          <w:szCs w:val="24"/>
        </w:rPr>
        <w:t xml:space="preserve"> to vary the actual deployment of time for individual colleagues around that average split, whilst still being able to demonstrate that such variation was fair and reasonable.</w:t>
      </w:r>
    </w:p>
    <w:p w:rsidR="009E4CC4" w:rsidRPr="009E4CC4" w:rsidRDefault="009E4CC4" w:rsidP="001C70FF">
      <w:pPr>
        <w:spacing w:after="0"/>
        <w:jc w:val="both"/>
        <w:rPr>
          <w:rFonts w:ascii="Times New Roman" w:hAnsi="Times New Roman" w:cs="Times New Roman"/>
          <w:sz w:val="12"/>
          <w:szCs w:val="12"/>
        </w:rPr>
      </w:pPr>
    </w:p>
    <w:tbl>
      <w:tblPr>
        <w:tblStyle w:val="TableGrid"/>
        <w:tblW w:w="0" w:type="auto"/>
        <w:tblInd w:w="108" w:type="dxa"/>
        <w:tblLook w:val="04A0" w:firstRow="1" w:lastRow="0" w:firstColumn="1" w:lastColumn="0" w:noHBand="0" w:noVBand="1"/>
      </w:tblPr>
      <w:tblGrid>
        <w:gridCol w:w="3093"/>
        <w:gridCol w:w="2934"/>
        <w:gridCol w:w="2881"/>
      </w:tblGrid>
      <w:tr w:rsidR="009E4CC4" w:rsidRPr="009E4CC4" w:rsidTr="009E4CC4">
        <w:tc>
          <w:tcPr>
            <w:tcW w:w="3097" w:type="dxa"/>
          </w:tcPr>
          <w:p w:rsidR="009E4CC4" w:rsidRPr="009E4CC4" w:rsidRDefault="009E4CC4" w:rsidP="009E4CC4">
            <w:pPr>
              <w:tabs>
                <w:tab w:val="left" w:pos="851"/>
                <w:tab w:val="left" w:pos="6804"/>
              </w:tabs>
              <w:jc w:val="center"/>
              <w:rPr>
                <w:rFonts w:ascii="Times New Roman" w:hAnsi="Times New Roman" w:cs="Times New Roman"/>
                <w:b/>
              </w:rPr>
            </w:pPr>
            <w:r w:rsidRPr="009E4CC4">
              <w:rPr>
                <w:rFonts w:ascii="Times New Roman" w:hAnsi="Times New Roman" w:cs="Times New Roman"/>
                <w:b/>
              </w:rPr>
              <w:t>Activity</w:t>
            </w:r>
          </w:p>
        </w:tc>
        <w:tc>
          <w:tcPr>
            <w:tcW w:w="3016" w:type="dxa"/>
          </w:tcPr>
          <w:p w:rsidR="009E4CC4" w:rsidRPr="009E4CC4" w:rsidRDefault="009E4CC4" w:rsidP="009E4CC4">
            <w:pPr>
              <w:tabs>
                <w:tab w:val="left" w:pos="851"/>
                <w:tab w:val="left" w:pos="6804"/>
              </w:tabs>
              <w:jc w:val="center"/>
              <w:rPr>
                <w:rFonts w:ascii="Times New Roman" w:hAnsi="Times New Roman" w:cs="Times New Roman"/>
                <w:b/>
              </w:rPr>
            </w:pPr>
            <w:r w:rsidRPr="009E4CC4">
              <w:rPr>
                <w:rFonts w:ascii="Times New Roman" w:hAnsi="Times New Roman" w:cs="Times New Roman"/>
                <w:b/>
              </w:rPr>
              <w:t>Typical Value</w:t>
            </w:r>
          </w:p>
        </w:tc>
        <w:tc>
          <w:tcPr>
            <w:tcW w:w="2959" w:type="dxa"/>
          </w:tcPr>
          <w:p w:rsidR="009E4CC4" w:rsidRPr="009E4CC4" w:rsidRDefault="009E4CC4" w:rsidP="009E4CC4">
            <w:pPr>
              <w:tabs>
                <w:tab w:val="left" w:pos="851"/>
                <w:tab w:val="left" w:pos="6804"/>
              </w:tabs>
              <w:jc w:val="center"/>
              <w:rPr>
                <w:rFonts w:ascii="Times New Roman" w:hAnsi="Times New Roman" w:cs="Times New Roman"/>
                <w:b/>
              </w:rPr>
            </w:pPr>
            <w:r w:rsidRPr="009E4CC4">
              <w:rPr>
                <w:rFonts w:ascii="Times New Roman" w:hAnsi="Times New Roman" w:cs="Times New Roman"/>
                <w:b/>
              </w:rPr>
              <w:t>Possible Range</w:t>
            </w:r>
          </w:p>
        </w:tc>
      </w:tr>
      <w:tr w:rsidR="009E4CC4" w:rsidRPr="009E4CC4" w:rsidTr="009E4CC4">
        <w:tc>
          <w:tcPr>
            <w:tcW w:w="3097" w:type="dxa"/>
          </w:tcPr>
          <w:p w:rsidR="009E4CC4" w:rsidRPr="009E4CC4" w:rsidRDefault="009E4CC4" w:rsidP="009E4CC4">
            <w:pPr>
              <w:tabs>
                <w:tab w:val="left" w:pos="851"/>
                <w:tab w:val="left" w:pos="6804"/>
              </w:tabs>
              <w:jc w:val="both"/>
              <w:rPr>
                <w:rFonts w:ascii="Times New Roman" w:hAnsi="Times New Roman" w:cs="Times New Roman"/>
              </w:rPr>
            </w:pPr>
            <w:r w:rsidRPr="009E4CC4">
              <w:rPr>
                <w:rFonts w:ascii="Times New Roman" w:hAnsi="Times New Roman" w:cs="Times New Roman"/>
              </w:rPr>
              <w:t>Teaching</w:t>
            </w:r>
            <w:r w:rsidR="00FC6914">
              <w:rPr>
                <w:rFonts w:ascii="Times New Roman" w:hAnsi="Times New Roman" w:cs="Times New Roman"/>
              </w:rPr>
              <w:t>/Student Support</w:t>
            </w:r>
          </w:p>
        </w:tc>
        <w:tc>
          <w:tcPr>
            <w:tcW w:w="3016" w:type="dxa"/>
          </w:tcPr>
          <w:p w:rsidR="009E4CC4" w:rsidRPr="009E4CC4" w:rsidRDefault="009E4CC4" w:rsidP="009E4CC4">
            <w:pPr>
              <w:tabs>
                <w:tab w:val="left" w:pos="851"/>
                <w:tab w:val="left" w:pos="6804"/>
              </w:tabs>
              <w:jc w:val="center"/>
              <w:rPr>
                <w:rFonts w:ascii="Times New Roman" w:hAnsi="Times New Roman" w:cs="Times New Roman"/>
              </w:rPr>
            </w:pPr>
            <w:r w:rsidRPr="009E4CC4">
              <w:rPr>
                <w:rFonts w:ascii="Times New Roman" w:hAnsi="Times New Roman" w:cs="Times New Roman"/>
              </w:rPr>
              <w:t>40%</w:t>
            </w:r>
          </w:p>
        </w:tc>
        <w:tc>
          <w:tcPr>
            <w:tcW w:w="2959" w:type="dxa"/>
          </w:tcPr>
          <w:p w:rsidR="009E4CC4" w:rsidRPr="009E4CC4" w:rsidRDefault="009E4CC4" w:rsidP="009E4CC4">
            <w:pPr>
              <w:tabs>
                <w:tab w:val="left" w:pos="851"/>
                <w:tab w:val="left" w:pos="6804"/>
              </w:tabs>
              <w:jc w:val="center"/>
              <w:rPr>
                <w:rFonts w:ascii="Times New Roman" w:hAnsi="Times New Roman" w:cs="Times New Roman"/>
              </w:rPr>
            </w:pPr>
            <w:r>
              <w:rPr>
                <w:rFonts w:ascii="Times New Roman" w:hAnsi="Times New Roman" w:cs="Times New Roman"/>
              </w:rPr>
              <w:t>40</w:t>
            </w:r>
            <w:r w:rsidRPr="009E4CC4">
              <w:rPr>
                <w:rFonts w:ascii="Times New Roman" w:hAnsi="Times New Roman" w:cs="Times New Roman"/>
              </w:rPr>
              <w:t>% - 8</w:t>
            </w:r>
            <w:r>
              <w:rPr>
                <w:rFonts w:ascii="Times New Roman" w:hAnsi="Times New Roman" w:cs="Times New Roman"/>
              </w:rPr>
              <w:t>5</w:t>
            </w:r>
            <w:r w:rsidRPr="009E4CC4">
              <w:rPr>
                <w:rFonts w:ascii="Times New Roman" w:hAnsi="Times New Roman" w:cs="Times New Roman"/>
              </w:rPr>
              <w:t>%</w:t>
            </w:r>
          </w:p>
        </w:tc>
      </w:tr>
      <w:tr w:rsidR="009E4CC4" w:rsidRPr="009E4CC4" w:rsidTr="009E4CC4">
        <w:tc>
          <w:tcPr>
            <w:tcW w:w="3097" w:type="dxa"/>
          </w:tcPr>
          <w:p w:rsidR="009E4CC4" w:rsidRPr="009E4CC4" w:rsidRDefault="009E4CC4" w:rsidP="009E4CC4">
            <w:pPr>
              <w:tabs>
                <w:tab w:val="left" w:pos="851"/>
                <w:tab w:val="left" w:pos="6804"/>
              </w:tabs>
              <w:jc w:val="both"/>
              <w:rPr>
                <w:rFonts w:ascii="Times New Roman" w:hAnsi="Times New Roman" w:cs="Times New Roman"/>
              </w:rPr>
            </w:pPr>
            <w:r w:rsidRPr="009E4CC4">
              <w:rPr>
                <w:rFonts w:ascii="Times New Roman" w:hAnsi="Times New Roman" w:cs="Times New Roman"/>
              </w:rPr>
              <w:t>Research/KE</w:t>
            </w:r>
          </w:p>
        </w:tc>
        <w:tc>
          <w:tcPr>
            <w:tcW w:w="3016" w:type="dxa"/>
          </w:tcPr>
          <w:p w:rsidR="009E4CC4" w:rsidRPr="009E4CC4" w:rsidRDefault="009E4CC4" w:rsidP="009E4CC4">
            <w:pPr>
              <w:tabs>
                <w:tab w:val="left" w:pos="851"/>
                <w:tab w:val="left" w:pos="6804"/>
              </w:tabs>
              <w:jc w:val="center"/>
              <w:rPr>
                <w:rFonts w:ascii="Times New Roman" w:hAnsi="Times New Roman" w:cs="Times New Roman"/>
              </w:rPr>
            </w:pPr>
            <w:r w:rsidRPr="009E4CC4">
              <w:rPr>
                <w:rFonts w:ascii="Times New Roman" w:hAnsi="Times New Roman" w:cs="Times New Roman"/>
              </w:rPr>
              <w:t>40%</w:t>
            </w:r>
          </w:p>
        </w:tc>
        <w:tc>
          <w:tcPr>
            <w:tcW w:w="2959" w:type="dxa"/>
          </w:tcPr>
          <w:p w:rsidR="009E4CC4" w:rsidRPr="009E4CC4" w:rsidRDefault="009E4CC4" w:rsidP="00C15C6E">
            <w:pPr>
              <w:tabs>
                <w:tab w:val="left" w:pos="851"/>
                <w:tab w:val="left" w:pos="6804"/>
              </w:tabs>
              <w:jc w:val="center"/>
              <w:rPr>
                <w:rFonts w:ascii="Times New Roman" w:hAnsi="Times New Roman" w:cs="Times New Roman"/>
              </w:rPr>
            </w:pPr>
            <w:r>
              <w:rPr>
                <w:rFonts w:ascii="Times New Roman" w:hAnsi="Times New Roman" w:cs="Times New Roman"/>
              </w:rPr>
              <w:t>5</w:t>
            </w:r>
            <w:r w:rsidRPr="009E4CC4">
              <w:rPr>
                <w:rFonts w:ascii="Times New Roman" w:hAnsi="Times New Roman" w:cs="Times New Roman"/>
              </w:rPr>
              <w:t xml:space="preserve">% - </w:t>
            </w:r>
            <w:r w:rsidR="00DA7BFF">
              <w:rPr>
                <w:rFonts w:ascii="Times New Roman" w:hAnsi="Times New Roman" w:cs="Times New Roman"/>
              </w:rPr>
              <w:t>45/</w:t>
            </w:r>
            <w:r w:rsidR="00E5749F">
              <w:rPr>
                <w:rFonts w:ascii="Times New Roman" w:hAnsi="Times New Roman" w:cs="Times New Roman"/>
              </w:rPr>
              <w:t>5</w:t>
            </w:r>
            <w:r w:rsidR="00C15C6E">
              <w:rPr>
                <w:rFonts w:ascii="Times New Roman" w:hAnsi="Times New Roman" w:cs="Times New Roman"/>
              </w:rPr>
              <w:t>0</w:t>
            </w:r>
            <w:r w:rsidRPr="009E4CC4">
              <w:rPr>
                <w:rFonts w:ascii="Times New Roman" w:hAnsi="Times New Roman" w:cs="Times New Roman"/>
              </w:rPr>
              <w:t>%</w:t>
            </w:r>
          </w:p>
        </w:tc>
      </w:tr>
      <w:tr w:rsidR="009E4CC4" w:rsidRPr="009E4CC4" w:rsidTr="009E4CC4">
        <w:tc>
          <w:tcPr>
            <w:tcW w:w="3097" w:type="dxa"/>
          </w:tcPr>
          <w:p w:rsidR="009E4CC4" w:rsidRPr="009E4CC4" w:rsidRDefault="009E4CC4" w:rsidP="009E4CC4">
            <w:pPr>
              <w:tabs>
                <w:tab w:val="left" w:pos="851"/>
                <w:tab w:val="left" w:pos="6804"/>
              </w:tabs>
              <w:jc w:val="both"/>
              <w:rPr>
                <w:rFonts w:ascii="Times New Roman" w:hAnsi="Times New Roman" w:cs="Times New Roman"/>
              </w:rPr>
            </w:pPr>
            <w:r w:rsidRPr="009E4CC4">
              <w:rPr>
                <w:rFonts w:ascii="Times New Roman" w:hAnsi="Times New Roman" w:cs="Times New Roman"/>
              </w:rPr>
              <w:t>Management/Administration</w:t>
            </w:r>
          </w:p>
        </w:tc>
        <w:tc>
          <w:tcPr>
            <w:tcW w:w="3016" w:type="dxa"/>
          </w:tcPr>
          <w:p w:rsidR="009E4CC4" w:rsidRPr="009E4CC4" w:rsidRDefault="009E4CC4" w:rsidP="009E4CC4">
            <w:pPr>
              <w:tabs>
                <w:tab w:val="left" w:pos="851"/>
                <w:tab w:val="left" w:pos="6804"/>
              </w:tabs>
              <w:jc w:val="center"/>
              <w:rPr>
                <w:rFonts w:ascii="Times New Roman" w:hAnsi="Times New Roman" w:cs="Times New Roman"/>
              </w:rPr>
            </w:pPr>
            <w:r w:rsidRPr="009E4CC4">
              <w:rPr>
                <w:rFonts w:ascii="Times New Roman" w:hAnsi="Times New Roman" w:cs="Times New Roman"/>
              </w:rPr>
              <w:t>20%</w:t>
            </w:r>
          </w:p>
        </w:tc>
        <w:tc>
          <w:tcPr>
            <w:tcW w:w="2959" w:type="dxa"/>
          </w:tcPr>
          <w:p w:rsidR="009E4CC4" w:rsidRPr="009E4CC4" w:rsidRDefault="00BB2C9E" w:rsidP="009E4CC4">
            <w:pPr>
              <w:tabs>
                <w:tab w:val="left" w:pos="851"/>
                <w:tab w:val="left" w:pos="6804"/>
              </w:tabs>
              <w:jc w:val="center"/>
              <w:rPr>
                <w:rFonts w:ascii="Times New Roman" w:hAnsi="Times New Roman" w:cs="Times New Roman"/>
              </w:rPr>
            </w:pPr>
            <w:r>
              <w:rPr>
                <w:rFonts w:ascii="Times New Roman" w:hAnsi="Times New Roman" w:cs="Times New Roman"/>
              </w:rPr>
              <w:t>10</w:t>
            </w:r>
            <w:r w:rsidR="009E4CC4" w:rsidRPr="009E4CC4">
              <w:rPr>
                <w:rFonts w:ascii="Times New Roman" w:hAnsi="Times New Roman" w:cs="Times New Roman"/>
              </w:rPr>
              <w:t xml:space="preserve">% – </w:t>
            </w:r>
            <w:r w:rsidR="009E4CC4">
              <w:rPr>
                <w:rFonts w:ascii="Times New Roman" w:hAnsi="Times New Roman" w:cs="Times New Roman"/>
              </w:rPr>
              <w:t>8</w:t>
            </w:r>
            <w:r w:rsidR="009E4CC4" w:rsidRPr="009E4CC4">
              <w:rPr>
                <w:rFonts w:ascii="Times New Roman" w:hAnsi="Times New Roman" w:cs="Times New Roman"/>
              </w:rPr>
              <w:t>0%</w:t>
            </w:r>
          </w:p>
        </w:tc>
      </w:tr>
      <w:tr w:rsidR="009E4CC4" w:rsidRPr="009E4CC4" w:rsidTr="009E4CC4">
        <w:tc>
          <w:tcPr>
            <w:tcW w:w="3097" w:type="dxa"/>
          </w:tcPr>
          <w:p w:rsidR="009E4CC4" w:rsidRPr="009E4CC4" w:rsidRDefault="009E4CC4" w:rsidP="009E4CC4">
            <w:pPr>
              <w:tabs>
                <w:tab w:val="left" w:pos="851"/>
                <w:tab w:val="left" w:pos="6804"/>
              </w:tabs>
              <w:jc w:val="both"/>
              <w:rPr>
                <w:rFonts w:ascii="Times New Roman" w:hAnsi="Times New Roman" w:cs="Times New Roman"/>
              </w:rPr>
            </w:pPr>
          </w:p>
        </w:tc>
        <w:tc>
          <w:tcPr>
            <w:tcW w:w="3016" w:type="dxa"/>
          </w:tcPr>
          <w:p w:rsidR="009E4CC4" w:rsidRPr="009E4CC4" w:rsidRDefault="00B36A1C" w:rsidP="00B36A1C">
            <w:pPr>
              <w:tabs>
                <w:tab w:val="left" w:pos="851"/>
                <w:tab w:val="left" w:pos="6804"/>
              </w:tabs>
              <w:jc w:val="center"/>
              <w:rPr>
                <w:rFonts w:ascii="Times New Roman" w:hAnsi="Times New Roman" w:cs="Times New Roman"/>
                <w:sz w:val="20"/>
                <w:szCs w:val="20"/>
              </w:rPr>
            </w:pPr>
            <w:r>
              <w:rPr>
                <w:rFonts w:ascii="Times New Roman" w:hAnsi="Times New Roman" w:cs="Times New Roman"/>
                <w:sz w:val="20"/>
                <w:szCs w:val="20"/>
              </w:rPr>
              <w:t>I</w:t>
            </w:r>
            <w:r w:rsidR="009E4CC4" w:rsidRPr="009E4CC4">
              <w:rPr>
                <w:rFonts w:ascii="Times New Roman" w:hAnsi="Times New Roman" w:cs="Times New Roman"/>
                <w:sz w:val="20"/>
                <w:szCs w:val="20"/>
              </w:rPr>
              <w:t>nclusive of CPD</w:t>
            </w:r>
            <w:r>
              <w:rPr>
                <w:rFonts w:ascii="Times New Roman" w:hAnsi="Times New Roman" w:cs="Times New Roman"/>
                <w:sz w:val="20"/>
                <w:szCs w:val="20"/>
              </w:rPr>
              <w:t xml:space="preserve"> time.</w:t>
            </w:r>
          </w:p>
        </w:tc>
        <w:tc>
          <w:tcPr>
            <w:tcW w:w="2959" w:type="dxa"/>
          </w:tcPr>
          <w:p w:rsidR="009E4CC4" w:rsidRPr="009E4CC4" w:rsidRDefault="00B36A1C" w:rsidP="009E4CC4">
            <w:pPr>
              <w:tabs>
                <w:tab w:val="left" w:pos="851"/>
                <w:tab w:val="left" w:pos="6804"/>
              </w:tabs>
              <w:jc w:val="center"/>
              <w:rPr>
                <w:rFonts w:ascii="Times New Roman" w:hAnsi="Times New Roman" w:cs="Times New Roman"/>
              </w:rPr>
            </w:pPr>
            <w:r>
              <w:rPr>
                <w:rFonts w:ascii="Times New Roman" w:hAnsi="Times New Roman" w:cs="Times New Roman"/>
                <w:sz w:val="20"/>
                <w:szCs w:val="20"/>
              </w:rPr>
              <w:t>I</w:t>
            </w:r>
            <w:r w:rsidRPr="009E4CC4">
              <w:rPr>
                <w:rFonts w:ascii="Times New Roman" w:hAnsi="Times New Roman" w:cs="Times New Roman"/>
                <w:sz w:val="20"/>
                <w:szCs w:val="20"/>
              </w:rPr>
              <w:t>nclusive of CPD</w:t>
            </w:r>
            <w:r>
              <w:rPr>
                <w:rFonts w:ascii="Times New Roman" w:hAnsi="Times New Roman" w:cs="Times New Roman"/>
                <w:sz w:val="20"/>
                <w:szCs w:val="20"/>
              </w:rPr>
              <w:t xml:space="preserve"> time.</w:t>
            </w:r>
          </w:p>
        </w:tc>
      </w:tr>
    </w:tbl>
    <w:p w:rsidR="009E4CC4" w:rsidRPr="00B36A1C" w:rsidRDefault="009E4CC4" w:rsidP="001C70FF">
      <w:pPr>
        <w:spacing w:after="0"/>
        <w:jc w:val="both"/>
        <w:rPr>
          <w:rFonts w:ascii="Times New Roman" w:hAnsi="Times New Roman" w:cs="Times New Roman"/>
          <w:sz w:val="32"/>
          <w:szCs w:val="32"/>
        </w:rPr>
      </w:pPr>
    </w:p>
    <w:p w:rsidR="00D91EE8" w:rsidRPr="00B36A1C" w:rsidRDefault="00B36A1C" w:rsidP="009E4CC4">
      <w:pPr>
        <w:tabs>
          <w:tab w:val="left" w:pos="851"/>
          <w:tab w:val="left" w:pos="6804"/>
        </w:tabs>
        <w:spacing w:after="0" w:line="240" w:lineRule="auto"/>
        <w:contextualSpacing/>
        <w:jc w:val="both"/>
        <w:rPr>
          <w:rFonts w:ascii="Times New Roman" w:hAnsi="Times New Roman" w:cs="Times New Roman"/>
          <w:b/>
          <w:sz w:val="24"/>
          <w:szCs w:val="24"/>
        </w:rPr>
      </w:pPr>
      <w:r w:rsidRPr="00B36A1C">
        <w:rPr>
          <w:rFonts w:ascii="Times New Roman" w:hAnsi="Times New Roman" w:cs="Times New Roman"/>
          <w:b/>
          <w:sz w:val="24"/>
          <w:szCs w:val="24"/>
        </w:rPr>
        <w:t xml:space="preserve">10. </w:t>
      </w:r>
      <w:r w:rsidR="00DA7BFF">
        <w:rPr>
          <w:rFonts w:ascii="Times New Roman" w:hAnsi="Times New Roman" w:cs="Times New Roman"/>
          <w:b/>
          <w:sz w:val="24"/>
          <w:szCs w:val="24"/>
        </w:rPr>
        <w:t xml:space="preserve">Implementation and Review of the </w:t>
      </w:r>
      <w:r w:rsidRPr="00B36A1C">
        <w:rPr>
          <w:rFonts w:ascii="Times New Roman" w:hAnsi="Times New Roman" w:cs="Times New Roman"/>
          <w:b/>
          <w:sz w:val="24"/>
          <w:szCs w:val="24"/>
        </w:rPr>
        <w:t>College-wide WAM</w:t>
      </w:r>
    </w:p>
    <w:p w:rsidR="00B36A1C" w:rsidRDefault="00AF2CC6" w:rsidP="009E4CC4">
      <w:pPr>
        <w:tabs>
          <w:tab w:val="left" w:pos="851"/>
          <w:tab w:val="left" w:pos="680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the intention of that all Schools will implement the College WAM with local variations as necessary but within the stipulated guidelines noted in this document.  </w:t>
      </w:r>
      <w:r w:rsidR="00E139C4">
        <w:rPr>
          <w:rFonts w:ascii="Times New Roman" w:hAnsi="Times New Roman" w:cs="Times New Roman"/>
          <w:sz w:val="24"/>
          <w:szCs w:val="24"/>
        </w:rPr>
        <w:t xml:space="preserve">Regular </w:t>
      </w:r>
      <w:r>
        <w:rPr>
          <w:rFonts w:ascii="Times New Roman" w:hAnsi="Times New Roman" w:cs="Times New Roman"/>
          <w:sz w:val="24"/>
          <w:szCs w:val="24"/>
        </w:rPr>
        <w:t>review will ensure that this</w:t>
      </w:r>
      <w:r w:rsidR="00E139C4">
        <w:rPr>
          <w:rFonts w:ascii="Times New Roman" w:hAnsi="Times New Roman" w:cs="Times New Roman"/>
          <w:sz w:val="24"/>
          <w:szCs w:val="24"/>
        </w:rPr>
        <w:t xml:space="preserve"> document is updated to continually</w:t>
      </w:r>
      <w:r>
        <w:rPr>
          <w:rFonts w:ascii="Times New Roman" w:hAnsi="Times New Roman" w:cs="Times New Roman"/>
          <w:sz w:val="24"/>
          <w:szCs w:val="24"/>
        </w:rPr>
        <w:t xml:space="preserve"> to meet the needs of our Schools</w:t>
      </w:r>
      <w:r w:rsidR="00E139C4">
        <w:rPr>
          <w:rFonts w:ascii="Times New Roman" w:hAnsi="Times New Roman" w:cs="Times New Roman"/>
          <w:sz w:val="24"/>
          <w:szCs w:val="24"/>
        </w:rPr>
        <w:t xml:space="preserve"> and academic colleagues</w:t>
      </w:r>
      <w:r>
        <w:rPr>
          <w:rFonts w:ascii="Times New Roman" w:hAnsi="Times New Roman" w:cs="Times New Roman"/>
          <w:sz w:val="24"/>
          <w:szCs w:val="24"/>
        </w:rPr>
        <w:t xml:space="preserve">.  </w:t>
      </w:r>
    </w:p>
    <w:p w:rsidR="00E0791F" w:rsidRDefault="00E0791F" w:rsidP="009E4CC4">
      <w:pPr>
        <w:tabs>
          <w:tab w:val="left" w:pos="851"/>
          <w:tab w:val="left" w:pos="6804"/>
        </w:tabs>
        <w:spacing w:after="0" w:line="240" w:lineRule="auto"/>
        <w:contextualSpacing/>
        <w:jc w:val="both"/>
        <w:rPr>
          <w:rFonts w:ascii="Times New Roman" w:hAnsi="Times New Roman" w:cs="Times New Roman"/>
          <w:sz w:val="24"/>
          <w:szCs w:val="24"/>
        </w:rPr>
      </w:pPr>
    </w:p>
    <w:p w:rsidR="00D91EE8" w:rsidRDefault="00D91EE8" w:rsidP="009E4CC4">
      <w:pPr>
        <w:tabs>
          <w:tab w:val="left" w:pos="851"/>
          <w:tab w:val="left" w:pos="6804"/>
        </w:tabs>
        <w:spacing w:after="0" w:line="240" w:lineRule="auto"/>
        <w:contextualSpacing/>
        <w:jc w:val="both"/>
        <w:rPr>
          <w:rFonts w:ascii="Times New Roman" w:hAnsi="Times New Roman" w:cs="Times New Roman"/>
          <w:sz w:val="24"/>
          <w:szCs w:val="24"/>
        </w:rPr>
      </w:pPr>
    </w:p>
    <w:p w:rsidR="00D91EE8" w:rsidRDefault="00D91EE8" w:rsidP="009E4CC4">
      <w:pPr>
        <w:tabs>
          <w:tab w:val="left" w:pos="851"/>
          <w:tab w:val="left" w:pos="6804"/>
        </w:tabs>
        <w:spacing w:after="0" w:line="240" w:lineRule="auto"/>
        <w:contextualSpacing/>
        <w:jc w:val="both"/>
        <w:rPr>
          <w:rFonts w:ascii="Times New Roman" w:hAnsi="Times New Roman" w:cs="Times New Roman"/>
          <w:sz w:val="24"/>
          <w:szCs w:val="24"/>
        </w:rPr>
      </w:pPr>
    </w:p>
    <w:p w:rsidR="004C35CD" w:rsidRDefault="004C35CD" w:rsidP="009E4CC4">
      <w:pPr>
        <w:tabs>
          <w:tab w:val="left" w:pos="851"/>
          <w:tab w:val="left" w:pos="6804"/>
        </w:tabs>
        <w:spacing w:after="0" w:line="240" w:lineRule="auto"/>
        <w:contextualSpacing/>
        <w:jc w:val="both"/>
        <w:rPr>
          <w:rFonts w:ascii="Times New Roman" w:hAnsi="Times New Roman" w:cs="Times New Roman"/>
          <w:sz w:val="24"/>
          <w:szCs w:val="24"/>
        </w:rPr>
      </w:pPr>
    </w:p>
    <w:p w:rsidR="004C35CD" w:rsidRDefault="004C35CD" w:rsidP="009E4CC4">
      <w:pPr>
        <w:tabs>
          <w:tab w:val="left" w:pos="851"/>
          <w:tab w:val="left" w:pos="6804"/>
        </w:tabs>
        <w:spacing w:after="0" w:line="240" w:lineRule="auto"/>
        <w:contextualSpacing/>
        <w:jc w:val="both"/>
        <w:rPr>
          <w:rFonts w:ascii="Times New Roman" w:hAnsi="Times New Roman" w:cs="Times New Roman"/>
          <w:sz w:val="24"/>
          <w:szCs w:val="24"/>
        </w:rPr>
      </w:pPr>
    </w:p>
    <w:p w:rsidR="004C35CD" w:rsidRDefault="004C35CD" w:rsidP="009E4CC4">
      <w:pPr>
        <w:tabs>
          <w:tab w:val="left" w:pos="851"/>
          <w:tab w:val="left" w:pos="6804"/>
        </w:tabs>
        <w:spacing w:after="0" w:line="240" w:lineRule="auto"/>
        <w:contextualSpacing/>
        <w:jc w:val="both"/>
        <w:rPr>
          <w:rFonts w:ascii="Times New Roman" w:hAnsi="Times New Roman" w:cs="Times New Roman"/>
          <w:sz w:val="24"/>
          <w:szCs w:val="24"/>
        </w:rPr>
      </w:pPr>
    </w:p>
    <w:p w:rsidR="004C35CD" w:rsidRDefault="004C35CD" w:rsidP="009E4CC4">
      <w:pPr>
        <w:tabs>
          <w:tab w:val="left" w:pos="851"/>
          <w:tab w:val="left" w:pos="6804"/>
        </w:tabs>
        <w:spacing w:after="0" w:line="240" w:lineRule="auto"/>
        <w:contextualSpacing/>
        <w:jc w:val="both"/>
        <w:rPr>
          <w:rFonts w:ascii="Times New Roman" w:hAnsi="Times New Roman" w:cs="Times New Roman"/>
          <w:sz w:val="24"/>
          <w:szCs w:val="24"/>
        </w:rPr>
      </w:pPr>
    </w:p>
    <w:p w:rsidR="00D91EE8" w:rsidRPr="00D91EE8" w:rsidRDefault="00D91EE8" w:rsidP="009E4CC4">
      <w:pPr>
        <w:tabs>
          <w:tab w:val="left" w:pos="851"/>
          <w:tab w:val="left" w:pos="6804"/>
        </w:tabs>
        <w:spacing w:after="0" w:line="240" w:lineRule="auto"/>
        <w:contextualSpacing/>
        <w:jc w:val="both"/>
        <w:rPr>
          <w:rFonts w:ascii="Times New Roman" w:hAnsi="Times New Roman" w:cs="Times New Roman"/>
          <w:b/>
          <w:sz w:val="24"/>
          <w:szCs w:val="24"/>
        </w:rPr>
      </w:pPr>
    </w:p>
    <w:p w:rsidR="00BB2C9E" w:rsidRDefault="00D91EE8" w:rsidP="009E4CC4">
      <w:pPr>
        <w:tabs>
          <w:tab w:val="left" w:pos="851"/>
          <w:tab w:val="left" w:pos="6804"/>
        </w:tabs>
        <w:spacing w:after="0" w:line="240" w:lineRule="auto"/>
        <w:contextualSpacing/>
        <w:jc w:val="both"/>
        <w:rPr>
          <w:rFonts w:ascii="Times New Roman" w:hAnsi="Times New Roman" w:cs="Times New Roman"/>
          <w:sz w:val="24"/>
          <w:szCs w:val="24"/>
        </w:rPr>
      </w:pPr>
      <w:r w:rsidRPr="004C35CD">
        <w:rPr>
          <w:rFonts w:ascii="Times New Roman" w:hAnsi="Times New Roman" w:cs="Times New Roman"/>
          <w:b/>
          <w:sz w:val="24"/>
          <w:szCs w:val="24"/>
        </w:rPr>
        <w:t xml:space="preserve">College </w:t>
      </w:r>
      <w:r w:rsidR="00DA7BFF" w:rsidRPr="004C35CD">
        <w:rPr>
          <w:rFonts w:ascii="Times New Roman" w:hAnsi="Times New Roman" w:cs="Times New Roman"/>
          <w:b/>
          <w:sz w:val="24"/>
          <w:szCs w:val="24"/>
        </w:rPr>
        <w:t>Management</w:t>
      </w:r>
    </w:p>
    <w:p w:rsidR="00BB2C9E" w:rsidRPr="004C35CD" w:rsidRDefault="00BB2C9E" w:rsidP="009E4CC4">
      <w:pPr>
        <w:tabs>
          <w:tab w:val="left" w:pos="851"/>
          <w:tab w:val="left" w:pos="6804"/>
        </w:tabs>
        <w:spacing w:after="0" w:line="240" w:lineRule="auto"/>
        <w:contextualSpacing/>
        <w:jc w:val="both"/>
        <w:rPr>
          <w:rFonts w:ascii="Times New Roman" w:hAnsi="Times New Roman" w:cs="Times New Roman"/>
          <w:b/>
          <w:sz w:val="24"/>
          <w:szCs w:val="24"/>
        </w:rPr>
      </w:pPr>
      <w:r w:rsidRPr="004C35CD">
        <w:rPr>
          <w:rFonts w:ascii="Times New Roman" w:hAnsi="Times New Roman" w:cs="Times New Roman"/>
          <w:b/>
          <w:sz w:val="24"/>
          <w:szCs w:val="24"/>
        </w:rPr>
        <w:t>for and on behalf of the Staffing Management Committee</w:t>
      </w:r>
    </w:p>
    <w:p w:rsidR="00BB2977" w:rsidRPr="00402D7D" w:rsidRDefault="00027AEA" w:rsidP="00913E67">
      <w:pPr>
        <w:tabs>
          <w:tab w:val="left" w:pos="851"/>
          <w:tab w:val="left" w:pos="6804"/>
        </w:tabs>
        <w:spacing w:after="0" w:line="240" w:lineRule="auto"/>
        <w:contextualSpacing/>
        <w:jc w:val="both"/>
        <w:rPr>
          <w:rFonts w:ascii="Times New Roman" w:hAnsi="Times New Roman" w:cs="Times New Roman"/>
          <w:sz w:val="24"/>
          <w:szCs w:val="24"/>
        </w:rPr>
      </w:pPr>
      <w:r w:rsidRPr="004C35CD">
        <w:rPr>
          <w:rFonts w:ascii="Times New Roman" w:hAnsi="Times New Roman" w:cs="Times New Roman"/>
          <w:b/>
          <w:sz w:val="24"/>
          <w:szCs w:val="24"/>
        </w:rPr>
        <w:t>May 2016</w:t>
      </w:r>
    </w:p>
    <w:sectPr w:rsidR="00BB2977" w:rsidRPr="00402D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F5" w:rsidRDefault="009D28F5" w:rsidP="00E93FF8">
      <w:pPr>
        <w:spacing w:after="0" w:line="240" w:lineRule="auto"/>
      </w:pPr>
      <w:r>
        <w:separator/>
      </w:r>
    </w:p>
  </w:endnote>
  <w:endnote w:type="continuationSeparator" w:id="0">
    <w:p w:rsidR="009D28F5" w:rsidRDefault="009D28F5" w:rsidP="00E9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65826"/>
      <w:docPartObj>
        <w:docPartGallery w:val="Page Numbers (Bottom of Page)"/>
        <w:docPartUnique/>
      </w:docPartObj>
    </w:sdtPr>
    <w:sdtEndPr>
      <w:rPr>
        <w:noProof/>
      </w:rPr>
    </w:sdtEndPr>
    <w:sdtContent>
      <w:p w:rsidR="009D28F5" w:rsidRDefault="009D28F5">
        <w:pPr>
          <w:pStyle w:val="Footer"/>
          <w:jc w:val="center"/>
        </w:pPr>
        <w:r>
          <w:fldChar w:fldCharType="begin"/>
        </w:r>
        <w:r>
          <w:instrText xml:space="preserve"> PAGE   \* MERGEFORMAT </w:instrText>
        </w:r>
        <w:r>
          <w:fldChar w:fldCharType="separate"/>
        </w:r>
        <w:r w:rsidR="008472DF">
          <w:rPr>
            <w:noProof/>
          </w:rPr>
          <w:t>1</w:t>
        </w:r>
        <w:r>
          <w:rPr>
            <w:noProof/>
          </w:rPr>
          <w:fldChar w:fldCharType="end"/>
        </w:r>
        <w:r>
          <w:rPr>
            <w:noProof/>
          </w:rPr>
          <w:t>.</w:t>
        </w:r>
      </w:p>
    </w:sdtContent>
  </w:sdt>
  <w:p w:rsidR="009D28F5" w:rsidRDefault="009D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F5" w:rsidRDefault="009D28F5" w:rsidP="00E93FF8">
      <w:pPr>
        <w:spacing w:after="0" w:line="240" w:lineRule="auto"/>
      </w:pPr>
      <w:r>
        <w:separator/>
      </w:r>
    </w:p>
  </w:footnote>
  <w:footnote w:type="continuationSeparator" w:id="0">
    <w:p w:rsidR="009D28F5" w:rsidRDefault="009D28F5" w:rsidP="00E93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2738"/>
    <w:multiLevelType w:val="hybridMultilevel"/>
    <w:tmpl w:val="EF483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257306"/>
    <w:multiLevelType w:val="hybridMultilevel"/>
    <w:tmpl w:val="DCF64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2298F"/>
    <w:multiLevelType w:val="hybridMultilevel"/>
    <w:tmpl w:val="2D801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A82C2D"/>
    <w:multiLevelType w:val="hybridMultilevel"/>
    <w:tmpl w:val="BB846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0380F"/>
    <w:multiLevelType w:val="multilevel"/>
    <w:tmpl w:val="6CEAC8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112E46"/>
    <w:multiLevelType w:val="hybridMultilevel"/>
    <w:tmpl w:val="20781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E024E"/>
    <w:multiLevelType w:val="hybridMultilevel"/>
    <w:tmpl w:val="CDB2A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A9"/>
    <w:rsid w:val="00027AEA"/>
    <w:rsid w:val="000527DE"/>
    <w:rsid w:val="000603C1"/>
    <w:rsid w:val="00075245"/>
    <w:rsid w:val="00075BF5"/>
    <w:rsid w:val="00082653"/>
    <w:rsid w:val="00087642"/>
    <w:rsid w:val="000A0566"/>
    <w:rsid w:val="000B2700"/>
    <w:rsid w:val="00130A38"/>
    <w:rsid w:val="001911FE"/>
    <w:rsid w:val="001A5EF0"/>
    <w:rsid w:val="001B7FF3"/>
    <w:rsid w:val="001C70FF"/>
    <w:rsid w:val="00213C53"/>
    <w:rsid w:val="00297203"/>
    <w:rsid w:val="002A7C59"/>
    <w:rsid w:val="002E2F82"/>
    <w:rsid w:val="00321BED"/>
    <w:rsid w:val="00387132"/>
    <w:rsid w:val="0038769D"/>
    <w:rsid w:val="00402D7D"/>
    <w:rsid w:val="00420AAC"/>
    <w:rsid w:val="0043465D"/>
    <w:rsid w:val="004604FD"/>
    <w:rsid w:val="00494CC3"/>
    <w:rsid w:val="00496D22"/>
    <w:rsid w:val="004C35CD"/>
    <w:rsid w:val="004F660B"/>
    <w:rsid w:val="004F7145"/>
    <w:rsid w:val="0051207A"/>
    <w:rsid w:val="005201F4"/>
    <w:rsid w:val="0055097A"/>
    <w:rsid w:val="00555070"/>
    <w:rsid w:val="00575514"/>
    <w:rsid w:val="005871ED"/>
    <w:rsid w:val="005E1B3D"/>
    <w:rsid w:val="00611D70"/>
    <w:rsid w:val="00635E90"/>
    <w:rsid w:val="00651C02"/>
    <w:rsid w:val="00685B38"/>
    <w:rsid w:val="006970D2"/>
    <w:rsid w:val="006F1E46"/>
    <w:rsid w:val="007167BA"/>
    <w:rsid w:val="00726F10"/>
    <w:rsid w:val="00782195"/>
    <w:rsid w:val="007F6AF7"/>
    <w:rsid w:val="0080598E"/>
    <w:rsid w:val="008110F6"/>
    <w:rsid w:val="00820571"/>
    <w:rsid w:val="008472DF"/>
    <w:rsid w:val="0085475E"/>
    <w:rsid w:val="008C6839"/>
    <w:rsid w:val="00911542"/>
    <w:rsid w:val="00913E67"/>
    <w:rsid w:val="00962935"/>
    <w:rsid w:val="009B2BB3"/>
    <w:rsid w:val="009D28F5"/>
    <w:rsid w:val="009E1BD9"/>
    <w:rsid w:val="009E4CC4"/>
    <w:rsid w:val="009E6795"/>
    <w:rsid w:val="009F41AF"/>
    <w:rsid w:val="009F6BF7"/>
    <w:rsid w:val="00A01509"/>
    <w:rsid w:val="00A06AEE"/>
    <w:rsid w:val="00A4177D"/>
    <w:rsid w:val="00A45627"/>
    <w:rsid w:val="00A662CC"/>
    <w:rsid w:val="00A903E2"/>
    <w:rsid w:val="00AB5935"/>
    <w:rsid w:val="00AE05A9"/>
    <w:rsid w:val="00AF2CC6"/>
    <w:rsid w:val="00B36A1C"/>
    <w:rsid w:val="00B8586F"/>
    <w:rsid w:val="00B92B0E"/>
    <w:rsid w:val="00BB2977"/>
    <w:rsid w:val="00BB2C9E"/>
    <w:rsid w:val="00BD6B6A"/>
    <w:rsid w:val="00BF7082"/>
    <w:rsid w:val="00C15C6E"/>
    <w:rsid w:val="00C355C5"/>
    <w:rsid w:val="00CA12E2"/>
    <w:rsid w:val="00CC1E3E"/>
    <w:rsid w:val="00CD3393"/>
    <w:rsid w:val="00D02B46"/>
    <w:rsid w:val="00D14CE7"/>
    <w:rsid w:val="00D346DC"/>
    <w:rsid w:val="00D51877"/>
    <w:rsid w:val="00D60A17"/>
    <w:rsid w:val="00D67FBA"/>
    <w:rsid w:val="00D706AC"/>
    <w:rsid w:val="00D91EE8"/>
    <w:rsid w:val="00D9404D"/>
    <w:rsid w:val="00DA7BFF"/>
    <w:rsid w:val="00DC4ECE"/>
    <w:rsid w:val="00DE4BD0"/>
    <w:rsid w:val="00E0791F"/>
    <w:rsid w:val="00E139C4"/>
    <w:rsid w:val="00E24B5C"/>
    <w:rsid w:val="00E4552D"/>
    <w:rsid w:val="00E5749F"/>
    <w:rsid w:val="00E903BA"/>
    <w:rsid w:val="00E93FF8"/>
    <w:rsid w:val="00EA1E5B"/>
    <w:rsid w:val="00EE35D1"/>
    <w:rsid w:val="00EF6EC8"/>
    <w:rsid w:val="00EF7EAE"/>
    <w:rsid w:val="00F17A3B"/>
    <w:rsid w:val="00F230F8"/>
    <w:rsid w:val="00F32C91"/>
    <w:rsid w:val="00F44CD2"/>
    <w:rsid w:val="00F50CDA"/>
    <w:rsid w:val="00F96C9B"/>
    <w:rsid w:val="00FA1CF2"/>
    <w:rsid w:val="00FB2019"/>
    <w:rsid w:val="00FC6914"/>
    <w:rsid w:val="00FE76C3"/>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628E0-DD9F-4C12-9996-3856E211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5A9"/>
    <w:pPr>
      <w:ind w:left="720"/>
      <w:contextualSpacing/>
    </w:pPr>
  </w:style>
  <w:style w:type="table" w:styleId="TableGrid">
    <w:name w:val="Table Grid"/>
    <w:basedOn w:val="TableNormal"/>
    <w:uiPriority w:val="59"/>
    <w:rsid w:val="009E4CC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FF3"/>
    <w:rPr>
      <w:color w:val="0000FF" w:themeColor="hyperlink"/>
      <w:u w:val="single"/>
    </w:rPr>
  </w:style>
  <w:style w:type="paragraph" w:styleId="BalloonText">
    <w:name w:val="Balloon Text"/>
    <w:basedOn w:val="Normal"/>
    <w:link w:val="BalloonTextChar"/>
    <w:uiPriority w:val="99"/>
    <w:semiHidden/>
    <w:unhideWhenUsed/>
    <w:rsid w:val="00E4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2D"/>
    <w:rPr>
      <w:rFonts w:ascii="Tahoma" w:hAnsi="Tahoma" w:cs="Tahoma"/>
      <w:sz w:val="16"/>
      <w:szCs w:val="16"/>
    </w:rPr>
  </w:style>
  <w:style w:type="paragraph" w:styleId="Header">
    <w:name w:val="header"/>
    <w:basedOn w:val="Normal"/>
    <w:link w:val="HeaderChar"/>
    <w:unhideWhenUsed/>
    <w:rsid w:val="00E93FF8"/>
    <w:pPr>
      <w:tabs>
        <w:tab w:val="center" w:pos="4513"/>
        <w:tab w:val="right" w:pos="9026"/>
      </w:tabs>
      <w:spacing w:after="0" w:line="240" w:lineRule="auto"/>
    </w:pPr>
  </w:style>
  <w:style w:type="character" w:customStyle="1" w:styleId="HeaderChar">
    <w:name w:val="Header Char"/>
    <w:basedOn w:val="DefaultParagraphFont"/>
    <w:link w:val="Header"/>
    <w:rsid w:val="00E93FF8"/>
  </w:style>
  <w:style w:type="paragraph" w:styleId="Footer">
    <w:name w:val="footer"/>
    <w:basedOn w:val="Normal"/>
    <w:link w:val="FooterChar"/>
    <w:uiPriority w:val="99"/>
    <w:unhideWhenUsed/>
    <w:rsid w:val="00E9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ac.uk/schools-departments/edinburgh-research-innovation/consultancy/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3012</Words>
  <Characters>17171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GRIBBEN Frank</dc:creator>
  <cp:lastModifiedBy>SAGNET Christophe</cp:lastModifiedBy>
  <cp:revision>2</cp:revision>
  <cp:lastPrinted>2014-07-03T09:18:00Z</cp:lastPrinted>
  <dcterms:created xsi:type="dcterms:W3CDTF">2017-11-16T16:15:00Z</dcterms:created>
  <dcterms:modified xsi:type="dcterms:W3CDTF">2017-11-16T16:15:00Z</dcterms:modified>
</cp:coreProperties>
</file>