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3656" w14:textId="5ACF98F1" w:rsidR="000D499D" w:rsidRPr="00A02D23" w:rsidRDefault="0052510E" w:rsidP="0052510E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C05365" wp14:editId="61BCEEBA">
            <wp:simplePos x="0" y="0"/>
            <wp:positionH relativeFrom="page">
              <wp:posOffset>4664075</wp:posOffset>
            </wp:positionH>
            <wp:positionV relativeFrom="page">
              <wp:posOffset>523875</wp:posOffset>
            </wp:positionV>
            <wp:extent cx="2534400" cy="608400"/>
            <wp:effectExtent l="0" t="0" r="0" b="1270"/>
            <wp:wrapSquare wrapText="bothSides"/>
            <wp:docPr id="1" name="Picture 1" descr="C:\Users\shunter5\AppData\Local\Microsoft\Windows\Temporary Internet Files\Content.Word\UoE_Stacked Logo_Black_v1_16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nter5\AppData\Local\Microsoft\Windows\Temporary Internet Files\Content.Word\UoE_Stacked Logo_Black_v1_16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CF">
        <w:t>Student Support Services</w:t>
      </w:r>
      <w:r w:rsidR="00B92DE5">
        <w:t xml:space="preserve"> Annual Review</w:t>
      </w:r>
    </w:p>
    <w:p w14:paraId="19C14767" w14:textId="77777777" w:rsidR="00D413F9" w:rsidRDefault="00D413F9" w:rsidP="00D413F9">
      <w:pPr>
        <w:jc w:val="center"/>
        <w:rPr>
          <w:rFonts w:ascii="Arial" w:hAnsi="Arial" w:cs="Arial"/>
          <w:color w:val="000000"/>
        </w:rPr>
      </w:pPr>
    </w:p>
    <w:p w14:paraId="6F3FCA9A" w14:textId="5820D833" w:rsidR="00D17759" w:rsidRDefault="006F6AB6" w:rsidP="00FA42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AC3C62">
        <w:rPr>
          <w:rFonts w:ascii="Arial" w:hAnsi="Arial" w:cs="Arial"/>
          <w:color w:val="000000"/>
        </w:rPr>
        <w:t xml:space="preserve"> report should be the output of a reflective process</w:t>
      </w:r>
      <w:r w:rsidR="001B26CF">
        <w:rPr>
          <w:rFonts w:ascii="Arial" w:hAnsi="Arial" w:cs="Arial"/>
          <w:color w:val="000000"/>
        </w:rPr>
        <w:t xml:space="preserve">, focusing on activities </w:t>
      </w:r>
      <w:r w:rsidR="001B26CF" w:rsidRPr="00BF38CE">
        <w:rPr>
          <w:rFonts w:ascii="Arial" w:hAnsi="Arial" w:cs="Arial"/>
          <w:b/>
          <w:color w:val="000000"/>
          <w:u w:val="single"/>
        </w:rPr>
        <w:t>over the past academic year</w:t>
      </w:r>
      <w:r w:rsidR="00AC3C62">
        <w:rPr>
          <w:rFonts w:ascii="Arial" w:hAnsi="Arial" w:cs="Arial"/>
          <w:color w:val="000000"/>
        </w:rPr>
        <w:t>.</w:t>
      </w:r>
      <w:r w:rsidR="006D430A">
        <w:rPr>
          <w:rFonts w:ascii="Arial" w:hAnsi="Arial" w:cs="Arial"/>
          <w:color w:val="000000"/>
        </w:rPr>
        <w:t xml:space="preserve"> </w:t>
      </w:r>
      <w:r w:rsidR="00AC3C62">
        <w:rPr>
          <w:rFonts w:ascii="Arial" w:hAnsi="Arial" w:cs="Arial"/>
          <w:color w:val="000000"/>
        </w:rPr>
        <w:t xml:space="preserve">It </w:t>
      </w:r>
      <w:r w:rsidR="006D430A">
        <w:rPr>
          <w:rFonts w:ascii="Arial" w:hAnsi="Arial" w:cs="Arial"/>
          <w:color w:val="000000"/>
        </w:rPr>
        <w:t>should</w:t>
      </w:r>
      <w:r w:rsidR="001B26CF">
        <w:rPr>
          <w:rFonts w:ascii="Arial" w:hAnsi="Arial" w:cs="Arial"/>
          <w:color w:val="000000"/>
        </w:rPr>
        <w:t xml:space="preserve"> </w:t>
      </w:r>
      <w:r w:rsidR="006D430A">
        <w:rPr>
          <w:rFonts w:ascii="Arial" w:hAnsi="Arial" w:cs="Arial"/>
          <w:color w:val="000000"/>
        </w:rPr>
        <w:t xml:space="preserve">focus on </w:t>
      </w:r>
      <w:r w:rsidR="00B54534">
        <w:rPr>
          <w:rFonts w:ascii="Arial" w:hAnsi="Arial" w:cs="Arial"/>
          <w:color w:val="000000"/>
        </w:rPr>
        <w:t xml:space="preserve">the student experience and activities that relate to student use of </w:t>
      </w:r>
      <w:r>
        <w:rPr>
          <w:rFonts w:ascii="Arial" w:hAnsi="Arial" w:cs="Arial"/>
          <w:color w:val="000000"/>
        </w:rPr>
        <w:t>the</w:t>
      </w:r>
      <w:r w:rsidR="00B54534">
        <w:rPr>
          <w:rFonts w:ascii="Arial" w:hAnsi="Arial" w:cs="Arial"/>
          <w:color w:val="000000"/>
        </w:rPr>
        <w:t xml:space="preserve"> service. The report should be brief</w:t>
      </w:r>
      <w:r w:rsidR="000D499D">
        <w:rPr>
          <w:rFonts w:ascii="Arial" w:hAnsi="Arial" w:cs="Arial"/>
          <w:color w:val="000000"/>
        </w:rPr>
        <w:t>, no longer than 10 pages</w:t>
      </w:r>
      <w:r>
        <w:rPr>
          <w:rFonts w:ascii="Arial" w:hAnsi="Arial" w:cs="Arial"/>
          <w:color w:val="000000"/>
        </w:rPr>
        <w:t xml:space="preserve">. </w:t>
      </w:r>
      <w:r w:rsidR="00B54534">
        <w:rPr>
          <w:rFonts w:ascii="Arial" w:hAnsi="Arial" w:cs="Arial"/>
          <w:color w:val="000000"/>
        </w:rPr>
        <w:t xml:space="preserve">The </w:t>
      </w:r>
      <w:hyperlink r:id="rId8" w:history="1">
        <w:r w:rsidR="004F4A02" w:rsidRPr="00C51670">
          <w:rPr>
            <w:rStyle w:val="Hyperlink"/>
            <w:rFonts w:ascii="Arial" w:hAnsi="Arial" w:cs="Arial"/>
          </w:rPr>
          <w:t>Student Support Services Annual Review</w:t>
        </w:r>
        <w:r w:rsidR="00B54534" w:rsidRPr="00C51670">
          <w:rPr>
            <w:rStyle w:val="Hyperlink"/>
            <w:rFonts w:ascii="Arial" w:hAnsi="Arial" w:cs="Arial"/>
          </w:rPr>
          <w:t xml:space="preserve"> policy</w:t>
        </w:r>
      </w:hyperlink>
      <w:r w:rsidR="00B54534">
        <w:rPr>
          <w:rFonts w:ascii="Arial" w:hAnsi="Arial" w:cs="Arial"/>
          <w:color w:val="000000"/>
        </w:rPr>
        <w:t xml:space="preserve"> contains an overview of the process.</w:t>
      </w:r>
    </w:p>
    <w:p w14:paraId="7D4C5D6B" w14:textId="77777777" w:rsidR="00D17759" w:rsidRPr="00A02D23" w:rsidRDefault="00D17759" w:rsidP="00D413F9">
      <w:pPr>
        <w:jc w:val="center"/>
        <w:rPr>
          <w:rFonts w:ascii="Arial" w:hAnsi="Arial" w:cs="Arial"/>
          <w:color w:val="000000"/>
        </w:rPr>
      </w:pPr>
    </w:p>
    <w:p w14:paraId="26DCF35E" w14:textId="6CE15DFE" w:rsidR="00105506" w:rsidRDefault="00105506" w:rsidP="00EE20C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color w:val="000000"/>
        </w:rPr>
      </w:pPr>
      <w:r w:rsidRPr="00A02D23">
        <w:rPr>
          <w:rFonts w:ascii="Arial" w:hAnsi="Arial" w:cs="Arial"/>
          <w:b/>
          <w:color w:val="000000"/>
        </w:rPr>
        <w:t xml:space="preserve">Service Value </w:t>
      </w:r>
      <w:r w:rsidR="00644529" w:rsidRPr="00A02D23">
        <w:rPr>
          <w:rFonts w:ascii="Arial" w:hAnsi="Arial" w:cs="Arial"/>
          <w:b/>
          <w:color w:val="000000"/>
        </w:rPr>
        <w:t>Assessment</w:t>
      </w:r>
      <w:r w:rsidR="00B54534">
        <w:rPr>
          <w:rFonts w:ascii="Arial" w:hAnsi="Arial" w:cs="Arial"/>
          <w:b/>
          <w:color w:val="000000"/>
        </w:rPr>
        <w:t>: Academic Year 20</w:t>
      </w:r>
      <w:r w:rsidR="00830D4D">
        <w:rPr>
          <w:rFonts w:ascii="Arial" w:hAnsi="Arial" w:cs="Arial"/>
          <w:b/>
          <w:color w:val="000000"/>
        </w:rPr>
        <w:t>17/18</w:t>
      </w:r>
    </w:p>
    <w:p w14:paraId="5E218439" w14:textId="77777777" w:rsidR="00AC23CA" w:rsidRDefault="00AC23CA" w:rsidP="00644529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C3C62" w:rsidRPr="00AC3C62" w14:paraId="13E40E0B" w14:textId="77777777" w:rsidTr="000D499D">
        <w:tc>
          <w:tcPr>
            <w:tcW w:w="1980" w:type="dxa"/>
            <w:shd w:val="clear" w:color="auto" w:fill="C6D9F1" w:themeFill="text2" w:themeFillTint="33"/>
          </w:tcPr>
          <w:p w14:paraId="29C670F0" w14:textId="098DDC99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7654" w:type="dxa"/>
          </w:tcPr>
          <w:p w14:paraId="3CE76395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  <w:tr w:rsidR="00AC3C62" w:rsidRPr="00AC3C62" w14:paraId="1DB3D666" w14:textId="77777777" w:rsidTr="000D499D">
        <w:tc>
          <w:tcPr>
            <w:tcW w:w="1980" w:type="dxa"/>
            <w:shd w:val="clear" w:color="auto" w:fill="C6D9F1" w:themeFill="text2" w:themeFillTint="33"/>
          </w:tcPr>
          <w:p w14:paraId="2EFB7757" w14:textId="22548E8F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Submitted by:</w:t>
            </w:r>
          </w:p>
        </w:tc>
        <w:tc>
          <w:tcPr>
            <w:tcW w:w="7654" w:type="dxa"/>
          </w:tcPr>
          <w:p w14:paraId="001E190E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  <w:tr w:rsidR="00AC3C62" w:rsidRPr="00AC3C62" w14:paraId="33565C5F" w14:textId="77777777" w:rsidTr="000D499D">
        <w:tc>
          <w:tcPr>
            <w:tcW w:w="1980" w:type="dxa"/>
            <w:shd w:val="clear" w:color="auto" w:fill="C6D9F1" w:themeFill="text2" w:themeFillTint="33"/>
          </w:tcPr>
          <w:p w14:paraId="1734D642" w14:textId="20EDC789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54" w:type="dxa"/>
          </w:tcPr>
          <w:p w14:paraId="610C639D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</w:tbl>
    <w:p w14:paraId="56B930B6" w14:textId="77777777" w:rsidR="00D955C4" w:rsidRDefault="00D955C4" w:rsidP="005468CF">
      <w:pPr>
        <w:rPr>
          <w:rFonts w:ascii="Arial" w:hAnsi="Arial" w:cs="Arial"/>
          <w:color w:val="1F497D"/>
        </w:rPr>
      </w:pPr>
    </w:p>
    <w:p w14:paraId="46F1E954" w14:textId="40957404" w:rsidR="00BB6071" w:rsidRPr="0052510E" w:rsidRDefault="00F4763C" w:rsidP="0052510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Reflection on </w:t>
      </w:r>
      <w:r w:rsidR="0052510E" w:rsidRPr="0052510E">
        <w:rPr>
          <w:rFonts w:ascii="Arial" w:hAnsi="Arial" w:cs="Arial"/>
        </w:rPr>
        <w:t>Previous</w:t>
      </w:r>
      <w:r w:rsidR="00BB6071" w:rsidRPr="0052510E">
        <w:rPr>
          <w:rFonts w:ascii="Arial" w:hAnsi="Arial" w:cs="Arial"/>
        </w:rPr>
        <w:t xml:space="preserve"> R</w:t>
      </w:r>
      <w:r w:rsidR="0052510E" w:rsidRPr="0052510E">
        <w:rPr>
          <w:rFonts w:ascii="Arial" w:hAnsi="Arial" w:cs="Arial"/>
        </w:rPr>
        <w:t>eview</w:t>
      </w:r>
    </w:p>
    <w:p w14:paraId="7C092475" w14:textId="77777777" w:rsidR="00B92DE5" w:rsidRPr="00A02D23" w:rsidRDefault="00B92DE5" w:rsidP="005468CF">
      <w:pPr>
        <w:rPr>
          <w:rFonts w:ascii="Arial" w:hAnsi="Arial" w:cs="Arial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2C4" w14:paraId="0FA60843" w14:textId="77777777" w:rsidTr="000D499D">
        <w:tc>
          <w:tcPr>
            <w:tcW w:w="9628" w:type="dxa"/>
            <w:shd w:val="clear" w:color="auto" w:fill="C6D9F1" w:themeFill="text2" w:themeFillTint="33"/>
          </w:tcPr>
          <w:p w14:paraId="1454AE0E" w14:textId="1CB2CE92" w:rsidR="00FA42C4" w:rsidRPr="008D7E94" w:rsidRDefault="00FA42C4" w:rsidP="00A07F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color w:val="000000"/>
              </w:rPr>
            </w:pPr>
            <w:r w:rsidRPr="008D7E94">
              <w:rPr>
                <w:rFonts w:ascii="Arial" w:hAnsi="Arial" w:cs="Arial"/>
                <w:bCs/>
                <w:iCs/>
                <w:color w:val="000000"/>
              </w:rPr>
              <w:t xml:space="preserve">Summary of </w:t>
            </w:r>
            <w:r w:rsidR="00480FB3">
              <w:rPr>
                <w:rFonts w:ascii="Arial" w:hAnsi="Arial" w:cs="Arial"/>
                <w:bCs/>
                <w:iCs/>
                <w:color w:val="000000"/>
              </w:rPr>
              <w:t xml:space="preserve">the </w:t>
            </w:r>
            <w:r w:rsidRPr="008D7E94">
              <w:rPr>
                <w:rFonts w:ascii="Arial" w:hAnsi="Arial" w:cs="Arial"/>
                <w:bCs/>
                <w:iCs/>
                <w:color w:val="000000"/>
              </w:rPr>
              <w:t>impact of activit</w:t>
            </w:r>
            <w:r w:rsidR="00A01187" w:rsidRPr="008D7E94">
              <w:rPr>
                <w:rFonts w:ascii="Arial" w:hAnsi="Arial" w:cs="Arial"/>
                <w:bCs/>
                <w:iCs/>
                <w:color w:val="000000"/>
              </w:rPr>
              <w:t>ies</w:t>
            </w:r>
            <w:r w:rsidRPr="008D7E94">
              <w:rPr>
                <w:rFonts w:ascii="Arial" w:hAnsi="Arial" w:cs="Arial"/>
                <w:bCs/>
                <w:iCs/>
                <w:color w:val="000000"/>
              </w:rPr>
              <w:t xml:space="preserve"> from </w:t>
            </w:r>
            <w:r w:rsidR="00A01187" w:rsidRPr="008D7E94">
              <w:rPr>
                <w:rFonts w:ascii="Arial" w:hAnsi="Arial" w:cs="Arial"/>
                <w:bCs/>
                <w:iCs/>
                <w:color w:val="000000"/>
              </w:rPr>
              <w:t xml:space="preserve">the </w:t>
            </w:r>
            <w:r w:rsidRPr="008D7E94">
              <w:rPr>
                <w:rFonts w:ascii="Arial" w:hAnsi="Arial" w:cs="Arial"/>
                <w:bCs/>
                <w:iCs/>
                <w:color w:val="000000"/>
              </w:rPr>
              <w:t xml:space="preserve">previous </w:t>
            </w:r>
            <w:r w:rsidR="00A01187" w:rsidRPr="008D7E94">
              <w:rPr>
                <w:rFonts w:ascii="Arial" w:hAnsi="Arial" w:cs="Arial"/>
                <w:bCs/>
                <w:iCs/>
                <w:color w:val="000000"/>
              </w:rPr>
              <w:t xml:space="preserve">academic </w:t>
            </w:r>
            <w:r w:rsidRPr="008D7E94">
              <w:rPr>
                <w:rFonts w:ascii="Arial" w:hAnsi="Arial" w:cs="Arial"/>
                <w:bCs/>
                <w:iCs/>
                <w:color w:val="000000"/>
              </w:rPr>
              <w:t>year</w:t>
            </w:r>
            <w:r w:rsidR="0059580F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A07F4A">
              <w:rPr>
                <w:rFonts w:ascii="Arial" w:hAnsi="Arial" w:cs="Arial"/>
                <w:bCs/>
                <w:iCs/>
                <w:color w:val="000000"/>
              </w:rPr>
              <w:t xml:space="preserve">on the student experience </w:t>
            </w:r>
            <w:r w:rsidR="0059580F">
              <w:rPr>
                <w:rFonts w:ascii="Arial" w:hAnsi="Arial" w:cs="Arial"/>
                <w:bCs/>
                <w:iCs/>
                <w:color w:val="000000"/>
              </w:rPr>
              <w:t xml:space="preserve">and how </w:t>
            </w:r>
            <w:r w:rsidR="00480FB3">
              <w:rPr>
                <w:rFonts w:ascii="Arial" w:hAnsi="Arial" w:cs="Arial"/>
                <w:bCs/>
                <w:iCs/>
                <w:color w:val="000000"/>
              </w:rPr>
              <w:t xml:space="preserve">these </w:t>
            </w:r>
            <w:r w:rsidR="0059580F">
              <w:rPr>
                <w:rFonts w:ascii="Arial" w:hAnsi="Arial" w:cs="Arial"/>
                <w:bCs/>
                <w:iCs/>
                <w:color w:val="000000"/>
              </w:rPr>
              <w:t>contribute to University Strategy</w:t>
            </w:r>
          </w:p>
        </w:tc>
      </w:tr>
      <w:tr w:rsidR="00FA42C4" w14:paraId="28DAC7ED" w14:textId="77777777" w:rsidTr="00FA42C4">
        <w:tc>
          <w:tcPr>
            <w:tcW w:w="9628" w:type="dxa"/>
          </w:tcPr>
          <w:p w14:paraId="28706C23" w14:textId="2CA72C46" w:rsidR="00A07F4A" w:rsidRPr="00A07F4A" w:rsidRDefault="00A07F4A" w:rsidP="00A07F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9F1258" w:rsidRPr="00A07F4A">
              <w:rPr>
                <w:rFonts w:ascii="Arial" w:hAnsi="Arial" w:cs="Arial"/>
                <w:i/>
              </w:rPr>
              <w:t>pdate on actions and</w:t>
            </w:r>
            <w:r>
              <w:rPr>
                <w:rFonts w:ascii="Arial" w:hAnsi="Arial" w:cs="Arial"/>
                <w:i/>
              </w:rPr>
              <w:t xml:space="preserve"> their</w:t>
            </w:r>
            <w:r w:rsidR="009F1258" w:rsidRPr="00A07F4A">
              <w:rPr>
                <w:rFonts w:ascii="Arial" w:hAnsi="Arial" w:cs="Arial"/>
                <w:i/>
              </w:rPr>
              <w:t xml:space="preserve"> impact </w:t>
            </w:r>
            <w:r>
              <w:rPr>
                <w:rFonts w:ascii="Arial" w:hAnsi="Arial" w:cs="Arial"/>
                <w:i/>
              </w:rPr>
              <w:t xml:space="preserve">on the student experience </w:t>
            </w:r>
            <w:r w:rsidR="009F1258" w:rsidRPr="00A07F4A">
              <w:rPr>
                <w:rFonts w:ascii="Arial" w:hAnsi="Arial" w:cs="Arial"/>
                <w:i/>
              </w:rPr>
              <w:t>in relation to priorities outlined</w:t>
            </w:r>
            <w:r w:rsidR="00BF38CE">
              <w:rPr>
                <w:rFonts w:ascii="Arial" w:hAnsi="Arial" w:cs="Arial"/>
                <w:i/>
              </w:rPr>
              <w:t xml:space="preserve"> in and areas for consideration identified from last year’s report </w:t>
            </w:r>
            <w:r w:rsidR="00EF55BC" w:rsidRPr="00A07F4A">
              <w:rPr>
                <w:rFonts w:ascii="Arial" w:hAnsi="Arial" w:cs="Arial"/>
                <w:i/>
                <w:color w:val="FF0000"/>
              </w:rPr>
              <w:t>(</w:t>
            </w:r>
            <w:r w:rsidR="00C70960">
              <w:rPr>
                <w:rFonts w:ascii="Arial" w:hAnsi="Arial" w:cs="Arial"/>
                <w:i/>
                <w:color w:val="FF0000"/>
              </w:rPr>
              <w:t xml:space="preserve">areas for consideration will </w:t>
            </w:r>
            <w:r w:rsidR="00EF55BC" w:rsidRPr="00A07F4A">
              <w:rPr>
                <w:rFonts w:ascii="Arial" w:hAnsi="Arial" w:cs="Arial"/>
                <w:i/>
                <w:color w:val="FF0000"/>
              </w:rPr>
              <w:t>be added here by Academic Services)</w:t>
            </w:r>
            <w:r>
              <w:rPr>
                <w:rFonts w:ascii="Arial" w:hAnsi="Arial" w:cs="Arial"/>
                <w:i/>
                <w:color w:val="FF0000"/>
              </w:rPr>
              <w:t>.</w:t>
            </w:r>
          </w:p>
          <w:p w14:paraId="01356337" w14:textId="021FF6FE" w:rsidR="0059580F" w:rsidRPr="00A07F4A" w:rsidRDefault="0059580F" w:rsidP="00A07F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A07F4A">
              <w:rPr>
                <w:rFonts w:ascii="Arial" w:hAnsi="Arial" w:cs="Arial"/>
                <w:i/>
                <w:iCs/>
                <w:color w:val="000000"/>
              </w:rPr>
              <w:t xml:space="preserve">Include links between activities and the University’s Strategic Plan and/or to other key University strategies </w:t>
            </w:r>
            <w:r w:rsidR="00A07F4A">
              <w:rPr>
                <w:rFonts w:ascii="Arial" w:hAnsi="Arial" w:cs="Arial"/>
                <w:i/>
                <w:iCs/>
                <w:color w:val="000000"/>
              </w:rPr>
              <w:t>as</w:t>
            </w:r>
            <w:r w:rsidRPr="00A07F4A">
              <w:rPr>
                <w:rFonts w:ascii="Arial" w:hAnsi="Arial" w:cs="Arial"/>
                <w:i/>
                <w:iCs/>
                <w:color w:val="000000"/>
              </w:rPr>
              <w:t xml:space="preserve"> appropriate.</w:t>
            </w:r>
          </w:p>
          <w:p w14:paraId="6F97AD28" w14:textId="4FEEEB3C" w:rsidR="009B0097" w:rsidRPr="002D1E5A" w:rsidRDefault="009B0097" w:rsidP="00900AFC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794D4151" w14:textId="77777777" w:rsidR="00D955C4" w:rsidRDefault="00D955C4" w:rsidP="00C817F1">
      <w:pPr>
        <w:rPr>
          <w:rFonts w:ascii="Arial" w:hAnsi="Arial" w:cs="Arial"/>
          <w:i/>
          <w:iCs/>
          <w:color w:val="000000"/>
        </w:rPr>
      </w:pPr>
    </w:p>
    <w:p w14:paraId="5B8BB125" w14:textId="7461FEEC" w:rsidR="00BB6071" w:rsidRDefault="0052510E" w:rsidP="0052510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Measures of Success</w:t>
      </w:r>
    </w:p>
    <w:p w14:paraId="05C8A22E" w14:textId="77777777" w:rsidR="00B92DE5" w:rsidRPr="00B92DE5" w:rsidRDefault="00B92DE5" w:rsidP="00C817F1">
      <w:pPr>
        <w:rPr>
          <w:rFonts w:ascii="Arial" w:hAnsi="Arial" w:cs="Arial"/>
          <w:iCs/>
          <w:color w:val="00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3"/>
        <w:gridCol w:w="6"/>
      </w:tblGrid>
      <w:tr w:rsidR="004938F4" w:rsidRPr="004938F4" w14:paraId="24086261" w14:textId="77777777" w:rsidTr="007641A2">
        <w:tc>
          <w:tcPr>
            <w:tcW w:w="9639" w:type="dxa"/>
            <w:gridSpan w:val="2"/>
            <w:shd w:val="clear" w:color="auto" w:fill="C6D9F1" w:themeFill="text2" w:themeFillTint="33"/>
          </w:tcPr>
          <w:p w14:paraId="7BB6848F" w14:textId="044F4170" w:rsidR="004938F4" w:rsidRPr="004938F4" w:rsidRDefault="00A07F4A" w:rsidP="00BF38CE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Reflection on</w:t>
            </w:r>
            <w:r w:rsidR="007641A2">
              <w:rPr>
                <w:rFonts w:ascii="Arial" w:hAnsi="Arial" w:cs="Arial"/>
                <w:color w:val="000000"/>
              </w:rPr>
              <w:t xml:space="preserve"> </w:t>
            </w:r>
            <w:r w:rsidR="00BF38CE">
              <w:rPr>
                <w:rFonts w:ascii="Arial" w:hAnsi="Arial" w:cs="Arial"/>
                <w:color w:val="000000"/>
              </w:rPr>
              <w:t xml:space="preserve">user </w:t>
            </w:r>
            <w:r w:rsidR="00C2221C">
              <w:rPr>
                <w:rFonts w:ascii="Arial" w:hAnsi="Arial" w:cs="Arial"/>
                <w:color w:val="000000"/>
              </w:rPr>
              <w:t>engagement</w:t>
            </w:r>
            <w:r w:rsidR="007641A2">
              <w:rPr>
                <w:rFonts w:ascii="Arial" w:hAnsi="Arial" w:cs="Arial"/>
                <w:color w:val="000000"/>
              </w:rPr>
              <w:t xml:space="preserve"> and feedback, </w:t>
            </w:r>
            <w:r w:rsidR="00BF38CE">
              <w:rPr>
                <w:rFonts w:ascii="Arial" w:hAnsi="Arial" w:cs="Arial"/>
                <w:color w:val="000000"/>
              </w:rPr>
              <w:t xml:space="preserve">usage, </w:t>
            </w:r>
            <w:r w:rsidR="007641A2">
              <w:rPr>
                <w:rFonts w:ascii="Arial" w:hAnsi="Arial" w:cs="Arial"/>
                <w:color w:val="000000"/>
              </w:rPr>
              <w:t>partnership working and</w:t>
            </w:r>
            <w:r w:rsidR="00AB238B">
              <w:rPr>
                <w:rFonts w:ascii="Arial" w:hAnsi="Arial" w:cs="Arial"/>
                <w:color w:val="000000"/>
              </w:rPr>
              <w:t xml:space="preserve"> externality </w:t>
            </w:r>
            <w:r w:rsidR="007641A2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B238B" w:rsidRPr="004938F4" w14:paraId="6BE42670" w14:textId="77777777" w:rsidTr="007641A2">
        <w:tc>
          <w:tcPr>
            <w:tcW w:w="9639" w:type="dxa"/>
            <w:gridSpan w:val="2"/>
          </w:tcPr>
          <w:p w14:paraId="1E0B1296" w14:textId="6663274C" w:rsidR="00AB238B" w:rsidRPr="00BB38AD" w:rsidRDefault="00AB238B" w:rsidP="00AB238B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User </w:t>
            </w:r>
            <w:r w:rsidR="00C2221C">
              <w:rPr>
                <w:rFonts w:ascii="Arial" w:hAnsi="Arial" w:cs="Arial"/>
                <w:b/>
                <w:i/>
                <w:iCs/>
                <w:color w:val="000000"/>
              </w:rPr>
              <w:t>engagement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 and feedback </w:t>
            </w:r>
          </w:p>
          <w:p w14:paraId="3239BBBE" w14:textId="08C0D32C" w:rsidR="00AB238B" w:rsidRPr="002D1E5A" w:rsidRDefault="00AB238B" w:rsidP="00900AFC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Summarise and reflect upon how service users were engaged and their feedback was gathered/satisfaction was measured</w:t>
            </w:r>
            <w:r w:rsidR="00900AFC">
              <w:rPr>
                <w:rFonts w:ascii="Arial" w:hAnsi="Arial" w:cs="Arial"/>
                <w:i/>
                <w:iCs/>
                <w:color w:val="000000"/>
              </w:rPr>
              <w:t xml:space="preserve"> giving a brief description of the mechanisms used for evaluation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4938F4" w:rsidRPr="004938F4" w14:paraId="19D265E9" w14:textId="77777777" w:rsidTr="007641A2">
        <w:tc>
          <w:tcPr>
            <w:tcW w:w="9639" w:type="dxa"/>
            <w:gridSpan w:val="2"/>
          </w:tcPr>
          <w:p w14:paraId="4ED937CA" w14:textId="60567ABB" w:rsidR="00A07F4A" w:rsidRPr="00AB238B" w:rsidRDefault="00AB238B" w:rsidP="00A07F4A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Analysis of service usage </w:t>
            </w:r>
          </w:p>
          <w:p w14:paraId="57A2C235" w14:textId="7709102F" w:rsidR="00AB238B" w:rsidRDefault="00AB238B" w:rsidP="00AB238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Briefly outline </w:t>
            </w:r>
            <w:r w:rsidR="009F1258" w:rsidRPr="00AB238B">
              <w:rPr>
                <w:rFonts w:ascii="Arial" w:hAnsi="Arial" w:cs="Arial"/>
                <w:i/>
                <w:iCs/>
                <w:color w:val="000000"/>
              </w:rPr>
              <w:t xml:space="preserve">key </w:t>
            </w:r>
            <w:r w:rsidR="004938F4" w:rsidRPr="00AB238B">
              <w:rPr>
                <w:rFonts w:ascii="Arial" w:hAnsi="Arial" w:cs="Arial"/>
                <w:i/>
                <w:iCs/>
                <w:color w:val="000000"/>
              </w:rPr>
              <w:t>trends</w:t>
            </w:r>
            <w:r w:rsidR="006D0C4D" w:rsidRPr="00AB238B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="009F1258" w:rsidRPr="00AB238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associated risks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i</w:t>
            </w:r>
            <w:r w:rsidR="008D7E94" w:rsidRPr="00AB238B">
              <w:rPr>
                <w:rFonts w:ascii="Arial" w:hAnsi="Arial" w:cs="Arial"/>
                <w:i/>
                <w:iCs/>
                <w:color w:val="000000"/>
              </w:rPr>
              <w:t>mpact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on the student experience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>, and action taken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14:paraId="2DDD0B1E" w14:textId="1400550B" w:rsidR="00900AFC" w:rsidRDefault="00900AFC" w:rsidP="00AB238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92DE5">
              <w:rPr>
                <w:rFonts w:ascii="Arial" w:hAnsi="Arial" w:cs="Arial"/>
                <w:i/>
                <w:iCs/>
                <w:color w:val="000000"/>
              </w:rPr>
              <w:t>Provide a brief overview of and reflection on the number of users (if quantifiable)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e.g. 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number of enquiries received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number of visitors.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Include coverage and reach, for example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 xml:space="preserve"> student groups (UG, PGT, PGR) and demographics (male/female, other available demographic information).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H</w:t>
            </w:r>
            <w:r w:rsidRPr="00B92DE5">
              <w:rPr>
                <w:rFonts w:ascii="Arial" w:hAnsi="Arial" w:cs="Arial"/>
                <w:i/>
              </w:rPr>
              <w:t xml:space="preserve">ighlight in particular over or under use by particular </w:t>
            </w:r>
            <w:r>
              <w:rPr>
                <w:rFonts w:ascii="Arial" w:hAnsi="Arial" w:cs="Arial"/>
                <w:i/>
              </w:rPr>
              <w:t xml:space="preserve">student </w:t>
            </w:r>
            <w:r w:rsidRPr="00B92DE5">
              <w:rPr>
                <w:rFonts w:ascii="Arial" w:hAnsi="Arial" w:cs="Arial"/>
                <w:i/>
              </w:rPr>
              <w:t>groups.</w:t>
            </w:r>
          </w:p>
          <w:p w14:paraId="4C4252F2" w14:textId="46999A71" w:rsidR="0059580F" w:rsidRPr="00AB238B" w:rsidRDefault="00AB238B" w:rsidP="00AB238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B238B">
              <w:rPr>
                <w:rFonts w:ascii="Arial" w:hAnsi="Arial" w:cs="Arial"/>
                <w:i/>
                <w:iCs/>
                <w:color w:val="000000"/>
              </w:rPr>
              <w:t>Provide a brief overview of and r</w:t>
            </w:r>
            <w:r w:rsidR="0059580F" w:rsidRPr="00AB238B">
              <w:rPr>
                <w:rFonts w:ascii="Arial" w:hAnsi="Arial" w:cs="Arial"/>
                <w:i/>
                <w:iCs/>
                <w:color w:val="000000"/>
              </w:rPr>
              <w:t xml:space="preserve">eflection </w:t>
            </w:r>
            <w:r w:rsidR="00900AFC">
              <w:rPr>
                <w:rFonts w:ascii="Arial" w:hAnsi="Arial" w:cs="Arial"/>
                <w:i/>
                <w:iCs/>
                <w:color w:val="000000"/>
              </w:rPr>
              <w:t xml:space="preserve">on </w:t>
            </w:r>
            <w:r w:rsidR="00900AFC" w:rsidRPr="00AB238B">
              <w:rPr>
                <w:rFonts w:ascii="Arial" w:hAnsi="Arial" w:cs="Arial"/>
                <w:i/>
                <w:iCs/>
                <w:color w:val="000000"/>
              </w:rPr>
              <w:t>key measures/performance indicators</w:t>
            </w:r>
            <w:r w:rsidRPr="00AB238B">
              <w:rPr>
                <w:rFonts w:ascii="Arial" w:hAnsi="Arial" w:cs="Arial"/>
                <w:i/>
                <w:iCs/>
                <w:color w:val="000000"/>
              </w:rPr>
              <w:t xml:space="preserve"> (e.g. </w:t>
            </w:r>
            <w:r w:rsidR="0059580F" w:rsidRPr="00AB238B">
              <w:rPr>
                <w:rFonts w:ascii="Arial" w:hAnsi="Arial" w:cs="Arial"/>
                <w:i/>
                <w:iCs/>
                <w:color w:val="000000"/>
              </w:rPr>
              <w:t>input/output statistics, turnaround/throughput times, results against any specific S</w:t>
            </w:r>
            <w:r w:rsidRPr="00AB238B">
              <w:rPr>
                <w:rFonts w:ascii="Arial" w:hAnsi="Arial" w:cs="Arial"/>
                <w:i/>
                <w:iCs/>
                <w:color w:val="000000"/>
              </w:rPr>
              <w:t>ervice Level Agreement measures</w:t>
            </w:r>
            <w:r w:rsidR="00900AFC">
              <w:rPr>
                <w:rFonts w:ascii="Arial" w:hAnsi="Arial" w:cs="Arial"/>
                <w:i/>
                <w:iCs/>
                <w:color w:val="000000"/>
              </w:rPr>
              <w:t>, student satisfaction data</w:t>
            </w:r>
            <w:r w:rsidRPr="00AB238B">
              <w:rPr>
                <w:rFonts w:ascii="Arial" w:hAnsi="Arial" w:cs="Arial"/>
                <w:i/>
                <w:iCs/>
                <w:color w:val="000000"/>
              </w:rPr>
              <w:t>).</w:t>
            </w:r>
          </w:p>
          <w:p w14:paraId="70B2E399" w14:textId="34485379" w:rsidR="00EF55BC" w:rsidRPr="002D1E5A" w:rsidRDefault="00EF55BC" w:rsidP="00900AFC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  <w:tr w:rsidR="00C031CF" w14:paraId="36125B91" w14:textId="77777777" w:rsidTr="007641A2">
        <w:trPr>
          <w:gridAfter w:val="1"/>
          <w:wAfter w:w="6" w:type="dxa"/>
        </w:trPr>
        <w:tc>
          <w:tcPr>
            <w:tcW w:w="9633" w:type="dxa"/>
          </w:tcPr>
          <w:p w14:paraId="04E775CA" w14:textId="46918149" w:rsidR="00C2221C" w:rsidRPr="00C2221C" w:rsidRDefault="00C2221C" w:rsidP="00C2221C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Partnership working (particularly working with Schools and Colleges) </w:t>
            </w:r>
          </w:p>
          <w:p w14:paraId="6518F88B" w14:textId="123BEF83" w:rsidR="00AE7540" w:rsidRPr="00B92DE5" w:rsidRDefault="00AE7540" w:rsidP="00AE754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92DE5">
              <w:rPr>
                <w:rFonts w:ascii="Arial" w:hAnsi="Arial" w:cs="Arial"/>
                <w:i/>
                <w:iCs/>
                <w:color w:val="000000"/>
              </w:rPr>
              <w:t>Outline internal or external collaboration that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 has supported service delivery.  In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clude opportunities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, and any examples, 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of working across boundaries.</w:t>
            </w:r>
          </w:p>
          <w:p w14:paraId="7824C7CF" w14:textId="36F61419" w:rsidR="00C031CF" w:rsidRPr="002D1E5A" w:rsidRDefault="00AE7540" w:rsidP="00B91AF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92DE5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Summarise and reflect upon 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the 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 xml:space="preserve">approach 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taken 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to understanding what supports collaboration and plans to address identified gaps where there is a need for closer collaboration.</w:t>
            </w:r>
          </w:p>
        </w:tc>
      </w:tr>
      <w:tr w:rsidR="00AE7540" w14:paraId="7D46E619" w14:textId="77777777" w:rsidTr="00AB238B">
        <w:trPr>
          <w:gridAfter w:val="1"/>
          <w:wAfter w:w="6" w:type="dxa"/>
        </w:trPr>
        <w:tc>
          <w:tcPr>
            <w:tcW w:w="9633" w:type="dxa"/>
          </w:tcPr>
          <w:p w14:paraId="2F91DA1E" w14:textId="68CEE460" w:rsidR="00C2221C" w:rsidRPr="00BF38CE" w:rsidRDefault="00C2221C" w:rsidP="00C2221C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BF38CE">
              <w:rPr>
                <w:rFonts w:ascii="Arial" w:hAnsi="Arial" w:cs="Arial"/>
                <w:b/>
                <w:i/>
                <w:iCs/>
                <w:color w:val="000000"/>
              </w:rPr>
              <w:lastRenderedPageBreak/>
              <w:t xml:space="preserve">Externality </w:t>
            </w:r>
          </w:p>
          <w:p w14:paraId="33A56803" w14:textId="77777777" w:rsidR="002A7F9F" w:rsidRDefault="002A7F9F" w:rsidP="002A7F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F38CE">
              <w:rPr>
                <w:rFonts w:ascii="Arial" w:hAnsi="Arial" w:cs="Arial"/>
                <w:i/>
                <w:iCs/>
                <w:color w:val="000000"/>
              </w:rPr>
              <w:t xml:space="preserve">Summarise and comment upon external </w:t>
            </w:r>
            <w:r w:rsidRPr="00821291">
              <w:rPr>
                <w:rFonts w:ascii="Arial" w:hAnsi="Arial" w:cs="Arial"/>
                <w:b/>
                <w:i/>
                <w:iCs/>
                <w:color w:val="000000"/>
              </w:rPr>
              <w:t>recognition</w:t>
            </w:r>
            <w:r w:rsidRPr="00BF38CE">
              <w:rPr>
                <w:rFonts w:ascii="Arial" w:hAnsi="Arial" w:cs="Arial"/>
                <w:i/>
                <w:iCs/>
                <w:color w:val="000000"/>
              </w:rPr>
              <w:t xml:space="preserve">, for example in professional networks and/or awards. </w:t>
            </w:r>
          </w:p>
          <w:p w14:paraId="616758B2" w14:textId="375C20FF" w:rsidR="00AE7540" w:rsidRPr="00900AFC" w:rsidRDefault="00AE7540" w:rsidP="002A7F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2A7F9F">
              <w:rPr>
                <w:rFonts w:ascii="Arial" w:hAnsi="Arial" w:cs="Arial"/>
                <w:i/>
                <w:iCs/>
                <w:color w:val="000000"/>
              </w:rPr>
              <w:t xml:space="preserve">Summarise </w:t>
            </w:r>
            <w:r w:rsidR="00D863F3" w:rsidRPr="002A7F9F">
              <w:rPr>
                <w:rFonts w:ascii="Arial" w:hAnsi="Arial" w:cs="Arial"/>
                <w:i/>
                <w:iCs/>
                <w:color w:val="000000"/>
              </w:rPr>
              <w:t xml:space="preserve">external </w:t>
            </w:r>
            <w:r w:rsidR="00D863F3" w:rsidRPr="00900AFC">
              <w:rPr>
                <w:rFonts w:ascii="Arial" w:hAnsi="Arial" w:cs="Arial"/>
                <w:b/>
                <w:i/>
                <w:iCs/>
                <w:color w:val="000000"/>
              </w:rPr>
              <w:t>benchmarking</w:t>
            </w:r>
            <w:r w:rsidR="00D863F3" w:rsidRPr="002A7F9F">
              <w:rPr>
                <w:rFonts w:ascii="Arial" w:hAnsi="Arial" w:cs="Arial"/>
                <w:i/>
                <w:iCs/>
                <w:color w:val="000000"/>
              </w:rPr>
              <w:t xml:space="preserve"> activity.</w:t>
            </w:r>
            <w:r w:rsidR="00BF38CE" w:rsidRPr="002A7F9F">
              <w:rPr>
                <w:rFonts w:ascii="Arial" w:hAnsi="Arial" w:cs="Arial"/>
                <w:i/>
                <w:iCs/>
                <w:color w:val="000000"/>
              </w:rPr>
              <w:t xml:space="preserve">  Indicate any comparators with equivalent services in other universities or in other sectors. </w:t>
            </w:r>
            <w:r w:rsidRPr="00900AFC">
              <w:rPr>
                <w:rFonts w:ascii="Arial" w:hAnsi="Arial" w:cs="Arial"/>
                <w:i/>
                <w:iCs/>
                <w:color w:val="000000"/>
              </w:rPr>
              <w:t>Include any professional body guidelines, policies, legal frameworks that impact on</w:t>
            </w:r>
            <w:r w:rsidR="00C2221C" w:rsidRPr="00900AFC">
              <w:rPr>
                <w:rFonts w:ascii="Arial" w:hAnsi="Arial" w:cs="Arial"/>
                <w:i/>
                <w:iCs/>
                <w:color w:val="000000"/>
              </w:rPr>
              <w:t xml:space="preserve"> the service (including external accreditation where relevant).</w:t>
            </w:r>
          </w:p>
          <w:p w14:paraId="2AC5B1E8" w14:textId="16966B1A" w:rsidR="00AE7540" w:rsidRPr="002D1E5A" w:rsidRDefault="002A7F9F" w:rsidP="002A7F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Provide an outline of any </w:t>
            </w:r>
            <w:r w:rsidRPr="00A07F4A">
              <w:rPr>
                <w:rFonts w:ascii="Arial" w:hAnsi="Arial" w:cs="Arial"/>
                <w:i/>
                <w:iCs/>
                <w:color w:val="000000"/>
              </w:rPr>
              <w:t xml:space="preserve">major actions </w:t>
            </w:r>
            <w:r>
              <w:rPr>
                <w:rFonts w:ascii="Arial" w:hAnsi="Arial" w:cs="Arial"/>
                <w:i/>
                <w:iCs/>
                <w:color w:val="000000"/>
              </w:rPr>
              <w:t>undertaken as a result of learning from e</w:t>
            </w:r>
            <w:r w:rsidRPr="00A07F4A">
              <w:rPr>
                <w:rFonts w:ascii="Arial" w:hAnsi="Arial" w:cs="Arial"/>
                <w:i/>
                <w:iCs/>
                <w:color w:val="000000"/>
              </w:rPr>
              <w:t xml:space="preserve">xternal </w:t>
            </w:r>
            <w:r w:rsidRPr="002A7F9F">
              <w:rPr>
                <w:rFonts w:ascii="Arial" w:hAnsi="Arial" w:cs="Arial"/>
                <w:i/>
                <w:iCs/>
                <w:color w:val="000000"/>
              </w:rPr>
              <w:t xml:space="preserve">benchmarking or </w:t>
            </w:r>
            <w:r w:rsidRPr="00A07F4A">
              <w:rPr>
                <w:rFonts w:ascii="Arial" w:hAnsi="Arial" w:cs="Arial"/>
                <w:i/>
                <w:iCs/>
                <w:color w:val="000000"/>
              </w:rPr>
              <w:t>accreditation activity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</w:tbl>
    <w:p w14:paraId="7FEFC8C0" w14:textId="77777777" w:rsidR="00AE7540" w:rsidRDefault="00AE7540" w:rsidP="00B91AF8">
      <w:pPr>
        <w:rPr>
          <w:rFonts w:ascii="Arial" w:hAnsi="Arial" w:cs="Arial"/>
          <w:iCs/>
          <w:color w:val="00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80FB3" w:rsidRPr="00DC2DBF" w14:paraId="5E43256F" w14:textId="77777777" w:rsidTr="00DB6947">
        <w:tc>
          <w:tcPr>
            <w:tcW w:w="9639" w:type="dxa"/>
            <w:shd w:val="clear" w:color="auto" w:fill="C6D9F1" w:themeFill="text2" w:themeFillTint="33"/>
          </w:tcPr>
          <w:p w14:paraId="2CCD625C" w14:textId="0227D5EE" w:rsidR="00480FB3" w:rsidRPr="00DC2DBF" w:rsidRDefault="00F4763C" w:rsidP="00DB6947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Staff d</w:t>
            </w:r>
            <w:r w:rsidR="00480FB3" w:rsidRPr="00DC2DBF">
              <w:rPr>
                <w:rFonts w:ascii="Arial" w:hAnsi="Arial" w:cs="Arial"/>
                <w:color w:val="000000"/>
              </w:rPr>
              <w:t>evelopment activity</w:t>
            </w:r>
          </w:p>
        </w:tc>
      </w:tr>
      <w:tr w:rsidR="00480FB3" w:rsidRPr="00DC2DBF" w14:paraId="3EC7256E" w14:textId="77777777" w:rsidTr="00DB6947">
        <w:tc>
          <w:tcPr>
            <w:tcW w:w="9639" w:type="dxa"/>
          </w:tcPr>
          <w:p w14:paraId="055F9441" w14:textId="1079D529" w:rsidR="00480FB3" w:rsidRPr="00DC2DBF" w:rsidRDefault="007641A2" w:rsidP="00DB694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Outline </w:t>
            </w:r>
            <w:r w:rsidR="00480FB3" w:rsidRPr="00DC2DBF">
              <w:rPr>
                <w:rFonts w:ascii="Arial" w:hAnsi="Arial" w:cs="Arial"/>
                <w:i/>
                <w:iCs/>
                <w:color w:val="000000"/>
              </w:rPr>
              <w:t>key staff development activity that has been undertaken</w:t>
            </w:r>
            <w:r w:rsidR="00480FB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D863F3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="00480FB3" w:rsidRPr="00DC2DBF">
              <w:rPr>
                <w:rFonts w:ascii="Arial" w:hAnsi="Arial" w:cs="Arial"/>
                <w:i/>
                <w:iCs/>
                <w:color w:val="000000"/>
              </w:rPr>
              <w:t xml:space="preserve">o support </w:t>
            </w:r>
            <w:r w:rsidR="00BF38CE">
              <w:rPr>
                <w:rFonts w:ascii="Arial" w:hAnsi="Arial" w:cs="Arial"/>
                <w:i/>
                <w:iCs/>
                <w:color w:val="000000"/>
              </w:rPr>
              <w:t xml:space="preserve">service delivery and the resulting impact on the student experience.  </w:t>
            </w:r>
            <w:r w:rsidR="00D863F3">
              <w:rPr>
                <w:rFonts w:ascii="Arial" w:hAnsi="Arial" w:cs="Arial"/>
                <w:i/>
                <w:iCs/>
                <w:color w:val="000000"/>
              </w:rPr>
              <w:t xml:space="preserve">Also </w:t>
            </w:r>
            <w:r w:rsidR="00480FB3" w:rsidRPr="00DC2DBF">
              <w:rPr>
                <w:rFonts w:ascii="Arial" w:hAnsi="Arial" w:cs="Arial"/>
                <w:i/>
                <w:iCs/>
                <w:color w:val="000000"/>
              </w:rPr>
              <w:t>indicate any identified gaps in skills/knowledge with possible adverse impact on the service</w:t>
            </w:r>
            <w:r w:rsidR="00480FB3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</w:tbl>
    <w:p w14:paraId="19C4C52F" w14:textId="77777777" w:rsidR="00480FB3" w:rsidRDefault="00480FB3" w:rsidP="00B91AF8">
      <w:pPr>
        <w:rPr>
          <w:rFonts w:ascii="Arial" w:hAnsi="Arial" w:cs="Arial"/>
          <w:iCs/>
          <w:color w:val="000000"/>
        </w:rPr>
      </w:pPr>
    </w:p>
    <w:p w14:paraId="41805364" w14:textId="62798460" w:rsidR="00BB6071" w:rsidRDefault="00BB6071" w:rsidP="0052510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O</w:t>
      </w:r>
      <w:r w:rsidR="0052510E">
        <w:rPr>
          <w:rFonts w:ascii="Arial" w:hAnsi="Arial" w:cs="Arial"/>
          <w:iCs/>
          <w:color w:val="000000"/>
        </w:rPr>
        <w:t>pportunities</w:t>
      </w:r>
      <w:r>
        <w:rPr>
          <w:rFonts w:ascii="Arial" w:hAnsi="Arial" w:cs="Arial"/>
          <w:iCs/>
          <w:color w:val="000000"/>
        </w:rPr>
        <w:t xml:space="preserve"> </w:t>
      </w:r>
      <w:r w:rsidR="0052510E">
        <w:rPr>
          <w:rFonts w:ascii="Arial" w:hAnsi="Arial" w:cs="Arial"/>
          <w:iCs/>
          <w:color w:val="000000"/>
        </w:rPr>
        <w:t xml:space="preserve">and </w:t>
      </w:r>
      <w:r w:rsidR="00AE7540">
        <w:rPr>
          <w:rFonts w:ascii="Arial" w:hAnsi="Arial" w:cs="Arial"/>
          <w:iCs/>
          <w:color w:val="000000"/>
        </w:rPr>
        <w:t>Enhancement</w:t>
      </w:r>
      <w:r w:rsidR="007641A2">
        <w:rPr>
          <w:rFonts w:ascii="Arial" w:hAnsi="Arial" w:cs="Arial"/>
          <w:iCs/>
          <w:color w:val="000000"/>
        </w:rPr>
        <w:t xml:space="preserve">s </w:t>
      </w:r>
    </w:p>
    <w:p w14:paraId="62286A01" w14:textId="77777777" w:rsidR="00B92DE5" w:rsidRPr="00B92DE5" w:rsidRDefault="00B92DE5" w:rsidP="00B91AF8">
      <w:pPr>
        <w:rPr>
          <w:rFonts w:ascii="Arial" w:hAnsi="Arial" w:cs="Arial"/>
          <w:iCs/>
          <w:color w:val="00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C2DBF" w:rsidRPr="00DC2DBF" w14:paraId="4429FA81" w14:textId="77777777" w:rsidTr="000D499D">
        <w:tc>
          <w:tcPr>
            <w:tcW w:w="9639" w:type="dxa"/>
            <w:shd w:val="clear" w:color="auto" w:fill="C6D9F1" w:themeFill="text2" w:themeFillTint="33"/>
          </w:tcPr>
          <w:p w14:paraId="2A135ED6" w14:textId="16F6F437" w:rsidR="00DC2DBF" w:rsidRPr="00DC2DBF" w:rsidRDefault="00DF3F56" w:rsidP="00A42C70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Reflection on service, cha</w:t>
            </w:r>
            <w:r w:rsidR="00F4763C">
              <w:rPr>
                <w:rFonts w:ascii="Arial" w:hAnsi="Arial" w:cs="Arial"/>
                <w:color w:val="000000"/>
              </w:rPr>
              <w:t>nges</w:t>
            </w:r>
            <w:r w:rsidR="00A42C70">
              <w:rPr>
                <w:rFonts w:ascii="Arial" w:hAnsi="Arial" w:cs="Arial"/>
                <w:color w:val="000000"/>
              </w:rPr>
              <w:t>,</w:t>
            </w:r>
            <w:r w:rsidR="00F4763C">
              <w:rPr>
                <w:rFonts w:ascii="Arial" w:hAnsi="Arial" w:cs="Arial"/>
                <w:color w:val="000000"/>
              </w:rPr>
              <w:t xml:space="preserve"> new ways of working </w:t>
            </w:r>
            <w:r w:rsidR="00A42C70">
              <w:rPr>
                <w:rFonts w:ascii="Arial" w:hAnsi="Arial" w:cs="Arial"/>
                <w:color w:val="000000"/>
              </w:rPr>
              <w:t>and efficiencies</w:t>
            </w:r>
          </w:p>
        </w:tc>
      </w:tr>
      <w:tr w:rsidR="00DC2DBF" w:rsidRPr="00DC2DBF" w14:paraId="444AF58A" w14:textId="77777777" w:rsidTr="00FA42C4">
        <w:tc>
          <w:tcPr>
            <w:tcW w:w="9639" w:type="dxa"/>
          </w:tcPr>
          <w:p w14:paraId="11B5A3DB" w14:textId="3D8D6F31" w:rsidR="00AE7540" w:rsidRPr="003A3627" w:rsidRDefault="00DF3F56" w:rsidP="003A362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Using the information above, p</w:t>
            </w:r>
            <w:r w:rsidR="00AE7540" w:rsidRPr="003A3627">
              <w:rPr>
                <w:rFonts w:ascii="Arial" w:hAnsi="Arial" w:cs="Arial"/>
                <w:i/>
                <w:iCs/>
                <w:color w:val="000000"/>
              </w:rPr>
              <w:t>rovide a holistic reflection of the service</w:t>
            </w:r>
            <w:r w:rsidR="00F4763C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="00AE7540" w:rsidRPr="003A3627">
              <w:rPr>
                <w:rFonts w:ascii="Arial" w:hAnsi="Arial" w:cs="Arial"/>
                <w:i/>
                <w:iCs/>
                <w:color w:val="000000"/>
              </w:rPr>
              <w:t xml:space="preserve"> including what has worked well and what has </w:t>
            </w:r>
            <w:r w:rsidR="00F4763C">
              <w:rPr>
                <w:rFonts w:ascii="Arial" w:hAnsi="Arial" w:cs="Arial"/>
                <w:i/>
                <w:iCs/>
                <w:color w:val="000000"/>
              </w:rPr>
              <w:t xml:space="preserve">not.  This should include:  </w:t>
            </w:r>
          </w:p>
          <w:p w14:paraId="604C7506" w14:textId="0A58F877" w:rsidR="00DC2DBF" w:rsidRPr="00B92DE5" w:rsidRDefault="00F4763C" w:rsidP="00B92DE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</w:t>
            </w:r>
            <w:r w:rsidR="00006A72" w:rsidRPr="00B92DE5">
              <w:rPr>
                <w:rFonts w:ascii="Arial" w:hAnsi="Arial" w:cs="Arial"/>
                <w:i/>
                <w:iCs/>
                <w:color w:val="000000"/>
              </w:rPr>
              <w:t xml:space="preserve"> brief overview of and reflection on </w:t>
            </w:r>
            <w:r w:rsidR="00AD3EF1" w:rsidRPr="00B92DE5">
              <w:rPr>
                <w:rFonts w:ascii="Arial" w:hAnsi="Arial" w:cs="Arial"/>
                <w:i/>
                <w:iCs/>
                <w:color w:val="000000"/>
              </w:rPr>
              <w:t xml:space="preserve">any </w:t>
            </w:r>
            <w:r w:rsidR="00006A72" w:rsidRPr="00B92DE5">
              <w:rPr>
                <w:rFonts w:ascii="Arial" w:hAnsi="Arial" w:cs="Arial"/>
                <w:i/>
                <w:iCs/>
                <w:color w:val="000000"/>
              </w:rPr>
              <w:t>n</w:t>
            </w:r>
            <w:r w:rsidR="00DC2DBF" w:rsidRPr="00B92DE5">
              <w:rPr>
                <w:rFonts w:ascii="Arial" w:hAnsi="Arial" w:cs="Arial"/>
                <w:i/>
                <w:iCs/>
                <w:color w:val="000000"/>
              </w:rPr>
              <w:t>ew developments and their impact on service delivery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(doing new things).  </w:t>
            </w:r>
          </w:p>
          <w:p w14:paraId="2EFD6ACB" w14:textId="77777777" w:rsidR="00F4763C" w:rsidRPr="00A42C70" w:rsidRDefault="00F4763C" w:rsidP="006F6A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A brief outline of and commentary on 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 xml:space="preserve">changes made to </w:t>
            </w:r>
            <w:r>
              <w:rPr>
                <w:rFonts w:ascii="Arial" w:hAnsi="Arial" w:cs="Arial"/>
                <w:i/>
                <w:iCs/>
                <w:color w:val="000000"/>
              </w:rPr>
              <w:t>activities/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>processes</w:t>
            </w:r>
            <w:r>
              <w:rPr>
                <w:rFonts w:ascii="Arial" w:hAnsi="Arial" w:cs="Arial"/>
                <w:i/>
                <w:iCs/>
                <w:color w:val="000000"/>
              </w:rPr>
              <w:t>/practices/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 xml:space="preserve">policies, </w:t>
            </w:r>
            <w:r>
              <w:rPr>
                <w:rFonts w:ascii="Arial" w:hAnsi="Arial" w:cs="Arial"/>
                <w:i/>
                <w:iCs/>
                <w:color w:val="000000"/>
              </w:rPr>
              <w:t>in response to feedback/reviews/external drivers (d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>oi</w:t>
            </w:r>
            <w:r>
              <w:rPr>
                <w:rFonts w:ascii="Arial" w:hAnsi="Arial" w:cs="Arial"/>
                <w:i/>
                <w:iCs/>
                <w:color w:val="000000"/>
              </w:rPr>
              <w:t>ng the same things in a new way</w:t>
            </w:r>
            <w:r w:rsidR="00DE7F54" w:rsidRPr="00DE7F54">
              <w:rPr>
                <w:rFonts w:ascii="Arial" w:hAnsi="Arial" w:cs="Arial"/>
                <w:i/>
                <w:iCs/>
                <w:color w:val="000000"/>
              </w:rPr>
              <w:t>).</w:t>
            </w:r>
          </w:p>
          <w:p w14:paraId="197BFAA3" w14:textId="4AF6BD65" w:rsidR="00A42C70" w:rsidRPr="006F6AB6" w:rsidRDefault="00A42C70" w:rsidP="006F6A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A42C70">
              <w:rPr>
                <w:rFonts w:ascii="Arial" w:hAnsi="Arial" w:cs="Arial"/>
                <w:i/>
                <w:iCs/>
                <w:color w:val="000000"/>
              </w:rPr>
              <w:t xml:space="preserve">A summary of any learning, efficiencies and effectiveness achieved from these changes (include anything that has </w:t>
            </w:r>
            <w:r w:rsidRPr="00A42C70">
              <w:rPr>
                <w:rFonts w:ascii="Arial" w:hAnsi="Arial" w:cs="Arial"/>
                <w:i/>
                <w:iCs/>
              </w:rPr>
              <w:t>ceased).</w:t>
            </w:r>
            <w:r w:rsidRPr="00A42C70">
              <w:rPr>
                <w:rFonts w:ascii="Arial" w:hAnsi="Arial" w:cs="Arial"/>
                <w:i/>
                <w:iCs/>
                <w:color w:val="000000"/>
              </w:rPr>
              <w:t>Reflect on how the service is delivering within existing resources. Include opportunities for building efficiencies, for example increase in volume of use/demand for the service.</w:t>
            </w:r>
          </w:p>
        </w:tc>
      </w:tr>
    </w:tbl>
    <w:p w14:paraId="0DA1273D" w14:textId="77777777" w:rsidR="007641A2" w:rsidRDefault="007641A2" w:rsidP="00DF6C66">
      <w:pPr>
        <w:rPr>
          <w:rFonts w:ascii="Arial" w:hAnsi="Arial" w:cs="Arial"/>
          <w:i/>
          <w:iCs/>
          <w:color w:val="000000"/>
        </w:rPr>
      </w:pPr>
    </w:p>
    <w:p w14:paraId="07281EB4" w14:textId="57CBCD72" w:rsidR="00F4763C" w:rsidRDefault="00F4763C" w:rsidP="00F476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Actions</w:t>
      </w:r>
    </w:p>
    <w:p w14:paraId="7A6AFD9D" w14:textId="77777777" w:rsidR="007641A2" w:rsidRDefault="007641A2" w:rsidP="00DF6C66">
      <w:pPr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B38AD" w:rsidRPr="00F13256" w14:paraId="5D6DFDB6" w14:textId="77777777" w:rsidTr="00FE26E5">
        <w:tc>
          <w:tcPr>
            <w:tcW w:w="9634" w:type="dxa"/>
            <w:shd w:val="clear" w:color="auto" w:fill="C6D9F1" w:themeFill="text2" w:themeFillTint="33"/>
          </w:tcPr>
          <w:p w14:paraId="2BA1134B" w14:textId="6A92DACC" w:rsidR="00BB38AD" w:rsidRPr="008D7E94" w:rsidRDefault="00DF3F56" w:rsidP="00DF3F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priorities for the coming academic year </w:t>
            </w:r>
          </w:p>
        </w:tc>
      </w:tr>
      <w:tr w:rsidR="00BB38AD" w:rsidRPr="00F13256" w14:paraId="7B78D103" w14:textId="77777777" w:rsidTr="00FE26E5">
        <w:tc>
          <w:tcPr>
            <w:tcW w:w="9634" w:type="dxa"/>
          </w:tcPr>
          <w:p w14:paraId="3ED138B2" w14:textId="12A07126" w:rsidR="00BB38AD" w:rsidRPr="009B0097" w:rsidRDefault="00DF3F56" w:rsidP="00900AF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Summarise the top </w:t>
            </w:r>
            <w:r w:rsidR="00BB38AD">
              <w:rPr>
                <w:rFonts w:ascii="Arial" w:hAnsi="Arial" w:cs="Arial"/>
                <w:i/>
              </w:rPr>
              <w:t>3 – 5 priorities based on the analysis and reflection above</w:t>
            </w:r>
            <w:r w:rsidR="00900AFC">
              <w:rPr>
                <w:rFonts w:ascii="Arial" w:hAnsi="Arial" w:cs="Arial"/>
                <w:i/>
              </w:rPr>
              <w:t xml:space="preserve"> and how these will be taken forward</w:t>
            </w:r>
            <w:r w:rsidR="00BB38AD">
              <w:rPr>
                <w:rFonts w:ascii="Arial" w:hAnsi="Arial" w:cs="Arial"/>
                <w:i/>
              </w:rPr>
              <w:t>.</w:t>
            </w:r>
          </w:p>
        </w:tc>
      </w:tr>
    </w:tbl>
    <w:p w14:paraId="64F763D0" w14:textId="77777777" w:rsidR="00BB38AD" w:rsidRDefault="00BB38AD" w:rsidP="00BB38AD">
      <w:pPr>
        <w:rPr>
          <w:rFonts w:ascii="Arial" w:hAnsi="Arial" w:cs="Arial"/>
          <w:color w:val="FF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B38AD" w:rsidRPr="00F13256" w14:paraId="4C0EB75D" w14:textId="77777777" w:rsidTr="00FE26E5">
        <w:tc>
          <w:tcPr>
            <w:tcW w:w="9639" w:type="dxa"/>
            <w:shd w:val="clear" w:color="auto" w:fill="C6D9F1" w:themeFill="text2" w:themeFillTint="33"/>
          </w:tcPr>
          <w:p w14:paraId="01BD08FE" w14:textId="679EFC65" w:rsidR="00BB38AD" w:rsidRPr="00B92DE5" w:rsidRDefault="00BB38AD" w:rsidP="00DF3F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 w:rsidRPr="00B92DE5">
              <w:rPr>
                <w:rFonts w:ascii="Arial" w:hAnsi="Arial" w:cs="Arial"/>
                <w:color w:val="000000"/>
              </w:rPr>
              <w:t xml:space="preserve">Risk analysis </w:t>
            </w:r>
          </w:p>
        </w:tc>
      </w:tr>
      <w:tr w:rsidR="00BB38AD" w:rsidRPr="00F13256" w14:paraId="5A8B9E26" w14:textId="77777777" w:rsidTr="00FE26E5">
        <w:tc>
          <w:tcPr>
            <w:tcW w:w="9639" w:type="dxa"/>
          </w:tcPr>
          <w:p w14:paraId="0B085AAF" w14:textId="02372CBB" w:rsidR="00BB38AD" w:rsidRPr="00F13256" w:rsidRDefault="00BB38AD" w:rsidP="00A42C7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13256">
              <w:rPr>
                <w:rFonts w:ascii="Arial" w:hAnsi="Arial" w:cs="Arial"/>
                <w:i/>
                <w:iCs/>
                <w:color w:val="000000"/>
              </w:rPr>
              <w:t xml:space="preserve">Indicate any specific risks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to </w:t>
            </w:r>
            <w:r w:rsidR="00A42C70" w:rsidRPr="00A42C70">
              <w:rPr>
                <w:rFonts w:ascii="Arial" w:hAnsi="Arial" w:cs="Arial"/>
                <w:i/>
                <w:iCs/>
                <w:color w:val="000000"/>
              </w:rPr>
              <w:t>achieving your service’s</w:t>
            </w:r>
            <w:r w:rsidR="00A42C70">
              <w:rPr>
                <w:rFonts w:ascii="Arial" w:hAnsi="Arial" w:cs="Arial"/>
                <w:i/>
                <w:iCs/>
                <w:color w:val="000000"/>
              </w:rPr>
              <w:t xml:space="preserve"> core activities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and </w:t>
            </w:r>
            <w:r w:rsidR="00DF3F56">
              <w:rPr>
                <w:rFonts w:ascii="Arial" w:hAnsi="Arial" w:cs="Arial"/>
                <w:i/>
                <w:iCs/>
                <w:color w:val="000000"/>
              </w:rPr>
              <w:t xml:space="preserve">the </w:t>
            </w:r>
            <w:r>
              <w:rPr>
                <w:rFonts w:ascii="Arial" w:hAnsi="Arial" w:cs="Arial"/>
                <w:i/>
                <w:iCs/>
                <w:color w:val="000000"/>
              </w:rPr>
              <w:t>approach to mitigating risks.</w:t>
            </w:r>
            <w:r w:rsidR="00DF3F56" w:rsidRPr="00B92D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08DB3C7" w14:textId="77777777" w:rsidR="00BB38AD" w:rsidRDefault="00BB38AD" w:rsidP="00DF6C66">
      <w:pPr>
        <w:rPr>
          <w:rFonts w:ascii="Arial" w:hAnsi="Arial" w:cs="Arial"/>
          <w:i/>
          <w:iCs/>
          <w:color w:val="000000"/>
        </w:rPr>
      </w:pPr>
    </w:p>
    <w:p w14:paraId="16F93885" w14:textId="77777777" w:rsidR="00A02D23" w:rsidRDefault="00A02D23" w:rsidP="00D413F9">
      <w:pPr>
        <w:rPr>
          <w:rFonts w:ascii="Arial" w:hAnsi="Arial" w:cs="Arial"/>
        </w:rPr>
      </w:pPr>
    </w:p>
    <w:p w14:paraId="71F9F2AC" w14:textId="0E81D34F" w:rsidR="00A02D23" w:rsidRPr="002D1E5A" w:rsidRDefault="00DF3F56" w:rsidP="00A02D23">
      <w:pPr>
        <w:jc w:val="right"/>
        <w:rPr>
          <w:rFonts w:ascii="Arial" w:hAnsi="Arial" w:cs="Arial"/>
          <w:b/>
          <w:sz w:val="20"/>
          <w:szCs w:val="20"/>
        </w:rPr>
      </w:pPr>
      <w:r w:rsidRPr="002D1E5A">
        <w:rPr>
          <w:rFonts w:ascii="Arial" w:hAnsi="Arial" w:cs="Arial"/>
          <w:b/>
          <w:sz w:val="20"/>
          <w:szCs w:val="20"/>
        </w:rPr>
        <w:t>August</w:t>
      </w:r>
      <w:r w:rsidR="00BB6071" w:rsidRPr="002D1E5A">
        <w:rPr>
          <w:rFonts w:ascii="Arial" w:hAnsi="Arial" w:cs="Arial"/>
          <w:b/>
          <w:sz w:val="20"/>
          <w:szCs w:val="20"/>
        </w:rPr>
        <w:t xml:space="preserve"> 2017</w:t>
      </w:r>
    </w:p>
    <w:sectPr w:rsidR="00A02D23" w:rsidRPr="002D1E5A" w:rsidSect="00FA42C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9E84" w14:textId="77777777" w:rsidR="00B1759B" w:rsidRDefault="00B1759B" w:rsidP="00A02D23">
      <w:r>
        <w:separator/>
      </w:r>
    </w:p>
  </w:endnote>
  <w:endnote w:type="continuationSeparator" w:id="0">
    <w:p w14:paraId="2522CC8F" w14:textId="77777777" w:rsidR="00B1759B" w:rsidRDefault="00B1759B" w:rsidP="00A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5E5C4" w14:textId="77777777" w:rsidR="00B1759B" w:rsidRDefault="00B1759B" w:rsidP="00A02D23">
      <w:r>
        <w:separator/>
      </w:r>
    </w:p>
  </w:footnote>
  <w:footnote w:type="continuationSeparator" w:id="0">
    <w:p w14:paraId="64357E52" w14:textId="77777777" w:rsidR="00B1759B" w:rsidRDefault="00B1759B" w:rsidP="00A0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4C3"/>
    <w:multiLevelType w:val="hybridMultilevel"/>
    <w:tmpl w:val="2196B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2DF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649F7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9438A"/>
    <w:multiLevelType w:val="hybridMultilevel"/>
    <w:tmpl w:val="6D582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70C00"/>
    <w:multiLevelType w:val="hybridMultilevel"/>
    <w:tmpl w:val="1FC0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611F"/>
    <w:multiLevelType w:val="hybridMultilevel"/>
    <w:tmpl w:val="6C5EE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84CB3"/>
    <w:multiLevelType w:val="hybridMultilevel"/>
    <w:tmpl w:val="4AFC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12E"/>
    <w:multiLevelType w:val="hybridMultilevel"/>
    <w:tmpl w:val="E2BA74F6"/>
    <w:lvl w:ilvl="0" w:tplc="EBDE46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FC03E3"/>
    <w:multiLevelType w:val="hybridMultilevel"/>
    <w:tmpl w:val="AE881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D333B"/>
    <w:multiLevelType w:val="hybridMultilevel"/>
    <w:tmpl w:val="5A08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5856"/>
    <w:multiLevelType w:val="hybridMultilevel"/>
    <w:tmpl w:val="39DAE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E2571"/>
    <w:multiLevelType w:val="hybridMultilevel"/>
    <w:tmpl w:val="C7FA3E80"/>
    <w:lvl w:ilvl="0" w:tplc="C4E2A3C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95F54"/>
    <w:multiLevelType w:val="hybridMultilevel"/>
    <w:tmpl w:val="95A4571E"/>
    <w:lvl w:ilvl="0" w:tplc="008AF132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770DF"/>
    <w:multiLevelType w:val="hybridMultilevel"/>
    <w:tmpl w:val="DAC43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1F94"/>
    <w:multiLevelType w:val="hybridMultilevel"/>
    <w:tmpl w:val="7A688B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54624"/>
    <w:multiLevelType w:val="hybridMultilevel"/>
    <w:tmpl w:val="63CAB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51E40"/>
    <w:multiLevelType w:val="hybridMultilevel"/>
    <w:tmpl w:val="533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10A6B"/>
    <w:multiLevelType w:val="hybridMultilevel"/>
    <w:tmpl w:val="9AEE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704"/>
    <w:multiLevelType w:val="hybridMultilevel"/>
    <w:tmpl w:val="5EB4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5AF3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75769"/>
    <w:multiLevelType w:val="hybridMultilevel"/>
    <w:tmpl w:val="4C24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C31E3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745F6"/>
    <w:multiLevelType w:val="hybridMultilevel"/>
    <w:tmpl w:val="65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A639E"/>
    <w:multiLevelType w:val="hybridMultilevel"/>
    <w:tmpl w:val="4C0AACA6"/>
    <w:lvl w:ilvl="0" w:tplc="0DDAE7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C4238"/>
    <w:multiLevelType w:val="hybridMultilevel"/>
    <w:tmpl w:val="7A688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6"/>
  </w:num>
  <w:num w:numId="5">
    <w:abstractNumId w:val="18"/>
  </w:num>
  <w:num w:numId="6">
    <w:abstractNumId w:val="6"/>
  </w:num>
  <w:num w:numId="7">
    <w:abstractNumId w:val="23"/>
  </w:num>
  <w:num w:numId="8">
    <w:abstractNumId w:val="22"/>
  </w:num>
  <w:num w:numId="9">
    <w:abstractNumId w:val="4"/>
  </w:num>
  <w:num w:numId="10">
    <w:abstractNumId w:val="20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2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  <w:num w:numId="20">
    <w:abstractNumId w:val="0"/>
  </w:num>
  <w:num w:numId="21">
    <w:abstractNumId w:val="3"/>
  </w:num>
  <w:num w:numId="22">
    <w:abstractNumId w:val="24"/>
  </w:num>
  <w:num w:numId="23">
    <w:abstractNumId w:val="5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BF"/>
    <w:rsid w:val="00006A72"/>
    <w:rsid w:val="00010B1D"/>
    <w:rsid w:val="00054954"/>
    <w:rsid w:val="00062657"/>
    <w:rsid w:val="000845E9"/>
    <w:rsid w:val="0008521A"/>
    <w:rsid w:val="000C59CE"/>
    <w:rsid w:val="000D499D"/>
    <w:rsid w:val="001051BF"/>
    <w:rsid w:val="00105506"/>
    <w:rsid w:val="00174B85"/>
    <w:rsid w:val="0018482B"/>
    <w:rsid w:val="001924CA"/>
    <w:rsid w:val="001B26CF"/>
    <w:rsid w:val="00272928"/>
    <w:rsid w:val="00294BE2"/>
    <w:rsid w:val="002A7F9F"/>
    <w:rsid w:val="002D1E5A"/>
    <w:rsid w:val="00314DF2"/>
    <w:rsid w:val="00317387"/>
    <w:rsid w:val="00335BF1"/>
    <w:rsid w:val="00366F9E"/>
    <w:rsid w:val="0037085E"/>
    <w:rsid w:val="0038447D"/>
    <w:rsid w:val="003A3627"/>
    <w:rsid w:val="003B66A2"/>
    <w:rsid w:val="003F0665"/>
    <w:rsid w:val="003F21CD"/>
    <w:rsid w:val="00480412"/>
    <w:rsid w:val="00480FB3"/>
    <w:rsid w:val="004938F4"/>
    <w:rsid w:val="004D3370"/>
    <w:rsid w:val="004D73E9"/>
    <w:rsid w:val="004F4A02"/>
    <w:rsid w:val="0052510E"/>
    <w:rsid w:val="005468CF"/>
    <w:rsid w:val="00550998"/>
    <w:rsid w:val="0059580F"/>
    <w:rsid w:val="00614904"/>
    <w:rsid w:val="00632FC8"/>
    <w:rsid w:val="00644529"/>
    <w:rsid w:val="00660154"/>
    <w:rsid w:val="006840FE"/>
    <w:rsid w:val="006D0C4D"/>
    <w:rsid w:val="006D430A"/>
    <w:rsid w:val="006D7A73"/>
    <w:rsid w:val="006E3B29"/>
    <w:rsid w:val="006E5D74"/>
    <w:rsid w:val="006F6AB6"/>
    <w:rsid w:val="0070460C"/>
    <w:rsid w:val="00711EF5"/>
    <w:rsid w:val="00744361"/>
    <w:rsid w:val="007641A2"/>
    <w:rsid w:val="007943AF"/>
    <w:rsid w:val="007C2760"/>
    <w:rsid w:val="007C3F7A"/>
    <w:rsid w:val="008023F5"/>
    <w:rsid w:val="00830D4D"/>
    <w:rsid w:val="008D7E94"/>
    <w:rsid w:val="008F1F49"/>
    <w:rsid w:val="00900AFC"/>
    <w:rsid w:val="009046D1"/>
    <w:rsid w:val="009501A1"/>
    <w:rsid w:val="00967F2C"/>
    <w:rsid w:val="00974CD0"/>
    <w:rsid w:val="00997913"/>
    <w:rsid w:val="009B0097"/>
    <w:rsid w:val="009C12DB"/>
    <w:rsid w:val="009F1258"/>
    <w:rsid w:val="00A01187"/>
    <w:rsid w:val="00A02D23"/>
    <w:rsid w:val="00A02E1C"/>
    <w:rsid w:val="00A07F4A"/>
    <w:rsid w:val="00A126F7"/>
    <w:rsid w:val="00A1450F"/>
    <w:rsid w:val="00A42C70"/>
    <w:rsid w:val="00A90E1B"/>
    <w:rsid w:val="00AB238B"/>
    <w:rsid w:val="00AB4049"/>
    <w:rsid w:val="00AB4A4B"/>
    <w:rsid w:val="00AC23CA"/>
    <w:rsid w:val="00AC3C62"/>
    <w:rsid w:val="00AD3EF1"/>
    <w:rsid w:val="00AE7540"/>
    <w:rsid w:val="00B01BA7"/>
    <w:rsid w:val="00B05719"/>
    <w:rsid w:val="00B076A9"/>
    <w:rsid w:val="00B1759B"/>
    <w:rsid w:val="00B54534"/>
    <w:rsid w:val="00B905BA"/>
    <w:rsid w:val="00B91AF8"/>
    <w:rsid w:val="00B92DE5"/>
    <w:rsid w:val="00B94BC1"/>
    <w:rsid w:val="00BB38AD"/>
    <w:rsid w:val="00BB6071"/>
    <w:rsid w:val="00BD7197"/>
    <w:rsid w:val="00BE205C"/>
    <w:rsid w:val="00BF38CE"/>
    <w:rsid w:val="00C031CF"/>
    <w:rsid w:val="00C2221C"/>
    <w:rsid w:val="00C40CEE"/>
    <w:rsid w:val="00C51670"/>
    <w:rsid w:val="00C57818"/>
    <w:rsid w:val="00C70960"/>
    <w:rsid w:val="00C817F1"/>
    <w:rsid w:val="00C93DE6"/>
    <w:rsid w:val="00CF00CA"/>
    <w:rsid w:val="00D0319C"/>
    <w:rsid w:val="00D17759"/>
    <w:rsid w:val="00D266A9"/>
    <w:rsid w:val="00D360D6"/>
    <w:rsid w:val="00D413F9"/>
    <w:rsid w:val="00D549D5"/>
    <w:rsid w:val="00D863F3"/>
    <w:rsid w:val="00D955C4"/>
    <w:rsid w:val="00D96FDD"/>
    <w:rsid w:val="00DB2AA6"/>
    <w:rsid w:val="00DC16F6"/>
    <w:rsid w:val="00DC2DBF"/>
    <w:rsid w:val="00DE7F54"/>
    <w:rsid w:val="00DF3F56"/>
    <w:rsid w:val="00DF6C66"/>
    <w:rsid w:val="00E843BE"/>
    <w:rsid w:val="00ED5B41"/>
    <w:rsid w:val="00EE20C5"/>
    <w:rsid w:val="00EF55BC"/>
    <w:rsid w:val="00F00CA9"/>
    <w:rsid w:val="00F13256"/>
    <w:rsid w:val="00F24255"/>
    <w:rsid w:val="00F2561C"/>
    <w:rsid w:val="00F30137"/>
    <w:rsid w:val="00F4763C"/>
    <w:rsid w:val="00F50893"/>
    <w:rsid w:val="00F81122"/>
    <w:rsid w:val="00FA42C4"/>
    <w:rsid w:val="00FA7C6E"/>
    <w:rsid w:val="00FC2B34"/>
    <w:rsid w:val="00FC671D"/>
    <w:rsid w:val="00FE4A3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144E2EE"/>
  <w15:docId w15:val="{4C998C6E-B4B4-493F-BDD3-43824A30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0E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7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7A"/>
    <w:rPr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02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2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2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23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545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5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2C4"/>
    <w:pPr>
      <w:ind w:left="720"/>
      <w:contextualSpacing/>
    </w:pPr>
  </w:style>
  <w:style w:type="paragraph" w:customStyle="1" w:styleId="Default">
    <w:name w:val="Default"/>
    <w:rsid w:val="00FA42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10E"/>
    <w:rPr>
      <w:rFonts w:ascii="Arial" w:eastAsiaTheme="majorEastAsia" w:hAnsi="Arial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files/atoms/files/sssqaf-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'Proxy' measures to reflect VfM:</vt:lpstr>
    </vt:vector>
  </TitlesOfParts>
  <Company>The University of Sheffield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'Proxy' measures to reflect VfM:</dc:title>
  <dc:creator>Ad1aw</dc:creator>
  <cp:lastModifiedBy>HUNTER Susan</cp:lastModifiedBy>
  <cp:revision>2</cp:revision>
  <cp:lastPrinted>2017-08-01T12:27:00Z</cp:lastPrinted>
  <dcterms:created xsi:type="dcterms:W3CDTF">2017-12-21T11:15:00Z</dcterms:created>
  <dcterms:modified xsi:type="dcterms:W3CDTF">2017-12-21T11:15:00Z</dcterms:modified>
</cp:coreProperties>
</file>