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75CE0" w14:textId="608A7032" w:rsidR="002114AC" w:rsidRDefault="002114AC" w:rsidP="003123B0">
      <w:r>
        <w:t>The University of Edinburgh</w:t>
      </w:r>
      <w:r>
        <w:br/>
        <w:t>Information Services Group</w:t>
      </w:r>
    </w:p>
    <w:p w14:paraId="16259503" w14:textId="5491713A" w:rsidR="00F23427" w:rsidRDefault="00F23427" w:rsidP="00F60E4C">
      <w:pPr>
        <w:pStyle w:val="Title"/>
        <w:rPr>
          <w:rFonts w:eastAsia="Times New Roman"/>
        </w:rPr>
      </w:pPr>
      <w:r>
        <w:rPr>
          <w:rFonts w:eastAsia="Times New Roman"/>
        </w:rPr>
        <w:t>Learn VLE Retention Policy</w:t>
      </w:r>
    </w:p>
    <w:p w14:paraId="3AD25D4C" w14:textId="4E29B3DA" w:rsidR="000D362C" w:rsidRPr="000D362C" w:rsidRDefault="007015A2" w:rsidP="003123B0">
      <w:pPr>
        <w:pStyle w:val="Heading1"/>
      </w:pPr>
      <w:r>
        <w:rPr>
          <w:rFonts w:eastAsia="Times New Roman"/>
        </w:rPr>
        <w:t>Purpose and overview</w:t>
      </w:r>
    </w:p>
    <w:p w14:paraId="3351F1D8" w14:textId="06A6B256" w:rsidR="00686186" w:rsidRDefault="002114AC" w:rsidP="003123B0">
      <w:r>
        <w:t xml:space="preserve">The University </w:t>
      </w:r>
      <w:r w:rsidR="00F60E4C">
        <w:t xml:space="preserve">must </w:t>
      </w:r>
      <w:r w:rsidR="000D362C" w:rsidRPr="000D362C">
        <w:t xml:space="preserve">comply with </w:t>
      </w:r>
      <w:r>
        <w:t xml:space="preserve">data protection legislation </w:t>
      </w:r>
      <w:r w:rsidR="00F60E4C">
        <w:t xml:space="preserve">by </w:t>
      </w:r>
      <w:r w:rsidR="00574C81">
        <w:t>regularly delet</w:t>
      </w:r>
      <w:r>
        <w:t>ing</w:t>
      </w:r>
      <w:r w:rsidR="00574C81">
        <w:t xml:space="preserve"> </w:t>
      </w:r>
      <w:r w:rsidR="00574C81" w:rsidRPr="003123B0">
        <w:rPr>
          <w:rStyle w:val="Strong"/>
        </w:rPr>
        <w:t>personal data</w:t>
      </w:r>
      <w:r w:rsidR="00574C81">
        <w:t xml:space="preserve"> </w:t>
      </w:r>
      <w:r>
        <w:t xml:space="preserve">it </w:t>
      </w:r>
      <w:r w:rsidR="00574C81">
        <w:t>no longer require</w:t>
      </w:r>
      <w:r>
        <w:t>s</w:t>
      </w:r>
      <w:r w:rsidR="00112757">
        <w:t>.</w:t>
      </w:r>
      <w:r w:rsidR="00520451">
        <w:rPr>
          <w:rStyle w:val="FootnoteReference"/>
        </w:rPr>
        <w:footnoteReference w:id="1"/>
      </w:r>
      <w:r w:rsidR="00112757">
        <w:t xml:space="preserve"> </w:t>
      </w:r>
      <w:r w:rsidR="00F60E4C">
        <w:t xml:space="preserve">In </w:t>
      </w:r>
      <w:r w:rsidR="00E970C7">
        <w:t xml:space="preserve">the </w:t>
      </w:r>
      <w:r w:rsidR="00F60E4C">
        <w:t>Learn</w:t>
      </w:r>
      <w:r w:rsidR="00E970C7">
        <w:t xml:space="preserve"> Virtual Learning Environment (VLE)</w:t>
      </w:r>
      <w:r w:rsidR="00F60E4C">
        <w:t>, t</w:t>
      </w:r>
      <w:r>
        <w:t xml:space="preserve">his mainly relates to personal data held about users and user activity.  The </w:t>
      </w:r>
      <w:r w:rsidR="00E970C7">
        <w:t xml:space="preserve">VLE </w:t>
      </w:r>
      <w:r>
        <w:t xml:space="preserve">Service will use </w:t>
      </w:r>
      <w:r w:rsidR="00574C81">
        <w:t xml:space="preserve">an automated process to delete </w:t>
      </w:r>
      <w:r w:rsidR="003123B0">
        <w:t xml:space="preserve">that </w:t>
      </w:r>
      <w:r w:rsidR="00574C81">
        <w:t xml:space="preserve">data.   </w:t>
      </w:r>
    </w:p>
    <w:p w14:paraId="69B7BF03" w14:textId="796A4294" w:rsidR="00686186" w:rsidRDefault="00101A6C" w:rsidP="003123B0">
      <w:r>
        <w:t xml:space="preserve">There are often </w:t>
      </w:r>
      <w:r w:rsidRPr="003123B0">
        <w:rPr>
          <w:rStyle w:val="Strong"/>
          <w:b w:val="0"/>
        </w:rPr>
        <w:t>multiple instances of the same course</w:t>
      </w:r>
      <w:r>
        <w:t xml:space="preserve"> in Learn with very similar content</w:t>
      </w:r>
      <w:r w:rsidR="00F867B1">
        <w:t xml:space="preserve">.  </w:t>
      </w:r>
      <w:r w:rsidR="002114AC">
        <w:t xml:space="preserve">To keep </w:t>
      </w:r>
      <w:r w:rsidR="00F867B1">
        <w:t>storage requirements practical</w:t>
      </w:r>
      <w:r>
        <w:t xml:space="preserve">, </w:t>
      </w:r>
      <w:r w:rsidR="002114AC">
        <w:t xml:space="preserve">the </w:t>
      </w:r>
      <w:r w:rsidR="00E970C7">
        <w:t xml:space="preserve">VLE </w:t>
      </w:r>
      <w:r w:rsidR="002114AC">
        <w:t xml:space="preserve">Service will regularly use </w:t>
      </w:r>
      <w:r>
        <w:t>an automated process to</w:t>
      </w:r>
      <w:r w:rsidR="00F867B1">
        <w:t xml:space="preserve"> </w:t>
      </w:r>
      <w:r>
        <w:t>delete course</w:t>
      </w:r>
      <w:r w:rsidR="00F867B1">
        <w:t xml:space="preserve"> sites</w:t>
      </w:r>
      <w:r w:rsidR="002114AC">
        <w:t xml:space="preserve"> that are no longer required</w:t>
      </w:r>
      <w:r>
        <w:t xml:space="preserve">.  </w:t>
      </w:r>
    </w:p>
    <w:p w14:paraId="4927C43C" w14:textId="03090347" w:rsidR="00CE175E" w:rsidRDefault="00CE175E" w:rsidP="003123B0">
      <w:r>
        <w:t xml:space="preserve">This policy has been developed </w:t>
      </w:r>
      <w:r w:rsidR="00F867B1">
        <w:t>in</w:t>
      </w:r>
      <w:r w:rsidR="007015A2">
        <w:t xml:space="preserve"> </w:t>
      </w:r>
      <w:r w:rsidR="00F867B1">
        <w:t xml:space="preserve">line with </w:t>
      </w:r>
      <w:r>
        <w:t>the</w:t>
      </w:r>
      <w:r w:rsidR="00DA1547">
        <w:t xml:space="preserve"> University’s</w:t>
      </w:r>
      <w:r>
        <w:t xml:space="preserve"> </w:t>
      </w:r>
      <w:hyperlink r:id="rId11" w:history="1">
        <w:r w:rsidR="00DA1547">
          <w:rPr>
            <w:rStyle w:val="Hyperlink"/>
          </w:rPr>
          <w:t>account expiry policy</w:t>
        </w:r>
      </w:hyperlink>
      <w:r>
        <w:t xml:space="preserve"> and </w:t>
      </w:r>
      <w:hyperlink r:id="rId12" w:history="1">
        <w:r w:rsidR="00DA1547">
          <w:rPr>
            <w:rStyle w:val="Hyperlink"/>
          </w:rPr>
          <w:t>student records retention schedule</w:t>
        </w:r>
      </w:hyperlink>
      <w:r>
        <w:t>.</w:t>
      </w:r>
      <w:r w:rsidR="003F41BB">
        <w:t xml:space="preserve">  </w:t>
      </w:r>
    </w:p>
    <w:p w14:paraId="2BC87B9C" w14:textId="60C7C64D" w:rsidR="00F60E4C" w:rsidRDefault="00F60E4C" w:rsidP="003123B0"/>
    <w:p w14:paraId="15A00C17" w14:textId="7601DC97" w:rsidR="00101A6C" w:rsidRDefault="00101A6C" w:rsidP="00F60E4C">
      <w:pPr>
        <w:pStyle w:val="Heading1"/>
        <w:rPr>
          <w:rFonts w:eastAsia="Times New Roman"/>
        </w:rPr>
      </w:pPr>
      <w:r>
        <w:rPr>
          <w:rFonts w:eastAsia="Times New Roman"/>
        </w:rPr>
        <w:t xml:space="preserve">User </w:t>
      </w:r>
      <w:r w:rsidR="00CE175E">
        <w:rPr>
          <w:rFonts w:eastAsia="Times New Roman"/>
        </w:rPr>
        <w:t xml:space="preserve">account </w:t>
      </w:r>
      <w:r>
        <w:rPr>
          <w:rFonts w:eastAsia="Times New Roman"/>
        </w:rPr>
        <w:t>retention</w:t>
      </w:r>
    </w:p>
    <w:p w14:paraId="37FC7D1D" w14:textId="6631B94C" w:rsidR="00E837B5" w:rsidRDefault="000014C7" w:rsidP="00F60E4C">
      <w:r>
        <w:t xml:space="preserve">The Learn user </w:t>
      </w:r>
      <w:r w:rsidR="00CE175E">
        <w:t xml:space="preserve">account archival and deletion policy will </w:t>
      </w:r>
      <w:r w:rsidR="00DC0C55">
        <w:t>be based on</w:t>
      </w:r>
      <w:r w:rsidR="00CE175E">
        <w:t xml:space="preserve"> the </w:t>
      </w:r>
      <w:hyperlink r:id="rId13" w:history="1">
        <w:r w:rsidR="00DA1547">
          <w:rPr>
            <w:rStyle w:val="Hyperlink"/>
          </w:rPr>
          <w:t>account expiry policy</w:t>
        </w:r>
      </w:hyperlink>
      <w:r w:rsidR="00E837B5">
        <w:t>, which gives the following periods before account deletion:</w:t>
      </w:r>
    </w:p>
    <w:p w14:paraId="6C588232" w14:textId="77777777" w:rsidR="00F23427" w:rsidRDefault="00F23427" w:rsidP="00F60E4C"/>
    <w:tbl>
      <w:tblPr>
        <w:tblStyle w:val="GridTable1Light-Accent3"/>
        <w:tblW w:w="0" w:type="auto"/>
        <w:tblLook w:val="04A0" w:firstRow="1" w:lastRow="0" w:firstColumn="1" w:lastColumn="0" w:noHBand="0" w:noVBand="1"/>
      </w:tblPr>
      <w:tblGrid>
        <w:gridCol w:w="1980"/>
        <w:gridCol w:w="2268"/>
        <w:gridCol w:w="2126"/>
        <w:gridCol w:w="1488"/>
        <w:gridCol w:w="1154"/>
      </w:tblGrid>
      <w:tr w:rsidR="00E837B5" w14:paraId="799DAF75" w14:textId="77777777" w:rsidTr="00E837B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A87AF01" w14:textId="77777777" w:rsidR="00E837B5" w:rsidRDefault="00E837B5" w:rsidP="00F60E4C">
            <w:r>
              <w:t>Account Type</w:t>
            </w:r>
          </w:p>
        </w:tc>
        <w:tc>
          <w:tcPr>
            <w:tcW w:w="2268" w:type="dxa"/>
          </w:tcPr>
          <w:p w14:paraId="62517022" w14:textId="77777777" w:rsidR="00E837B5" w:rsidRDefault="00E837B5" w:rsidP="00F60E4C">
            <w:pPr>
              <w:cnfStyle w:val="100000000000" w:firstRow="1" w:lastRow="0" w:firstColumn="0" w:lastColumn="0" w:oddVBand="0" w:evenVBand="0" w:oddHBand="0" w:evenHBand="0" w:firstRowFirstColumn="0" w:firstRowLastColumn="0" w:lastRowFirstColumn="0" w:lastRowLastColumn="0"/>
            </w:pPr>
            <w:r>
              <w:t>Expiry Period (Days)</w:t>
            </w:r>
          </w:p>
        </w:tc>
        <w:tc>
          <w:tcPr>
            <w:tcW w:w="2126" w:type="dxa"/>
          </w:tcPr>
          <w:p w14:paraId="6947C016" w14:textId="77777777" w:rsidR="00E837B5" w:rsidRDefault="00E837B5" w:rsidP="00F60E4C">
            <w:pPr>
              <w:cnfStyle w:val="100000000000" w:firstRow="1" w:lastRow="0" w:firstColumn="0" w:lastColumn="0" w:oddVBand="0" w:evenVBand="0" w:oddHBand="0" w:evenHBand="0" w:firstRowFirstColumn="0" w:firstRowLastColumn="0" w:lastRowFirstColumn="0" w:lastRowLastColumn="0"/>
            </w:pPr>
            <w:r>
              <w:t>Suspension Period (Days)</w:t>
            </w:r>
          </w:p>
        </w:tc>
        <w:tc>
          <w:tcPr>
            <w:tcW w:w="1488" w:type="dxa"/>
          </w:tcPr>
          <w:p w14:paraId="00A0EFE0" w14:textId="77777777" w:rsidR="00E837B5" w:rsidRDefault="00E837B5" w:rsidP="00F60E4C">
            <w:pPr>
              <w:cnfStyle w:val="100000000000" w:firstRow="1" w:lastRow="0" w:firstColumn="0" w:lastColumn="0" w:oddVBand="0" w:evenVBand="0" w:oddHBand="0" w:evenHBand="0" w:firstRowFirstColumn="0" w:firstRowLastColumn="0" w:lastRowFirstColumn="0" w:lastRowLastColumn="0"/>
            </w:pPr>
            <w:r>
              <w:t>Total (days)</w:t>
            </w:r>
          </w:p>
        </w:tc>
        <w:tc>
          <w:tcPr>
            <w:tcW w:w="1154" w:type="dxa"/>
          </w:tcPr>
          <w:p w14:paraId="391F1CB9" w14:textId="77777777" w:rsidR="00E837B5" w:rsidRDefault="00E837B5" w:rsidP="00F60E4C">
            <w:pPr>
              <w:cnfStyle w:val="100000000000" w:firstRow="1" w:lastRow="0" w:firstColumn="0" w:lastColumn="0" w:oddVBand="0" w:evenVBand="0" w:oddHBand="0" w:evenHBand="0" w:firstRowFirstColumn="0" w:firstRowLastColumn="0" w:lastRowFirstColumn="0" w:lastRowLastColumn="0"/>
            </w:pPr>
            <w:r>
              <w:t>Total (months)</w:t>
            </w:r>
          </w:p>
        </w:tc>
      </w:tr>
      <w:tr w:rsidR="00E837B5" w14:paraId="301FF847" w14:textId="77777777" w:rsidTr="00E837B5">
        <w:tc>
          <w:tcPr>
            <w:cnfStyle w:val="001000000000" w:firstRow="0" w:lastRow="0" w:firstColumn="1" w:lastColumn="0" w:oddVBand="0" w:evenVBand="0" w:oddHBand="0" w:evenHBand="0" w:firstRowFirstColumn="0" w:firstRowLastColumn="0" w:lastRowFirstColumn="0" w:lastRowLastColumn="0"/>
            <w:tcW w:w="1980" w:type="dxa"/>
          </w:tcPr>
          <w:p w14:paraId="31612765" w14:textId="77777777" w:rsidR="00E837B5" w:rsidRDefault="00E837B5" w:rsidP="00F60E4C">
            <w:r>
              <w:t>Taught student</w:t>
            </w:r>
          </w:p>
        </w:tc>
        <w:tc>
          <w:tcPr>
            <w:tcW w:w="2268" w:type="dxa"/>
          </w:tcPr>
          <w:p w14:paraId="77312C53" w14:textId="77777777" w:rsidR="00E837B5" w:rsidRDefault="00E837B5" w:rsidP="00F60E4C">
            <w:pPr>
              <w:cnfStyle w:val="000000000000" w:firstRow="0" w:lastRow="0" w:firstColumn="0" w:lastColumn="0" w:oddVBand="0" w:evenVBand="0" w:oddHBand="0" w:evenHBand="0" w:firstRowFirstColumn="0" w:firstRowLastColumn="0" w:lastRowFirstColumn="0" w:lastRowLastColumn="0"/>
            </w:pPr>
            <w:r>
              <w:t>150</w:t>
            </w:r>
          </w:p>
        </w:tc>
        <w:tc>
          <w:tcPr>
            <w:tcW w:w="2126" w:type="dxa"/>
          </w:tcPr>
          <w:p w14:paraId="347E55CD" w14:textId="77777777" w:rsidR="00E837B5" w:rsidRDefault="00E837B5" w:rsidP="00F60E4C">
            <w:pPr>
              <w:cnfStyle w:val="000000000000" w:firstRow="0" w:lastRow="0" w:firstColumn="0" w:lastColumn="0" w:oddVBand="0" w:evenVBand="0" w:oddHBand="0" w:evenHBand="0" w:firstRowFirstColumn="0" w:firstRowLastColumn="0" w:lastRowFirstColumn="0" w:lastRowLastColumn="0"/>
            </w:pPr>
            <w:r>
              <w:t>30</w:t>
            </w:r>
          </w:p>
        </w:tc>
        <w:tc>
          <w:tcPr>
            <w:tcW w:w="1488" w:type="dxa"/>
          </w:tcPr>
          <w:p w14:paraId="6DAE77CE" w14:textId="77777777" w:rsidR="00E837B5" w:rsidRDefault="00E837B5" w:rsidP="00F60E4C">
            <w:pPr>
              <w:cnfStyle w:val="000000000000" w:firstRow="0" w:lastRow="0" w:firstColumn="0" w:lastColumn="0" w:oddVBand="0" w:evenVBand="0" w:oddHBand="0" w:evenHBand="0" w:firstRowFirstColumn="0" w:firstRowLastColumn="0" w:lastRowFirstColumn="0" w:lastRowLastColumn="0"/>
            </w:pPr>
            <w:r>
              <w:t>180</w:t>
            </w:r>
          </w:p>
        </w:tc>
        <w:tc>
          <w:tcPr>
            <w:tcW w:w="1154" w:type="dxa"/>
          </w:tcPr>
          <w:p w14:paraId="59370DF9" w14:textId="77777777" w:rsidR="00E837B5" w:rsidRDefault="00E837B5" w:rsidP="00F60E4C">
            <w:pPr>
              <w:cnfStyle w:val="000000000000" w:firstRow="0" w:lastRow="0" w:firstColumn="0" w:lastColumn="0" w:oddVBand="0" w:evenVBand="0" w:oddHBand="0" w:evenHBand="0" w:firstRowFirstColumn="0" w:firstRowLastColumn="0" w:lastRowFirstColumn="0" w:lastRowLastColumn="0"/>
            </w:pPr>
            <w:r>
              <w:t>6</w:t>
            </w:r>
          </w:p>
        </w:tc>
      </w:tr>
      <w:tr w:rsidR="00E837B5" w14:paraId="0CCC25EB" w14:textId="77777777" w:rsidTr="00E837B5">
        <w:tc>
          <w:tcPr>
            <w:cnfStyle w:val="001000000000" w:firstRow="0" w:lastRow="0" w:firstColumn="1" w:lastColumn="0" w:oddVBand="0" w:evenVBand="0" w:oddHBand="0" w:evenHBand="0" w:firstRowFirstColumn="0" w:firstRowLastColumn="0" w:lastRowFirstColumn="0" w:lastRowLastColumn="0"/>
            <w:tcW w:w="1980" w:type="dxa"/>
          </w:tcPr>
          <w:p w14:paraId="55848812" w14:textId="77777777" w:rsidR="00E837B5" w:rsidRDefault="00E837B5" w:rsidP="00F60E4C">
            <w:r>
              <w:t>Research student</w:t>
            </w:r>
          </w:p>
        </w:tc>
        <w:tc>
          <w:tcPr>
            <w:tcW w:w="2268" w:type="dxa"/>
          </w:tcPr>
          <w:p w14:paraId="5864F0EE" w14:textId="77777777" w:rsidR="00E837B5" w:rsidRDefault="00E837B5" w:rsidP="00F60E4C">
            <w:pPr>
              <w:cnfStyle w:val="000000000000" w:firstRow="0" w:lastRow="0" w:firstColumn="0" w:lastColumn="0" w:oddVBand="0" w:evenVBand="0" w:oddHBand="0" w:evenHBand="0" w:firstRowFirstColumn="0" w:firstRowLastColumn="0" w:lastRowFirstColumn="0" w:lastRowLastColumn="0"/>
            </w:pPr>
            <w:r>
              <w:t>240</w:t>
            </w:r>
          </w:p>
        </w:tc>
        <w:tc>
          <w:tcPr>
            <w:tcW w:w="2126" w:type="dxa"/>
          </w:tcPr>
          <w:p w14:paraId="337BC4DC" w14:textId="77777777" w:rsidR="00E837B5" w:rsidRDefault="00E837B5" w:rsidP="00F60E4C">
            <w:pPr>
              <w:cnfStyle w:val="000000000000" w:firstRow="0" w:lastRow="0" w:firstColumn="0" w:lastColumn="0" w:oddVBand="0" w:evenVBand="0" w:oddHBand="0" w:evenHBand="0" w:firstRowFirstColumn="0" w:firstRowLastColumn="0" w:lastRowFirstColumn="0" w:lastRowLastColumn="0"/>
            </w:pPr>
            <w:r>
              <w:t>30</w:t>
            </w:r>
          </w:p>
        </w:tc>
        <w:tc>
          <w:tcPr>
            <w:tcW w:w="1488" w:type="dxa"/>
          </w:tcPr>
          <w:p w14:paraId="2E3C0311" w14:textId="77777777" w:rsidR="00E837B5" w:rsidRDefault="00E837B5" w:rsidP="00F60E4C">
            <w:pPr>
              <w:cnfStyle w:val="000000000000" w:firstRow="0" w:lastRow="0" w:firstColumn="0" w:lastColumn="0" w:oddVBand="0" w:evenVBand="0" w:oddHBand="0" w:evenHBand="0" w:firstRowFirstColumn="0" w:firstRowLastColumn="0" w:lastRowFirstColumn="0" w:lastRowLastColumn="0"/>
            </w:pPr>
            <w:r>
              <w:t>270</w:t>
            </w:r>
          </w:p>
        </w:tc>
        <w:tc>
          <w:tcPr>
            <w:tcW w:w="1154" w:type="dxa"/>
          </w:tcPr>
          <w:p w14:paraId="4F4E602B" w14:textId="77777777" w:rsidR="00E837B5" w:rsidRDefault="00E837B5" w:rsidP="00F60E4C">
            <w:pPr>
              <w:cnfStyle w:val="000000000000" w:firstRow="0" w:lastRow="0" w:firstColumn="0" w:lastColumn="0" w:oddVBand="0" w:evenVBand="0" w:oddHBand="0" w:evenHBand="0" w:firstRowFirstColumn="0" w:firstRowLastColumn="0" w:lastRowFirstColumn="0" w:lastRowLastColumn="0"/>
            </w:pPr>
            <w:r>
              <w:t>8</w:t>
            </w:r>
          </w:p>
        </w:tc>
      </w:tr>
      <w:tr w:rsidR="00E837B5" w14:paraId="33F14EFE" w14:textId="77777777" w:rsidTr="00E837B5">
        <w:tc>
          <w:tcPr>
            <w:cnfStyle w:val="001000000000" w:firstRow="0" w:lastRow="0" w:firstColumn="1" w:lastColumn="0" w:oddVBand="0" w:evenVBand="0" w:oddHBand="0" w:evenHBand="0" w:firstRowFirstColumn="0" w:firstRowLastColumn="0" w:lastRowFirstColumn="0" w:lastRowLastColumn="0"/>
            <w:tcW w:w="1980" w:type="dxa"/>
          </w:tcPr>
          <w:p w14:paraId="0ED7691D" w14:textId="77777777" w:rsidR="00E837B5" w:rsidRDefault="00E837B5" w:rsidP="00F60E4C">
            <w:r>
              <w:t>Staff</w:t>
            </w:r>
          </w:p>
        </w:tc>
        <w:tc>
          <w:tcPr>
            <w:tcW w:w="2268" w:type="dxa"/>
          </w:tcPr>
          <w:p w14:paraId="78E82E9C" w14:textId="77777777" w:rsidR="00E837B5" w:rsidRDefault="00E837B5" w:rsidP="00F60E4C">
            <w:pPr>
              <w:cnfStyle w:val="000000000000" w:firstRow="0" w:lastRow="0" w:firstColumn="0" w:lastColumn="0" w:oddVBand="0" w:evenVBand="0" w:oddHBand="0" w:evenHBand="0" w:firstRowFirstColumn="0" w:firstRowLastColumn="0" w:lastRowFirstColumn="0" w:lastRowLastColumn="0"/>
            </w:pPr>
            <w:r>
              <w:t>30</w:t>
            </w:r>
          </w:p>
        </w:tc>
        <w:tc>
          <w:tcPr>
            <w:tcW w:w="2126" w:type="dxa"/>
          </w:tcPr>
          <w:p w14:paraId="7E5115E6" w14:textId="77777777" w:rsidR="00E837B5" w:rsidRDefault="00E837B5" w:rsidP="00F60E4C">
            <w:pPr>
              <w:cnfStyle w:val="000000000000" w:firstRow="0" w:lastRow="0" w:firstColumn="0" w:lastColumn="0" w:oddVBand="0" w:evenVBand="0" w:oddHBand="0" w:evenHBand="0" w:firstRowFirstColumn="0" w:firstRowLastColumn="0" w:lastRowFirstColumn="0" w:lastRowLastColumn="0"/>
            </w:pPr>
            <w:r>
              <w:t>90</w:t>
            </w:r>
          </w:p>
        </w:tc>
        <w:tc>
          <w:tcPr>
            <w:tcW w:w="1488" w:type="dxa"/>
          </w:tcPr>
          <w:p w14:paraId="07C202E2" w14:textId="77777777" w:rsidR="00E837B5" w:rsidRDefault="00E837B5" w:rsidP="00F60E4C">
            <w:pPr>
              <w:cnfStyle w:val="000000000000" w:firstRow="0" w:lastRow="0" w:firstColumn="0" w:lastColumn="0" w:oddVBand="0" w:evenVBand="0" w:oddHBand="0" w:evenHBand="0" w:firstRowFirstColumn="0" w:firstRowLastColumn="0" w:lastRowFirstColumn="0" w:lastRowLastColumn="0"/>
            </w:pPr>
            <w:r>
              <w:t>120</w:t>
            </w:r>
          </w:p>
        </w:tc>
        <w:tc>
          <w:tcPr>
            <w:tcW w:w="1154" w:type="dxa"/>
          </w:tcPr>
          <w:p w14:paraId="38F541FD" w14:textId="77777777" w:rsidR="00E837B5" w:rsidRDefault="00E837B5" w:rsidP="00F60E4C">
            <w:pPr>
              <w:cnfStyle w:val="000000000000" w:firstRow="0" w:lastRow="0" w:firstColumn="0" w:lastColumn="0" w:oddVBand="0" w:evenVBand="0" w:oddHBand="0" w:evenHBand="0" w:firstRowFirstColumn="0" w:firstRowLastColumn="0" w:lastRowFirstColumn="0" w:lastRowLastColumn="0"/>
            </w:pPr>
            <w:r>
              <w:t>4</w:t>
            </w:r>
          </w:p>
        </w:tc>
      </w:tr>
      <w:tr w:rsidR="00E837B5" w14:paraId="2E8B9677" w14:textId="77777777" w:rsidTr="00E837B5">
        <w:tc>
          <w:tcPr>
            <w:cnfStyle w:val="001000000000" w:firstRow="0" w:lastRow="0" w:firstColumn="1" w:lastColumn="0" w:oddVBand="0" w:evenVBand="0" w:oddHBand="0" w:evenHBand="0" w:firstRowFirstColumn="0" w:firstRowLastColumn="0" w:lastRowFirstColumn="0" w:lastRowLastColumn="0"/>
            <w:tcW w:w="1980" w:type="dxa"/>
          </w:tcPr>
          <w:p w14:paraId="4B703612" w14:textId="77777777" w:rsidR="00E837B5" w:rsidRDefault="00E837B5" w:rsidP="00F60E4C">
            <w:r>
              <w:t>Visitors</w:t>
            </w:r>
          </w:p>
        </w:tc>
        <w:tc>
          <w:tcPr>
            <w:tcW w:w="2268" w:type="dxa"/>
          </w:tcPr>
          <w:p w14:paraId="2AD73B8A" w14:textId="77777777" w:rsidR="00E837B5" w:rsidRDefault="00E837B5" w:rsidP="00F60E4C">
            <w:pPr>
              <w:cnfStyle w:val="000000000000" w:firstRow="0" w:lastRow="0" w:firstColumn="0" w:lastColumn="0" w:oddVBand="0" w:evenVBand="0" w:oddHBand="0" w:evenHBand="0" w:firstRowFirstColumn="0" w:firstRowLastColumn="0" w:lastRowFirstColumn="0" w:lastRowLastColumn="0"/>
            </w:pPr>
            <w:r>
              <w:t>N/A</w:t>
            </w:r>
          </w:p>
        </w:tc>
        <w:tc>
          <w:tcPr>
            <w:tcW w:w="2126" w:type="dxa"/>
          </w:tcPr>
          <w:p w14:paraId="1E13DF4C" w14:textId="77777777" w:rsidR="00E837B5" w:rsidRDefault="00E837B5" w:rsidP="00F60E4C">
            <w:pPr>
              <w:cnfStyle w:val="000000000000" w:firstRow="0" w:lastRow="0" w:firstColumn="0" w:lastColumn="0" w:oddVBand="0" w:evenVBand="0" w:oddHBand="0" w:evenHBand="0" w:firstRowFirstColumn="0" w:firstRowLastColumn="0" w:lastRowFirstColumn="0" w:lastRowLastColumn="0"/>
            </w:pPr>
            <w:r>
              <w:t>30</w:t>
            </w:r>
          </w:p>
        </w:tc>
        <w:tc>
          <w:tcPr>
            <w:tcW w:w="1488" w:type="dxa"/>
          </w:tcPr>
          <w:p w14:paraId="7B6A28FE" w14:textId="77777777" w:rsidR="00E837B5" w:rsidRDefault="00E837B5" w:rsidP="00F60E4C">
            <w:pPr>
              <w:cnfStyle w:val="000000000000" w:firstRow="0" w:lastRow="0" w:firstColumn="0" w:lastColumn="0" w:oddVBand="0" w:evenVBand="0" w:oddHBand="0" w:evenHBand="0" w:firstRowFirstColumn="0" w:firstRowLastColumn="0" w:lastRowFirstColumn="0" w:lastRowLastColumn="0"/>
            </w:pPr>
            <w:r>
              <w:t>30</w:t>
            </w:r>
          </w:p>
        </w:tc>
        <w:tc>
          <w:tcPr>
            <w:tcW w:w="1154" w:type="dxa"/>
          </w:tcPr>
          <w:p w14:paraId="32B395EE" w14:textId="77777777" w:rsidR="00E837B5" w:rsidRDefault="00E837B5" w:rsidP="00F60E4C">
            <w:pPr>
              <w:cnfStyle w:val="000000000000" w:firstRow="0" w:lastRow="0" w:firstColumn="0" w:lastColumn="0" w:oddVBand="0" w:evenVBand="0" w:oddHBand="0" w:evenHBand="0" w:firstRowFirstColumn="0" w:firstRowLastColumn="0" w:lastRowFirstColumn="0" w:lastRowLastColumn="0"/>
            </w:pPr>
            <w:r>
              <w:t>1</w:t>
            </w:r>
          </w:p>
        </w:tc>
      </w:tr>
    </w:tbl>
    <w:p w14:paraId="3C182640" w14:textId="77777777" w:rsidR="00F23427" w:rsidRDefault="00F23427" w:rsidP="00F60E4C"/>
    <w:p w14:paraId="058048FC" w14:textId="084CC850" w:rsidR="00E837B5" w:rsidRPr="00F60E4C" w:rsidRDefault="00E837B5" w:rsidP="00F60E4C">
      <w:r w:rsidRPr="00F60E4C">
        <w:t xml:space="preserve">Typically, access to services is maintained during </w:t>
      </w:r>
      <w:r w:rsidR="000014C7" w:rsidRPr="00F60E4C">
        <w:t xml:space="preserve">the </w:t>
      </w:r>
      <w:r w:rsidRPr="00F60E4C">
        <w:t>account expiry</w:t>
      </w:r>
      <w:r w:rsidR="000014C7" w:rsidRPr="00F60E4C">
        <w:t xml:space="preserve"> period.  U</w:t>
      </w:r>
      <w:r w:rsidRPr="00F60E4C">
        <w:t xml:space="preserve">sers lose access to services during </w:t>
      </w:r>
      <w:r w:rsidR="000014C7" w:rsidRPr="00F60E4C">
        <w:t xml:space="preserve">the </w:t>
      </w:r>
      <w:r w:rsidRPr="00F60E4C">
        <w:t xml:space="preserve">account suspension </w:t>
      </w:r>
      <w:r w:rsidR="000014C7" w:rsidRPr="00F60E4C">
        <w:t xml:space="preserve">period </w:t>
      </w:r>
      <w:r w:rsidRPr="00F60E4C">
        <w:t xml:space="preserve">and deletion of the user account is completed at the end of the </w:t>
      </w:r>
      <w:r w:rsidR="001B53B3" w:rsidRPr="00F60E4C">
        <w:t xml:space="preserve">suspension </w:t>
      </w:r>
      <w:r w:rsidRPr="00F60E4C">
        <w:t>period.</w:t>
      </w:r>
    </w:p>
    <w:p w14:paraId="257C95F5" w14:textId="3567B2F7" w:rsidR="00E837B5" w:rsidRDefault="00E837B5" w:rsidP="00F60E4C">
      <w:r>
        <w:t xml:space="preserve">The </w:t>
      </w:r>
      <w:hyperlink r:id="rId14" w:history="1">
        <w:r w:rsidR="00DA1547">
          <w:rPr>
            <w:rStyle w:val="Hyperlink"/>
          </w:rPr>
          <w:t>student records retention schedule</w:t>
        </w:r>
      </w:hyperlink>
      <w:r>
        <w:t xml:space="preserve"> state</w:t>
      </w:r>
      <w:r w:rsidR="00DA1547">
        <w:t>s</w:t>
      </w:r>
      <w:r>
        <w:t xml:space="preserve"> that mark sheets from course assessment should be retained for “one year after graduation, withdrawal or other permanent departure from University”.  </w:t>
      </w:r>
      <w:r w:rsidR="000014C7">
        <w:t>For electronic submissions, i</w:t>
      </w:r>
      <w:r>
        <w:t xml:space="preserve">t is only possible to do this if the submission </w:t>
      </w:r>
      <w:r w:rsidR="00F23427">
        <w:t xml:space="preserve">(along with the mark sheet) </w:t>
      </w:r>
      <w:r>
        <w:t xml:space="preserve">is also kept for this </w:t>
      </w:r>
      <w:r w:rsidR="000014C7">
        <w:t>period</w:t>
      </w:r>
      <w:r>
        <w:t>, so both the submission and mark sheet will be deleted at the same time.</w:t>
      </w:r>
    </w:p>
    <w:p w14:paraId="664976A2" w14:textId="01991D79" w:rsidR="00081E38" w:rsidRDefault="00081E38" w:rsidP="00F60E4C">
      <w:r>
        <w:lastRenderedPageBreak/>
        <w:t>Please note that w</w:t>
      </w:r>
      <w:r w:rsidRPr="00081E38">
        <w:t xml:space="preserve">e do not have access to data that </w:t>
      </w:r>
      <w:r>
        <w:t>gives us information about instructors</w:t>
      </w:r>
      <w:r w:rsidRPr="00081E38">
        <w:t xml:space="preserve"> on different courses. Hence this policy only caters to users when they lea</w:t>
      </w:r>
      <w:r>
        <w:t xml:space="preserve">ve the University and not </w:t>
      </w:r>
      <w:r w:rsidRPr="00081E38">
        <w:t>when they stop teaching on a course</w:t>
      </w:r>
      <w:r>
        <w:t>.</w:t>
      </w:r>
    </w:p>
    <w:p w14:paraId="3791AA80" w14:textId="7BB5BC1B" w:rsidR="003F41BB" w:rsidRDefault="0083088C" w:rsidP="00F60E4C">
      <w:r>
        <w:t>As part of the IDM feed into Learn</w:t>
      </w:r>
      <w:r w:rsidR="003F41BB">
        <w:t xml:space="preserve">, </w:t>
      </w:r>
      <w:r w:rsidR="00667182">
        <w:t xml:space="preserve">a </w:t>
      </w:r>
      <w:r>
        <w:t>daily</w:t>
      </w:r>
      <w:r w:rsidR="00EE05C8">
        <w:t xml:space="preserve"> process will be run which will:</w:t>
      </w:r>
    </w:p>
    <w:p w14:paraId="6A46C9D0" w14:textId="18707820" w:rsidR="003F41BB" w:rsidRDefault="003F41BB" w:rsidP="00F60E4C">
      <w:pPr>
        <w:pStyle w:val="ListParagraph"/>
        <w:numPr>
          <w:ilvl w:val="0"/>
          <w:numId w:val="4"/>
        </w:numPr>
      </w:pPr>
      <w:r>
        <w:t>Set any users with a ‘</w:t>
      </w:r>
      <w:r w:rsidR="00E837B5">
        <w:t>Suspended’</w:t>
      </w:r>
      <w:r>
        <w:t xml:space="preserve"> </w:t>
      </w:r>
      <w:r w:rsidR="00CD186E">
        <w:t>staff, visitor or student affiliation</w:t>
      </w:r>
      <w:r>
        <w:t xml:space="preserve"> (in the IDM) </w:t>
      </w:r>
      <w:r w:rsidR="00F867B1">
        <w:t xml:space="preserve">to ‘unavailable’ on courses </w:t>
      </w:r>
      <w:r>
        <w:t xml:space="preserve">in Learn.  </w:t>
      </w:r>
      <w:r w:rsidR="00F867B1">
        <w:t xml:space="preserve">The </w:t>
      </w:r>
      <w:r w:rsidR="00C50D8D">
        <w:t xml:space="preserve">user </w:t>
      </w:r>
      <w:r w:rsidR="00F867B1">
        <w:t>won’t be able to log in</w:t>
      </w:r>
      <w:r>
        <w:t>.</w:t>
      </w:r>
      <w:r w:rsidR="00851291">
        <w:t xml:space="preserve">  </w:t>
      </w:r>
      <w:r w:rsidR="00F867B1">
        <w:t xml:space="preserve">Their activity on courses, however, will still be visible.  </w:t>
      </w:r>
      <w:r w:rsidR="00851291" w:rsidRPr="00F867B1">
        <w:t>The user</w:t>
      </w:r>
      <w:r w:rsidR="000014C7">
        <w:t>’s</w:t>
      </w:r>
      <w:r w:rsidR="009051C3">
        <w:t xml:space="preserve"> </w:t>
      </w:r>
      <w:r w:rsidR="00CD186E">
        <w:t xml:space="preserve">Learn </w:t>
      </w:r>
      <w:r w:rsidR="009051C3">
        <w:t>account</w:t>
      </w:r>
      <w:r w:rsidR="00851291" w:rsidRPr="00F867B1">
        <w:t xml:space="preserve"> will remain </w:t>
      </w:r>
      <w:r w:rsidR="009051C3">
        <w:t>in this ‘unavailable’ state</w:t>
      </w:r>
      <w:r w:rsidR="009051C3" w:rsidRPr="00F867B1">
        <w:t xml:space="preserve"> </w:t>
      </w:r>
      <w:r w:rsidR="00851291" w:rsidRPr="00F867B1">
        <w:t xml:space="preserve">until the </w:t>
      </w:r>
      <w:r w:rsidR="00CD186E">
        <w:t>user</w:t>
      </w:r>
      <w:r w:rsidR="000014C7">
        <w:t>’</w:t>
      </w:r>
      <w:r w:rsidR="00CD186E">
        <w:t>s affiliation</w:t>
      </w:r>
      <w:r w:rsidR="00851291" w:rsidRPr="00F867B1">
        <w:t xml:space="preserve"> is </w:t>
      </w:r>
      <w:r w:rsidR="00F15B18">
        <w:t>set to</w:t>
      </w:r>
      <w:r w:rsidR="00851291" w:rsidRPr="00F867B1">
        <w:t xml:space="preserve"> </w:t>
      </w:r>
      <w:r w:rsidR="00E970C7">
        <w:t>‘</w:t>
      </w:r>
      <w:proofErr w:type="gramStart"/>
      <w:r w:rsidR="00851291" w:rsidRPr="00F867B1">
        <w:t>deleted</w:t>
      </w:r>
      <w:proofErr w:type="gramEnd"/>
      <w:r w:rsidR="00E970C7">
        <w:t>’</w:t>
      </w:r>
      <w:r w:rsidR="00006639">
        <w:t xml:space="preserve"> </w:t>
      </w:r>
      <w:r w:rsidR="009051C3">
        <w:t>or is re-activated</w:t>
      </w:r>
      <w:r w:rsidR="00851291" w:rsidRPr="00F867B1">
        <w:t>.</w:t>
      </w:r>
      <w:r w:rsidR="00F867B1" w:rsidRPr="00F867B1">
        <w:t xml:space="preserve">  </w:t>
      </w:r>
      <w:r w:rsidR="00F867B1">
        <w:t xml:space="preserve"> Should the </w:t>
      </w:r>
      <w:r w:rsidR="00CD186E">
        <w:t>affiliation</w:t>
      </w:r>
      <w:r w:rsidR="00F867B1">
        <w:t xml:space="preserve"> be re-activated from suspension during this period, the user will </w:t>
      </w:r>
      <w:r w:rsidR="00C50D8D">
        <w:t xml:space="preserve">be able to access their courses/activity again, </w:t>
      </w:r>
      <w:r w:rsidR="000014C7">
        <w:t xml:space="preserve">just </w:t>
      </w:r>
      <w:r w:rsidR="00C50D8D">
        <w:t>as before the suspension.</w:t>
      </w:r>
    </w:p>
    <w:p w14:paraId="6F75DE3D" w14:textId="77777777" w:rsidR="00EE05C8" w:rsidRDefault="00EE05C8" w:rsidP="00EE05C8">
      <w:r>
        <w:t>As part of the IDM feed into Learn, monthly process will be run which will:</w:t>
      </w:r>
    </w:p>
    <w:p w14:paraId="2B1DC337" w14:textId="2FEF1C7D" w:rsidR="00EE05C8" w:rsidRPr="00EE05C8" w:rsidRDefault="00EE05C8" w:rsidP="00EE05C8">
      <w:pPr>
        <w:pStyle w:val="ListParagraph"/>
        <w:numPr>
          <w:ilvl w:val="0"/>
          <w:numId w:val="6"/>
        </w:numPr>
        <w:rPr>
          <w:bCs/>
        </w:rPr>
      </w:pPr>
      <w:r w:rsidRPr="00EE05C8">
        <w:t>Delete user account</w:t>
      </w:r>
      <w:r>
        <w:t>s</w:t>
      </w:r>
      <w:r w:rsidRPr="00EE05C8">
        <w:t xml:space="preserve"> on Learn completely</w:t>
      </w:r>
      <w:r>
        <w:t>,</w:t>
      </w:r>
      <w:r w:rsidRPr="00EE05C8">
        <w:t xml:space="preserve"> one year after end date of the user’s affiliation is passed. </w:t>
      </w:r>
    </w:p>
    <w:p w14:paraId="1C7B8B4E" w14:textId="32F63A0D" w:rsidR="00FA0CE6" w:rsidRDefault="00FA0CE6" w:rsidP="003123B0">
      <w:pPr>
        <w:pStyle w:val="Heading2"/>
      </w:pPr>
      <w:r>
        <w:t>Non-EUCLID user accounts</w:t>
      </w:r>
    </w:p>
    <w:p w14:paraId="16F72F3A" w14:textId="3E07D6AD" w:rsidR="00493199" w:rsidRDefault="00E96C41" w:rsidP="003123B0">
      <w:r>
        <w:t xml:space="preserve">A process will soon be put in place to manage </w:t>
      </w:r>
      <w:r w:rsidR="00493199">
        <w:t xml:space="preserve">accounts which are not created by the EUCLID feed, </w:t>
      </w:r>
      <w:r>
        <w:t>going forward</w:t>
      </w:r>
      <w:r w:rsidR="00493199">
        <w:t>, which includes the recording of these accounts as requested, purpose, individual responsible and when they are required.  The password of manual accounts will be changed on an annual basis to keep them secure</w:t>
      </w:r>
      <w:r>
        <w:t xml:space="preserve">.  </w:t>
      </w:r>
    </w:p>
    <w:p w14:paraId="624506B5" w14:textId="2FE6E2EB" w:rsidR="00FA0CE6" w:rsidRDefault="00493199" w:rsidP="003123B0">
      <w:r>
        <w:t xml:space="preserve">The manual accounts list will be reviewed by the Learn Service team once per annum during the course rollover period and those which it is believed are no longer required </w:t>
      </w:r>
      <w:r w:rsidR="000014AC">
        <w:t xml:space="preserve">and have not been logged into for 1 year </w:t>
      </w:r>
      <w:r w:rsidR="00BD6628">
        <w:t xml:space="preserve">or more </w:t>
      </w:r>
      <w:r>
        <w:t>will</w:t>
      </w:r>
      <w:r w:rsidR="000014AC">
        <w:t xml:space="preserve"> </w:t>
      </w:r>
      <w:r w:rsidR="00FA0CE6">
        <w:t xml:space="preserve">be set to </w:t>
      </w:r>
      <w:r w:rsidR="00E970C7">
        <w:t>‘</w:t>
      </w:r>
      <w:r w:rsidR="00FA0CE6">
        <w:t>unavailable</w:t>
      </w:r>
      <w:r w:rsidR="00E970C7">
        <w:t>’</w:t>
      </w:r>
      <w:r w:rsidR="00FA0CE6">
        <w:t xml:space="preserve"> , and then deleted one year later</w:t>
      </w:r>
      <w:r>
        <w:t>.</w:t>
      </w:r>
      <w:r w:rsidR="00FA0CE6">
        <w:t xml:space="preserve">, </w:t>
      </w:r>
    </w:p>
    <w:p w14:paraId="324FB72E" w14:textId="60CC6AAB" w:rsidR="000014C7" w:rsidRDefault="00101A6C" w:rsidP="003123B0">
      <w:pPr>
        <w:pStyle w:val="Heading1"/>
      </w:pPr>
      <w:r>
        <w:rPr>
          <w:rFonts w:eastAsia="Times New Roman"/>
        </w:rPr>
        <w:t>Course retention</w:t>
      </w:r>
    </w:p>
    <w:p w14:paraId="7A41F5E0" w14:textId="4B74FC56" w:rsidR="00851291" w:rsidRPr="00FA0CE6" w:rsidRDefault="00493199" w:rsidP="003123B0">
      <w:pPr>
        <w:pStyle w:val="Heading2"/>
      </w:pPr>
      <w:r>
        <w:t>EUCLID generated courses and manually created courses which are not playground courses</w:t>
      </w:r>
    </w:p>
    <w:p w14:paraId="4F829D24" w14:textId="62013B38" w:rsidR="00101A6C" w:rsidRDefault="00493199" w:rsidP="00F60E4C">
      <w:r>
        <w:t>These</w:t>
      </w:r>
      <w:r w:rsidR="00851291">
        <w:t xml:space="preserve"> c</w:t>
      </w:r>
      <w:r w:rsidR="00101A6C">
        <w:t xml:space="preserve">ourse sites in Learn will be kept for </w:t>
      </w:r>
      <w:r w:rsidR="009051C3">
        <w:t xml:space="preserve">a minimum of </w:t>
      </w:r>
      <w:r w:rsidR="00101A6C">
        <w:t>4 years</w:t>
      </w:r>
      <w:r w:rsidR="00851291">
        <w:t>,</w:t>
      </w:r>
      <w:r w:rsidR="00101A6C">
        <w:t xml:space="preserve"> </w:t>
      </w:r>
      <w:r w:rsidR="00851291">
        <w:t>from the start date of the course</w:t>
      </w:r>
      <w:r w:rsidR="004008EC">
        <w:t xml:space="preserve"> </w:t>
      </w:r>
      <w:r w:rsidR="00CE175E">
        <w:t>(with or without active student enrolments)</w:t>
      </w:r>
      <w:r w:rsidR="00101A6C">
        <w:t xml:space="preserve">.  Beyond this, courses will be kept until </w:t>
      </w:r>
      <w:r w:rsidR="009051C3">
        <w:t xml:space="preserve">a year after there </w:t>
      </w:r>
      <w:r w:rsidR="00101A6C">
        <w:t>are no active student enrolments on the course</w:t>
      </w:r>
      <w:r w:rsidR="00CE175E">
        <w:t xml:space="preserve">.  </w:t>
      </w:r>
      <w:r w:rsidR="00851291">
        <w:t xml:space="preserve"> The instructors enrolled on the course will be warned by email </w:t>
      </w:r>
      <w:r w:rsidR="00F867B1">
        <w:t xml:space="preserve">6 </w:t>
      </w:r>
      <w:r w:rsidR="00851291">
        <w:t>month</w:t>
      </w:r>
      <w:r w:rsidR="00F867B1">
        <w:t>s and then 1 month</w:t>
      </w:r>
      <w:r w:rsidR="00851291">
        <w:t xml:space="preserve"> before course </w:t>
      </w:r>
      <w:r w:rsidR="003123B0">
        <w:t xml:space="preserve">site </w:t>
      </w:r>
      <w:r w:rsidR="00851291">
        <w:t>deletion takes place.</w:t>
      </w:r>
    </w:p>
    <w:p w14:paraId="60D35733" w14:textId="37AF9F9C" w:rsidR="003F41BB" w:rsidRDefault="003F41BB" w:rsidP="00F60E4C">
      <w:r>
        <w:t xml:space="preserve">If </w:t>
      </w:r>
      <w:r w:rsidR="00851291">
        <w:t xml:space="preserve">the </w:t>
      </w:r>
      <w:r>
        <w:t>course materials</w:t>
      </w:r>
      <w:r w:rsidR="00851291">
        <w:t>/content</w:t>
      </w:r>
      <w:r>
        <w:t xml:space="preserve"> are required</w:t>
      </w:r>
      <w:r w:rsidR="00851291">
        <w:t xml:space="preserve"> beyond 4 years, course staff can take a back-up of the course and download it as a zip file and store it for later use. </w:t>
      </w:r>
      <w:r w:rsidR="00F23427">
        <w:t xml:space="preserve"> </w:t>
      </w:r>
      <w:r w:rsidR="003123B0">
        <w:t xml:space="preserve">The Virtual Learning Environments Service team </w:t>
      </w:r>
      <w:r w:rsidR="00851291">
        <w:t>can provide an empty course space to restore</w:t>
      </w:r>
      <w:r w:rsidR="00F23427">
        <w:t xml:space="preserve"> the zip file into</w:t>
      </w:r>
      <w:r w:rsidR="00851291">
        <w:t xml:space="preserve"> the course so that </w:t>
      </w:r>
      <w:r w:rsidR="00F23427">
        <w:t>any required</w:t>
      </w:r>
      <w:r w:rsidR="00851291">
        <w:t xml:space="preserve"> materials can be accessed.</w:t>
      </w:r>
    </w:p>
    <w:p w14:paraId="66F9EA16" w14:textId="6449B439" w:rsidR="00F867B1" w:rsidRPr="005F611E" w:rsidRDefault="00F867B1" w:rsidP="00F60E4C">
      <w:r>
        <w:t>Courses will be backed up (content only) before deletion and this back-up will be kept for 6 months</w:t>
      </w:r>
      <w:r w:rsidR="002F153D">
        <w:t>, after which they will be deleted permanently</w:t>
      </w:r>
    </w:p>
    <w:p w14:paraId="0D96A30D" w14:textId="4F338C8E" w:rsidR="00F867B1" w:rsidRDefault="357FD145" w:rsidP="00F60E4C">
      <w:r>
        <w:t xml:space="preserve">If assessments require to be kept beyond four years, </w:t>
      </w:r>
      <w:r w:rsidR="00081E38">
        <w:rPr>
          <w:rStyle w:val="normaltextrun"/>
          <w:bdr w:val="none" w:sz="0" w:space="0" w:color="auto" w:frame="1"/>
        </w:rPr>
        <w:t xml:space="preserve">they </w:t>
      </w:r>
      <w:r w:rsidR="00081E38">
        <w:t xml:space="preserve">must be </w:t>
      </w:r>
      <w:r>
        <w:t>downloaded from which ever system they are being stored in by teaching office staff or other course staff and held for the period as described in your School’s retention schedule.</w:t>
      </w:r>
    </w:p>
    <w:p w14:paraId="26C539AA" w14:textId="1AF47755" w:rsidR="00CE175E" w:rsidRDefault="00CE175E" w:rsidP="003123B0">
      <w:pPr>
        <w:pStyle w:val="Heading2"/>
      </w:pPr>
      <w:r>
        <w:lastRenderedPageBreak/>
        <w:t>Course</w:t>
      </w:r>
      <w:r w:rsidR="000014C7">
        <w:t>s</w:t>
      </w:r>
      <w:r>
        <w:t xml:space="preserve"> </w:t>
      </w:r>
      <w:r w:rsidR="000014C7">
        <w:t xml:space="preserve">created </w:t>
      </w:r>
      <w:r>
        <w:t>manually</w:t>
      </w:r>
    </w:p>
    <w:p w14:paraId="7741E514" w14:textId="77777777" w:rsidR="00851291" w:rsidRPr="00F60E4C" w:rsidRDefault="00851291" w:rsidP="00F60E4C">
      <w:pPr>
        <w:pStyle w:val="Heading3"/>
      </w:pPr>
      <w:r w:rsidRPr="00F60E4C">
        <w:t>Playground courses</w:t>
      </w:r>
    </w:p>
    <w:p w14:paraId="35FE248E" w14:textId="2F92C4C2" w:rsidR="00851291" w:rsidRDefault="00851291" w:rsidP="00F60E4C">
      <w:r w:rsidRPr="005138BF">
        <w:t>Any courses</w:t>
      </w:r>
      <w:r w:rsidR="009051C3">
        <w:t xml:space="preserve"> located</w:t>
      </w:r>
      <w:r w:rsidRPr="005138BF">
        <w:t xml:space="preserve"> in the playground node in Learn will be deleted when all users have been </w:t>
      </w:r>
      <w:r w:rsidR="00F867B1">
        <w:t>removed</w:t>
      </w:r>
      <w:r w:rsidR="00F867B1" w:rsidRPr="005138BF">
        <w:t xml:space="preserve"> </w:t>
      </w:r>
      <w:r w:rsidRPr="005138BF">
        <w:t>from the course</w:t>
      </w:r>
      <w:r w:rsidR="00F867B1">
        <w:t xml:space="preserve"> (</w:t>
      </w:r>
      <w:r w:rsidR="00F60E4C">
        <w:t>that is,</w:t>
      </w:r>
      <w:r w:rsidR="00F867B1">
        <w:t xml:space="preserve"> all users have left the University)</w:t>
      </w:r>
      <w:r w:rsidRPr="005138BF">
        <w:t>.   This will happen once per year, during the summer months.</w:t>
      </w:r>
    </w:p>
    <w:p w14:paraId="5C149746" w14:textId="27753E15" w:rsidR="00101A6C" w:rsidRDefault="00C9057F" w:rsidP="00F60E4C">
      <w:pPr>
        <w:pStyle w:val="Heading1"/>
        <w:rPr>
          <w:rFonts w:eastAsia="Times New Roman"/>
        </w:rPr>
      </w:pPr>
      <w:r>
        <w:rPr>
          <w:rFonts w:eastAsia="Times New Roman"/>
        </w:rPr>
        <w:br/>
      </w:r>
      <w:r w:rsidR="005F611E">
        <w:rPr>
          <w:rFonts w:eastAsia="Times New Roman"/>
        </w:rPr>
        <w:t xml:space="preserve">Course </w:t>
      </w:r>
      <w:r w:rsidR="00FA0CE6">
        <w:rPr>
          <w:rFonts w:eastAsia="Times New Roman"/>
        </w:rPr>
        <w:t xml:space="preserve">storage </w:t>
      </w:r>
      <w:r w:rsidR="005F611E">
        <w:rPr>
          <w:rFonts w:eastAsia="Times New Roman"/>
        </w:rPr>
        <w:t>size</w:t>
      </w:r>
    </w:p>
    <w:p w14:paraId="1CFC436E" w14:textId="3815FD97" w:rsidR="005F611E" w:rsidRDefault="00081E38" w:rsidP="00F60E4C">
      <w:r>
        <w:rPr>
          <w:rStyle w:val="normaltextrun"/>
          <w:bdr w:val="none" w:sz="0" w:space="0" w:color="auto" w:frame="1"/>
        </w:rPr>
        <w:t>Videos must be stored in Media Hopper Create rather than Learn.</w:t>
      </w:r>
      <w:r w:rsidR="357FD145">
        <w:t xml:space="preserve">  The Virtual Learning Environment Service team will run Learn course storage size reports over the summer months each year and will notify and work with staff on courses which are very large to reduce the size of these courses.</w:t>
      </w:r>
    </w:p>
    <w:p w14:paraId="14B39520" w14:textId="25FAE26F" w:rsidR="000D362C" w:rsidRDefault="000D362C" w:rsidP="00F60E4C"/>
    <w:p w14:paraId="2FA6411E" w14:textId="2D8E2412" w:rsidR="001334EC" w:rsidRDefault="001334EC" w:rsidP="00C9057F">
      <w:r>
        <w:rPr>
          <w:rStyle w:val="normaltextrun"/>
          <w:rFonts w:ascii="Calibri Light" w:hAnsi="Calibri Light" w:cs="Calibri Light"/>
          <w:color w:val="2E74B5"/>
          <w:sz w:val="32"/>
          <w:szCs w:val="32"/>
          <w:shd w:val="clear" w:color="auto" w:fill="FFFFFF"/>
        </w:rPr>
        <w:t>Blackboard’s Backup Policy</w:t>
      </w:r>
      <w:r>
        <w:rPr>
          <w:rStyle w:val="eop"/>
          <w:rFonts w:ascii="Calibri Light" w:hAnsi="Calibri Light" w:cs="Calibri Light"/>
          <w:color w:val="2E74B5"/>
          <w:sz w:val="32"/>
          <w:szCs w:val="32"/>
        </w:rPr>
        <w:t> </w:t>
      </w:r>
      <w:r>
        <w:t>Blackboard take regular backups of Learn database and retention of these backups will be as per Blackboard’s backup policy which states:</w:t>
      </w:r>
    </w:p>
    <w:p w14:paraId="659D158F" w14:textId="759BF1F3" w:rsidR="746C7DCE" w:rsidRDefault="001334EC">
      <w:r>
        <w:t>‘</w:t>
      </w:r>
      <w:r w:rsidRPr="001334EC">
        <w:t>All customer and unique system data is backed up at least once a day to at least two discrete physical locations using highly durable storage. Backups are maintained for at least 30 days.</w:t>
      </w:r>
      <w:r>
        <w:t>’</w:t>
      </w:r>
    </w:p>
    <w:p w14:paraId="6284C28C" w14:textId="0136446F" w:rsidR="007015A2" w:rsidRDefault="0023466C" w:rsidP="00F60E4C">
      <w:r>
        <w:pict w14:anchorId="2EC7C9AD">
          <v:rect id="_x0000_i1025" style="width:0;height:1.5pt" o:hralign="center" o:hrstd="t" o:hr="t" fillcolor="#a0a0a0" stroked="f"/>
        </w:pict>
      </w:r>
    </w:p>
    <w:p w14:paraId="7D262ECD" w14:textId="306CC90F" w:rsidR="007015A2" w:rsidRDefault="007015A2" w:rsidP="00F60E4C">
      <w:r>
        <w:t xml:space="preserve">This policy was approved on </w:t>
      </w:r>
      <w:r w:rsidR="0023466C">
        <w:t>August 2019</w:t>
      </w:r>
      <w:r>
        <w:t xml:space="preserve"> by </w:t>
      </w:r>
      <w:r w:rsidR="0023466C">
        <w:t>The Learn to the Cloud Project Board</w:t>
      </w:r>
      <w:r>
        <w:t xml:space="preserve"> and</w:t>
      </w:r>
      <w:r w:rsidR="00E970C7">
        <w:t xml:space="preserve"> is effective from</w:t>
      </w:r>
      <w:r w:rsidR="0023466C">
        <w:t xml:space="preserve"> </w:t>
      </w:r>
      <w:bookmarkStart w:id="0" w:name="_GoBack"/>
      <w:bookmarkEnd w:id="0"/>
      <w:r w:rsidR="0023466C">
        <w:t>November 2019</w:t>
      </w:r>
      <w:r>
        <w:t xml:space="preserve">.  </w:t>
      </w:r>
    </w:p>
    <w:p w14:paraId="77B78AF7" w14:textId="21075B0F" w:rsidR="007015A2" w:rsidRDefault="004D7D56" w:rsidP="00F60E4C">
      <w:r>
        <w:t>The Learning, Teaching and Web Services section is responsible for maintenance and review of this policy.  T</w:t>
      </w:r>
      <w:r w:rsidR="007015A2">
        <w:t>he contact officer for the policy is Karen Howie, Technology Enhanced Learning Team Manager (</w:t>
      </w:r>
      <w:hyperlink r:id="rId15" w:history="1">
        <w:r w:rsidR="007015A2" w:rsidRPr="007E1B45">
          <w:rPr>
            <w:rStyle w:val="Hyperlink"/>
          </w:rPr>
          <w:t>Karen.Howie@ed.ac.uk</w:t>
        </w:r>
      </w:hyperlink>
      <w:r w:rsidR="007015A2">
        <w:t xml:space="preserve">).  </w:t>
      </w:r>
    </w:p>
    <w:p w14:paraId="21BFD039" w14:textId="1A20E6C6" w:rsidR="004D7D56" w:rsidRDefault="004D7D56" w:rsidP="00F60E4C">
      <w:r>
        <w:t>Amendments:</w:t>
      </w:r>
      <w:r w:rsidR="00222A65">
        <w:t xml:space="preserve">  (none)</w:t>
      </w:r>
    </w:p>
    <w:p w14:paraId="4D315A08" w14:textId="784C4A00" w:rsidR="007015A2" w:rsidRDefault="007015A2" w:rsidP="00F60E4C">
      <w:r>
        <w:t>Next review</w:t>
      </w:r>
      <w:r w:rsidR="00E970C7">
        <w:t xml:space="preserve"> due</w:t>
      </w:r>
      <w:r>
        <w:t xml:space="preserve">:  </w:t>
      </w:r>
      <w:r w:rsidR="00E970C7">
        <w:t>[Summer 2022]</w:t>
      </w:r>
    </w:p>
    <w:p w14:paraId="6496486B" w14:textId="1954D1CD" w:rsidR="007015A2" w:rsidRDefault="007015A2" w:rsidP="00F60E4C"/>
    <w:p w14:paraId="4A96BE66" w14:textId="7D21FE15" w:rsidR="007015A2" w:rsidRDefault="007015A2" w:rsidP="00F60E4C">
      <w:r>
        <w:t>If you require this document in an alternative format, please email [</w:t>
      </w:r>
      <w:hyperlink r:id="rId16" w:history="1">
        <w:r w:rsidR="0023466C">
          <w:rPr>
            <w:rStyle w:val="Hyperlink"/>
          </w:rPr>
          <w:t>Karen.Howie@ed.ac.uk</w:t>
        </w:r>
      </w:hyperlink>
      <w:r>
        <w:t>] or telephone [</w:t>
      </w:r>
      <w:r w:rsidR="0023466C">
        <w:t>0131 650 3139</w:t>
      </w:r>
      <w:r>
        <w:t>]</w:t>
      </w:r>
    </w:p>
    <w:p w14:paraId="3BD0F603" w14:textId="277BC05B" w:rsidR="007015A2" w:rsidRDefault="007015A2" w:rsidP="00F60E4C"/>
    <w:p w14:paraId="518F22BF" w14:textId="2279F73E" w:rsidR="007015A2" w:rsidRDefault="0023466C" w:rsidP="00F60E4C">
      <w:hyperlink r:id="rId17" w:history="1">
        <w:r w:rsidR="007015A2" w:rsidRPr="000D2BFE">
          <w:rPr>
            <w:rStyle w:val="Hyperlink"/>
          </w:rPr>
          <w:t>Equality Impact Assessment</w:t>
        </w:r>
      </w:hyperlink>
    </w:p>
    <w:p w14:paraId="704DAC6F" w14:textId="1C1D6BFC" w:rsidR="007015A2" w:rsidRDefault="007015A2" w:rsidP="00F60E4C"/>
    <w:p w14:paraId="6927814A" w14:textId="0D2C9D70" w:rsidR="00E970C7" w:rsidRDefault="00E970C7" w:rsidP="00F60E4C">
      <w:r>
        <w:t xml:space="preserve">Related policies, procedures, guidelines and regulations:  This policy has been developed in line with the </w:t>
      </w:r>
      <w:hyperlink r:id="rId18" w:history="1">
        <w:r w:rsidRPr="00CE175E">
          <w:rPr>
            <w:rStyle w:val="Hyperlink"/>
          </w:rPr>
          <w:t>University’s Account Expiry Policy</w:t>
        </w:r>
      </w:hyperlink>
      <w:r>
        <w:t xml:space="preserve"> and </w:t>
      </w:r>
      <w:hyperlink r:id="rId19" w:history="1">
        <w:r w:rsidRPr="00CE175E">
          <w:rPr>
            <w:rStyle w:val="Hyperlink"/>
          </w:rPr>
          <w:t>Student records retention schedule</w:t>
        </w:r>
      </w:hyperlink>
      <w:r>
        <w:t xml:space="preserve">.  </w:t>
      </w:r>
    </w:p>
    <w:p w14:paraId="568A5495" w14:textId="77777777" w:rsidR="00112757" w:rsidRDefault="00112757" w:rsidP="00F60E4C"/>
    <w:sectPr w:rsidR="00112757" w:rsidSect="001334E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CE2B6C" w14:textId="77777777" w:rsidR="004123A6" w:rsidRDefault="004123A6" w:rsidP="00F60E4C">
      <w:r>
        <w:separator/>
      </w:r>
    </w:p>
  </w:endnote>
  <w:endnote w:type="continuationSeparator" w:id="0">
    <w:p w14:paraId="04159AAB" w14:textId="77777777" w:rsidR="004123A6" w:rsidRDefault="004123A6" w:rsidP="00F6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57916" w14:textId="77777777" w:rsidR="004123A6" w:rsidRDefault="004123A6" w:rsidP="00F60E4C">
      <w:r>
        <w:separator/>
      </w:r>
    </w:p>
  </w:footnote>
  <w:footnote w:type="continuationSeparator" w:id="0">
    <w:p w14:paraId="3F165995" w14:textId="77777777" w:rsidR="004123A6" w:rsidRDefault="004123A6" w:rsidP="00F60E4C">
      <w:r>
        <w:continuationSeparator/>
      </w:r>
    </w:p>
  </w:footnote>
  <w:footnote w:id="1">
    <w:p w14:paraId="14A4052D" w14:textId="3F19C165" w:rsidR="00520451" w:rsidRDefault="00520451" w:rsidP="00F60E4C">
      <w:pPr>
        <w:pStyle w:val="FootnoteText"/>
      </w:pPr>
      <w:r>
        <w:rPr>
          <w:rStyle w:val="FootnoteReference"/>
        </w:rPr>
        <w:footnoteRef/>
      </w:r>
      <w:r>
        <w:t xml:space="preserve"> </w:t>
      </w:r>
      <w:hyperlink r:id="rId1" w:history="1">
        <w:r w:rsidRPr="00520451">
          <w:rPr>
            <w:rStyle w:val="Hyperlink"/>
          </w:rPr>
          <w:t>https://ico.org.uk/for-organisations/guide-to-the-general-data-protection-regulation-gdpr/individual-rights/right-to-erasure/</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B62DA"/>
    <w:multiLevelType w:val="hybridMultilevel"/>
    <w:tmpl w:val="35AA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A362AA"/>
    <w:multiLevelType w:val="multilevel"/>
    <w:tmpl w:val="DC425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D660A2"/>
    <w:multiLevelType w:val="hybridMultilevel"/>
    <w:tmpl w:val="0108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F6032"/>
    <w:multiLevelType w:val="multilevel"/>
    <w:tmpl w:val="77B4A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40841A1"/>
    <w:multiLevelType w:val="multilevel"/>
    <w:tmpl w:val="08CAA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5C00CC"/>
    <w:multiLevelType w:val="hybridMultilevel"/>
    <w:tmpl w:val="EC4476D6"/>
    <w:lvl w:ilvl="0" w:tplc="0FA0AF1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62C"/>
    <w:rsid w:val="000014AC"/>
    <w:rsid w:val="000014C7"/>
    <w:rsid w:val="00006639"/>
    <w:rsid w:val="00081E38"/>
    <w:rsid w:val="000D2BFE"/>
    <w:rsid w:val="000D362C"/>
    <w:rsid w:val="00101A6C"/>
    <w:rsid w:val="00112757"/>
    <w:rsid w:val="001334EC"/>
    <w:rsid w:val="001B53B3"/>
    <w:rsid w:val="002114AC"/>
    <w:rsid w:val="00222A65"/>
    <w:rsid w:val="0023466C"/>
    <w:rsid w:val="002F153D"/>
    <w:rsid w:val="003123B0"/>
    <w:rsid w:val="003F41BB"/>
    <w:rsid w:val="004008EC"/>
    <w:rsid w:val="004123A6"/>
    <w:rsid w:val="00493199"/>
    <w:rsid w:val="004D7D56"/>
    <w:rsid w:val="005138BF"/>
    <w:rsid w:val="00520451"/>
    <w:rsid w:val="00574C81"/>
    <w:rsid w:val="005F611E"/>
    <w:rsid w:val="00611FE0"/>
    <w:rsid w:val="00667182"/>
    <w:rsid w:val="00673241"/>
    <w:rsid w:val="00686186"/>
    <w:rsid w:val="007015A2"/>
    <w:rsid w:val="00753D6A"/>
    <w:rsid w:val="00810394"/>
    <w:rsid w:val="0083088C"/>
    <w:rsid w:val="00851291"/>
    <w:rsid w:val="009051C3"/>
    <w:rsid w:val="00A220E8"/>
    <w:rsid w:val="00B505B3"/>
    <w:rsid w:val="00BD6628"/>
    <w:rsid w:val="00C50D8D"/>
    <w:rsid w:val="00C727A2"/>
    <w:rsid w:val="00C9057F"/>
    <w:rsid w:val="00C92874"/>
    <w:rsid w:val="00CD186E"/>
    <w:rsid w:val="00CE175E"/>
    <w:rsid w:val="00DA1547"/>
    <w:rsid w:val="00DC0C55"/>
    <w:rsid w:val="00E706FB"/>
    <w:rsid w:val="00E837B5"/>
    <w:rsid w:val="00E96C41"/>
    <w:rsid w:val="00E970C7"/>
    <w:rsid w:val="00EB49BA"/>
    <w:rsid w:val="00EC5791"/>
    <w:rsid w:val="00EE05C8"/>
    <w:rsid w:val="00F15B18"/>
    <w:rsid w:val="00F23427"/>
    <w:rsid w:val="00F60E4C"/>
    <w:rsid w:val="00F867B1"/>
    <w:rsid w:val="00FA0CE6"/>
    <w:rsid w:val="357FD145"/>
    <w:rsid w:val="57F720BC"/>
    <w:rsid w:val="746C7D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72D3D34"/>
  <w15:chartTrackingRefBased/>
  <w15:docId w15:val="{99D8F8D3-247E-4B74-8BAC-6C440F9B6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E4C"/>
    <w:pPr>
      <w:shd w:val="clear" w:color="auto" w:fill="FFFFFF"/>
      <w:spacing w:before="150" w:after="0" w:line="240" w:lineRule="auto"/>
    </w:pPr>
    <w:rPr>
      <w:rFonts w:ascii="Segoe UI" w:eastAsia="Times New Roman" w:hAnsi="Segoe UI" w:cs="Segoe UI"/>
      <w:color w:val="172B4D"/>
      <w:sz w:val="21"/>
      <w:szCs w:val="21"/>
      <w:lang w:eastAsia="en-GB"/>
    </w:rPr>
  </w:style>
  <w:style w:type="paragraph" w:styleId="Heading1">
    <w:name w:val="heading 1"/>
    <w:basedOn w:val="Normal"/>
    <w:next w:val="Normal"/>
    <w:link w:val="Heading1Char"/>
    <w:uiPriority w:val="9"/>
    <w:qFormat/>
    <w:rsid w:val="003F41B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3"/>
    <w:next w:val="Normal"/>
    <w:link w:val="Heading2Char"/>
    <w:uiPriority w:val="9"/>
    <w:qFormat/>
    <w:rsid w:val="00F60E4C"/>
    <w:pPr>
      <w:spacing w:before="100" w:beforeAutospacing="1"/>
      <w:outlineLvl w:val="1"/>
    </w:pPr>
    <w:rPr>
      <w:rFonts w:eastAsia="Times New Roman" w:cs="Times New Roman"/>
      <w:bCs/>
      <w:sz w:val="28"/>
      <w:szCs w:val="36"/>
    </w:rPr>
  </w:style>
  <w:style w:type="paragraph" w:styleId="Heading3">
    <w:name w:val="heading 3"/>
    <w:basedOn w:val="Normal"/>
    <w:next w:val="Normal"/>
    <w:link w:val="Heading3Char"/>
    <w:uiPriority w:val="9"/>
    <w:unhideWhenUsed/>
    <w:qFormat/>
    <w:rsid w:val="00F60E4C"/>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E4C"/>
    <w:rPr>
      <w:rFonts w:asciiTheme="majorHAnsi" w:eastAsia="Times New Roman" w:hAnsiTheme="majorHAnsi" w:cs="Times New Roman"/>
      <w:bCs/>
      <w:color w:val="1F4D78" w:themeColor="accent1" w:themeShade="7F"/>
      <w:sz w:val="28"/>
      <w:szCs w:val="36"/>
      <w:shd w:val="clear" w:color="auto" w:fill="FFFFFF"/>
      <w:lang w:eastAsia="en-GB"/>
    </w:rPr>
  </w:style>
  <w:style w:type="paragraph" w:styleId="NormalWeb">
    <w:name w:val="Normal (Web)"/>
    <w:basedOn w:val="Normal"/>
    <w:uiPriority w:val="99"/>
    <w:semiHidden/>
    <w:unhideWhenUsed/>
    <w:rsid w:val="000D362C"/>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CE175E"/>
    <w:rPr>
      <w:color w:val="0563C1" w:themeColor="hyperlink"/>
      <w:u w:val="single"/>
    </w:rPr>
  </w:style>
  <w:style w:type="paragraph" w:styleId="ListParagraph">
    <w:name w:val="List Paragraph"/>
    <w:basedOn w:val="Normal"/>
    <w:uiPriority w:val="34"/>
    <w:qFormat/>
    <w:rsid w:val="003F41BB"/>
    <w:pPr>
      <w:ind w:left="720"/>
      <w:contextualSpacing/>
    </w:pPr>
  </w:style>
  <w:style w:type="character" w:customStyle="1" w:styleId="Heading1Char">
    <w:name w:val="Heading 1 Char"/>
    <w:basedOn w:val="DefaultParagraphFont"/>
    <w:link w:val="Heading1"/>
    <w:uiPriority w:val="9"/>
    <w:rsid w:val="003F41BB"/>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83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E837B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F60E4C"/>
    <w:rPr>
      <w:rFonts w:asciiTheme="majorHAnsi" w:eastAsiaTheme="majorEastAsia" w:hAnsiTheme="majorHAnsi" w:cstheme="majorBidi"/>
      <w:color w:val="1F4D78" w:themeColor="accent1" w:themeShade="7F"/>
      <w:sz w:val="24"/>
      <w:szCs w:val="24"/>
      <w:shd w:val="clear" w:color="auto" w:fill="FFFFFF"/>
      <w:lang w:eastAsia="en-GB"/>
    </w:rPr>
  </w:style>
  <w:style w:type="paragraph" w:styleId="Header">
    <w:name w:val="header"/>
    <w:basedOn w:val="Normal"/>
    <w:link w:val="HeaderChar"/>
    <w:uiPriority w:val="99"/>
    <w:unhideWhenUsed/>
    <w:rsid w:val="00F23427"/>
    <w:pPr>
      <w:tabs>
        <w:tab w:val="center" w:pos="4513"/>
        <w:tab w:val="right" w:pos="9026"/>
      </w:tabs>
    </w:pPr>
  </w:style>
  <w:style w:type="character" w:customStyle="1" w:styleId="HeaderChar">
    <w:name w:val="Header Char"/>
    <w:basedOn w:val="DefaultParagraphFont"/>
    <w:link w:val="Header"/>
    <w:uiPriority w:val="99"/>
    <w:rsid w:val="00F23427"/>
  </w:style>
  <w:style w:type="paragraph" w:styleId="Footer">
    <w:name w:val="footer"/>
    <w:basedOn w:val="Normal"/>
    <w:link w:val="FooterChar"/>
    <w:uiPriority w:val="99"/>
    <w:unhideWhenUsed/>
    <w:rsid w:val="00F23427"/>
    <w:pPr>
      <w:tabs>
        <w:tab w:val="center" w:pos="4513"/>
        <w:tab w:val="right" w:pos="9026"/>
      </w:tabs>
    </w:pPr>
  </w:style>
  <w:style w:type="character" w:customStyle="1" w:styleId="FooterChar">
    <w:name w:val="Footer Char"/>
    <w:basedOn w:val="DefaultParagraphFont"/>
    <w:link w:val="Footer"/>
    <w:uiPriority w:val="99"/>
    <w:rsid w:val="00F23427"/>
  </w:style>
  <w:style w:type="paragraph" w:styleId="Title">
    <w:name w:val="Title"/>
    <w:basedOn w:val="Normal"/>
    <w:next w:val="Normal"/>
    <w:link w:val="TitleChar"/>
    <w:uiPriority w:val="10"/>
    <w:qFormat/>
    <w:rsid w:val="00F234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23427"/>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F23427"/>
    <w:rPr>
      <w:sz w:val="16"/>
      <w:szCs w:val="16"/>
    </w:rPr>
  </w:style>
  <w:style w:type="paragraph" w:styleId="CommentText">
    <w:name w:val="annotation text"/>
    <w:basedOn w:val="Normal"/>
    <w:link w:val="CommentTextChar"/>
    <w:uiPriority w:val="99"/>
    <w:unhideWhenUsed/>
    <w:rsid w:val="00F23427"/>
    <w:rPr>
      <w:sz w:val="20"/>
      <w:szCs w:val="20"/>
    </w:rPr>
  </w:style>
  <w:style w:type="character" w:customStyle="1" w:styleId="CommentTextChar">
    <w:name w:val="Comment Text Char"/>
    <w:basedOn w:val="DefaultParagraphFont"/>
    <w:link w:val="CommentText"/>
    <w:uiPriority w:val="99"/>
    <w:rsid w:val="00F23427"/>
    <w:rPr>
      <w:sz w:val="20"/>
      <w:szCs w:val="20"/>
    </w:rPr>
  </w:style>
  <w:style w:type="paragraph" w:styleId="CommentSubject">
    <w:name w:val="annotation subject"/>
    <w:basedOn w:val="CommentText"/>
    <w:next w:val="CommentText"/>
    <w:link w:val="CommentSubjectChar"/>
    <w:uiPriority w:val="99"/>
    <w:semiHidden/>
    <w:unhideWhenUsed/>
    <w:rsid w:val="00F23427"/>
    <w:rPr>
      <w:b/>
      <w:bCs/>
    </w:rPr>
  </w:style>
  <w:style w:type="character" w:customStyle="1" w:styleId="CommentSubjectChar">
    <w:name w:val="Comment Subject Char"/>
    <w:basedOn w:val="CommentTextChar"/>
    <w:link w:val="CommentSubject"/>
    <w:uiPriority w:val="99"/>
    <w:semiHidden/>
    <w:rsid w:val="00F23427"/>
    <w:rPr>
      <w:b/>
      <w:bCs/>
      <w:sz w:val="20"/>
      <w:szCs w:val="20"/>
    </w:rPr>
  </w:style>
  <w:style w:type="paragraph" w:styleId="BalloonText">
    <w:name w:val="Balloon Text"/>
    <w:basedOn w:val="Normal"/>
    <w:link w:val="BalloonTextChar"/>
    <w:uiPriority w:val="99"/>
    <w:semiHidden/>
    <w:unhideWhenUsed/>
    <w:rsid w:val="00F23427"/>
    <w:rPr>
      <w:sz w:val="18"/>
      <w:szCs w:val="18"/>
    </w:rPr>
  </w:style>
  <w:style w:type="character" w:customStyle="1" w:styleId="BalloonTextChar">
    <w:name w:val="Balloon Text Char"/>
    <w:basedOn w:val="DefaultParagraphFont"/>
    <w:link w:val="BalloonText"/>
    <w:uiPriority w:val="99"/>
    <w:semiHidden/>
    <w:rsid w:val="00F23427"/>
    <w:rPr>
      <w:rFonts w:ascii="Segoe UI" w:hAnsi="Segoe UI" w:cs="Segoe UI"/>
      <w:sz w:val="18"/>
      <w:szCs w:val="18"/>
    </w:rPr>
  </w:style>
  <w:style w:type="paragraph" w:styleId="FootnoteText">
    <w:name w:val="footnote text"/>
    <w:basedOn w:val="Normal"/>
    <w:link w:val="FootnoteTextChar"/>
    <w:uiPriority w:val="99"/>
    <w:unhideWhenUsed/>
    <w:rsid w:val="00112757"/>
    <w:rPr>
      <w:sz w:val="20"/>
      <w:szCs w:val="20"/>
    </w:rPr>
  </w:style>
  <w:style w:type="character" w:customStyle="1" w:styleId="FootnoteTextChar">
    <w:name w:val="Footnote Text Char"/>
    <w:basedOn w:val="DefaultParagraphFont"/>
    <w:link w:val="FootnoteText"/>
    <w:uiPriority w:val="99"/>
    <w:rsid w:val="00112757"/>
    <w:rPr>
      <w:sz w:val="20"/>
      <w:szCs w:val="20"/>
    </w:rPr>
  </w:style>
  <w:style w:type="character" w:styleId="FootnoteReference">
    <w:name w:val="footnote reference"/>
    <w:basedOn w:val="DefaultParagraphFont"/>
    <w:uiPriority w:val="99"/>
    <w:semiHidden/>
    <w:unhideWhenUsed/>
    <w:rsid w:val="00112757"/>
    <w:rPr>
      <w:vertAlign w:val="superscript"/>
    </w:rPr>
  </w:style>
  <w:style w:type="paragraph" w:styleId="Revision">
    <w:name w:val="Revision"/>
    <w:hidden/>
    <w:uiPriority w:val="99"/>
    <w:semiHidden/>
    <w:rsid w:val="00FA0CE6"/>
    <w:pPr>
      <w:spacing w:after="0" w:line="240" w:lineRule="auto"/>
    </w:pPr>
  </w:style>
  <w:style w:type="character" w:styleId="Strong">
    <w:name w:val="Strong"/>
    <w:basedOn w:val="DefaultParagraphFont"/>
    <w:uiPriority w:val="22"/>
    <w:qFormat/>
    <w:rsid w:val="00F60E4C"/>
    <w:rPr>
      <w:b/>
      <w:bCs/>
    </w:rPr>
  </w:style>
  <w:style w:type="character" w:customStyle="1" w:styleId="normaltextrun">
    <w:name w:val="normaltextrun"/>
    <w:basedOn w:val="DefaultParagraphFont"/>
    <w:rsid w:val="00081E38"/>
  </w:style>
  <w:style w:type="character" w:customStyle="1" w:styleId="eop">
    <w:name w:val="eop"/>
    <w:basedOn w:val="DefaultParagraphFont"/>
    <w:rsid w:val="001334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994620">
      <w:bodyDiv w:val="1"/>
      <w:marLeft w:val="0"/>
      <w:marRight w:val="0"/>
      <w:marTop w:val="0"/>
      <w:marBottom w:val="0"/>
      <w:divBdr>
        <w:top w:val="none" w:sz="0" w:space="0" w:color="auto"/>
        <w:left w:val="none" w:sz="0" w:space="0" w:color="auto"/>
        <w:bottom w:val="none" w:sz="0" w:space="0" w:color="auto"/>
        <w:right w:val="none" w:sz="0" w:space="0" w:color="auto"/>
      </w:divBdr>
    </w:div>
    <w:div w:id="1932203777">
      <w:bodyDiv w:val="1"/>
      <w:marLeft w:val="0"/>
      <w:marRight w:val="0"/>
      <w:marTop w:val="0"/>
      <w:marBottom w:val="0"/>
      <w:divBdr>
        <w:top w:val="none" w:sz="0" w:space="0" w:color="auto"/>
        <w:left w:val="none" w:sz="0" w:space="0" w:color="auto"/>
        <w:bottom w:val="none" w:sz="0" w:space="0" w:color="auto"/>
        <w:right w:val="none" w:sz="0" w:space="0" w:color="auto"/>
      </w:divBdr>
      <w:divsChild>
        <w:div w:id="126240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ac.uk/information-services/about/policies-and-regulations/operational-policies/account-expiry" TargetMode="External"/><Relationship Id="rId18" Type="http://schemas.openxmlformats.org/officeDocument/2006/relationships/hyperlink" Target="https://www.ed.ac.uk/information-services/about/policies-and-regulations/operational-policies/account-expiry"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d.ac.uk/records-management/guidance/records/retention/student-records" TargetMode="External"/><Relationship Id="rId17" Type="http://schemas.openxmlformats.org/officeDocument/2006/relationships/hyperlink" Target="http://www.docs.csg.ed.ac.uk/EqualityDiversity/EIA/IS-Blackboard_Learn_Virtual_Learning_Environment.pdf" TargetMode="External"/><Relationship Id="rId2" Type="http://schemas.openxmlformats.org/officeDocument/2006/relationships/customXml" Target="../customXml/item2.xml"/><Relationship Id="rId16" Type="http://schemas.openxmlformats.org/officeDocument/2006/relationships/hyperlink" Target="mailto:Viki.Galt@ed.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ac.uk/information-services/about/policies-and-regulations/operational-policies/account-expiry" TargetMode="External"/><Relationship Id="rId5" Type="http://schemas.openxmlformats.org/officeDocument/2006/relationships/numbering" Target="numbering.xml"/><Relationship Id="rId15" Type="http://schemas.openxmlformats.org/officeDocument/2006/relationships/hyperlink" Target="mailto:Karen.Howie@ed.ac.uk" TargetMode="External"/><Relationship Id="rId10" Type="http://schemas.openxmlformats.org/officeDocument/2006/relationships/endnotes" Target="endnotes.xml"/><Relationship Id="rId19" Type="http://schemas.openxmlformats.org/officeDocument/2006/relationships/hyperlink" Target="https://www.ed.ac.uk/records-management/guidance/records/retention/student-record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ac.uk/records-management/guidance/records/retention/student-record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ico.org.uk/for-organisations/guide-to-the-general-data-protection-regulation-gdpr/individual-rights/right-to-era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E0177C9BAB346B8B842257BCC280A" ma:contentTypeVersion="8" ma:contentTypeDescription="Create a new document." ma:contentTypeScope="" ma:versionID="c6e29f77a58a7c3eec5e1fca9970ecc7">
  <xsd:schema xmlns:xsd="http://www.w3.org/2001/XMLSchema" xmlns:xs="http://www.w3.org/2001/XMLSchema" xmlns:p="http://schemas.microsoft.com/office/2006/metadata/properties" xmlns:ns2="bf99020b-76bc-48aa-90fb-f58cc6fade4f" xmlns:ns3="2913fae1-bde7-4103-9311-30ac880099a2" targetNamespace="http://schemas.microsoft.com/office/2006/metadata/properties" ma:root="true" ma:fieldsID="f701b75fe2ab7542b6795a325bfde33c" ns2:_="" ns3:_="">
    <xsd:import namespace="bf99020b-76bc-48aa-90fb-f58cc6fade4f"/>
    <xsd:import namespace="2913fae1-bde7-4103-9311-30ac880099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99020b-76bc-48aa-90fb-f58cc6fade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13fae1-bde7-4103-9311-30ac88009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EA0ED-F61A-4026-8F89-568CF03C39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99020b-76bc-48aa-90fb-f58cc6fade4f"/>
    <ds:schemaRef ds:uri="2913fae1-bde7-4103-9311-30ac88009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188839-2D55-4BBF-B013-499E2411D0E8}">
  <ds:schemaRefs>
    <ds:schemaRef ds:uri="http://schemas.microsoft.com/sharepoint/v3/contenttype/forms"/>
  </ds:schemaRefs>
</ds:datastoreItem>
</file>

<file path=customXml/itemProps3.xml><?xml version="1.0" encoding="utf-8"?>
<ds:datastoreItem xmlns:ds="http://schemas.openxmlformats.org/officeDocument/2006/customXml" ds:itemID="{1FB88BD4-2AA5-4B79-9176-F74A2BD9F22F}">
  <ds:schemaRefs>
    <ds:schemaRef ds:uri="http://schemas.microsoft.com/office/infopath/2007/PartnerControls"/>
    <ds:schemaRef ds:uri="http://purl.org/dc/elements/1.1/"/>
    <ds:schemaRef ds:uri="http://schemas.microsoft.com/office/2006/metadata/properties"/>
    <ds:schemaRef ds:uri="bf99020b-76bc-48aa-90fb-f58cc6fade4f"/>
    <ds:schemaRef ds:uri="http://purl.org/dc/terms/"/>
    <ds:schemaRef ds:uri="http://schemas.microsoft.com/office/2006/documentManagement/types"/>
    <ds:schemaRef ds:uri="http://purl.org/dc/dcmitype/"/>
    <ds:schemaRef ds:uri="http://schemas.openxmlformats.org/package/2006/metadata/core-properties"/>
    <ds:schemaRef ds:uri="2913fae1-bde7-4103-9311-30ac880099a2"/>
    <ds:schemaRef ds:uri="http://www.w3.org/XML/1998/namespace"/>
  </ds:schemaRefs>
</ds:datastoreItem>
</file>

<file path=customXml/itemProps4.xml><?xml version="1.0" encoding="utf-8"?>
<ds:datastoreItem xmlns:ds="http://schemas.openxmlformats.org/officeDocument/2006/customXml" ds:itemID="{F953A365-45DF-4F55-8F58-C4DF1C0A8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1073</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HOWIE Karen</dc:creator>
  <cp:keywords/>
  <dc:description/>
  <cp:lastModifiedBy>HOWIE Karen</cp:lastModifiedBy>
  <cp:revision>3</cp:revision>
  <dcterms:created xsi:type="dcterms:W3CDTF">2019-10-23T15:54:00Z</dcterms:created>
  <dcterms:modified xsi:type="dcterms:W3CDTF">2019-11-28T15:03:00Z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0x010100AF4E0177C9BAB346B8B842257BCC280A</vt:lpwstr>
  </property>
</Properties>
</file>