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2EE3C" w14:textId="52081E6C" w:rsidR="00695565" w:rsidRDefault="00695565" w:rsidP="00695565">
      <w:pPr>
        <w:spacing w:line="480" w:lineRule="auto"/>
        <w:jc w:val="center"/>
        <w:rPr>
          <w:rFonts w:ascii="Arial" w:hAnsi="Arial" w:cs="Arial"/>
          <w:b/>
        </w:rPr>
      </w:pPr>
      <w:r w:rsidRPr="003A7721">
        <w:rPr>
          <w:rFonts w:ascii="Arial" w:hAnsi="Arial" w:cs="Arial"/>
          <w:b/>
        </w:rPr>
        <w:t>PERICORONARY ADIPOSE TISSUE ATTENUATION, LOW ATTENUATION PLAQUE BURDEN AND 5-YEAR RISK OF MYOCARDIAL INFARCTION</w:t>
      </w:r>
    </w:p>
    <w:p w14:paraId="1C83FC72" w14:textId="77777777" w:rsidR="003A7721" w:rsidRPr="003A7721" w:rsidRDefault="003A7721" w:rsidP="00695565">
      <w:pPr>
        <w:spacing w:line="480" w:lineRule="auto"/>
        <w:jc w:val="center"/>
        <w:rPr>
          <w:rFonts w:ascii="Arial" w:hAnsi="Arial" w:cs="Arial"/>
          <w:b/>
        </w:rPr>
      </w:pPr>
    </w:p>
    <w:p w14:paraId="66F5C0AF" w14:textId="4A2A8E18" w:rsidR="00695565" w:rsidRPr="003A7721" w:rsidRDefault="00695565" w:rsidP="00695565">
      <w:pPr>
        <w:spacing w:line="480" w:lineRule="auto"/>
        <w:rPr>
          <w:rFonts w:ascii="Arial" w:hAnsi="Arial" w:cs="Arial"/>
        </w:rPr>
      </w:pPr>
      <w:r w:rsidRPr="003A7721">
        <w:rPr>
          <w:rFonts w:ascii="Arial" w:hAnsi="Arial" w:cs="Arial"/>
        </w:rPr>
        <w:t>Introduction</w:t>
      </w:r>
    </w:p>
    <w:p w14:paraId="7CEDD762" w14:textId="0EE6D335" w:rsidR="00695565" w:rsidRPr="003A7721" w:rsidRDefault="007E2E6D" w:rsidP="00695565">
      <w:pPr>
        <w:spacing w:line="480" w:lineRule="auto"/>
        <w:rPr>
          <w:rFonts w:ascii="Arial" w:hAnsi="Arial" w:cs="Arial"/>
        </w:rPr>
      </w:pPr>
      <w:r>
        <w:rPr>
          <w:rFonts w:ascii="Arial" w:hAnsi="Arial" w:cs="Arial"/>
        </w:rPr>
        <w:t>P</w:t>
      </w:r>
      <w:r w:rsidRPr="00A4094E">
        <w:rPr>
          <w:rFonts w:ascii="Arial" w:hAnsi="Arial" w:cs="Arial"/>
        </w:rPr>
        <w:t>ericoronary adipose tissue (PCAT) attenuation has emerged as a surrogate marker of pericoronary inflammation</w:t>
      </w:r>
      <w:r w:rsidRPr="007E2E6D">
        <w:rPr>
          <w:rFonts w:ascii="Arial" w:hAnsi="Arial" w:cs="Arial"/>
          <w:lang w:val="en-GB"/>
        </w:rPr>
        <w:t xml:space="preserve">. </w:t>
      </w:r>
      <w:r w:rsidR="00695565" w:rsidRPr="003A7721">
        <w:rPr>
          <w:rFonts w:ascii="Arial" w:hAnsi="Arial" w:cs="Arial"/>
        </w:rPr>
        <w:t>To date, no studies have compared the impact of pericoronary adipose tissue</w:t>
      </w:r>
      <w:r w:rsidR="00695565" w:rsidRPr="003A7721">
        <w:rPr>
          <w:rFonts w:ascii="Arial" w:hAnsi="Arial" w:cs="Arial"/>
        </w:rPr>
        <w:t xml:space="preserve"> </w:t>
      </w:r>
      <w:r w:rsidR="00695565" w:rsidRPr="003A7721">
        <w:rPr>
          <w:rFonts w:ascii="Arial" w:hAnsi="Arial" w:cs="Arial"/>
        </w:rPr>
        <w:t xml:space="preserve">(PCAT) attenuation and quantitative plaque burden on cardiac outcomes. We aimed to establish the relative merits of these approaches to risk prediction and </w:t>
      </w:r>
      <w:proofErr w:type="spellStart"/>
      <w:r w:rsidR="00695565" w:rsidRPr="003A7721">
        <w:rPr>
          <w:rFonts w:ascii="Arial" w:hAnsi="Arial" w:cs="Arial"/>
        </w:rPr>
        <w:t>hypothesised</w:t>
      </w:r>
      <w:proofErr w:type="spellEnd"/>
      <w:r w:rsidR="00695565" w:rsidRPr="003A7721">
        <w:rPr>
          <w:rFonts w:ascii="Arial" w:hAnsi="Arial" w:cs="Arial"/>
        </w:rPr>
        <w:t xml:space="preserve"> that the combination of PCAT attenuation and quantitative plaque burden measures could provide additive and improved prediction of myocardial infarction in patients with stable chest pain. </w:t>
      </w:r>
    </w:p>
    <w:p w14:paraId="4B6CB453" w14:textId="77777777" w:rsidR="00695565" w:rsidRPr="003A7721" w:rsidRDefault="00695565" w:rsidP="00695565">
      <w:pPr>
        <w:spacing w:line="480" w:lineRule="auto"/>
        <w:rPr>
          <w:rFonts w:ascii="Arial" w:hAnsi="Arial" w:cs="Arial"/>
        </w:rPr>
      </w:pPr>
    </w:p>
    <w:p w14:paraId="244EB962" w14:textId="77777777" w:rsidR="00695565" w:rsidRPr="003A7721" w:rsidRDefault="00695565" w:rsidP="00695565">
      <w:pPr>
        <w:spacing w:line="480" w:lineRule="auto"/>
        <w:rPr>
          <w:rFonts w:ascii="Arial" w:hAnsi="Arial" w:cs="Arial"/>
        </w:rPr>
      </w:pPr>
      <w:r w:rsidRPr="003A7721">
        <w:rPr>
          <w:rFonts w:ascii="Arial" w:hAnsi="Arial" w:cs="Arial"/>
        </w:rPr>
        <w:t>METHODS</w:t>
      </w:r>
    </w:p>
    <w:p w14:paraId="7B2AA749" w14:textId="77777777" w:rsidR="00695565" w:rsidRPr="003A7721" w:rsidRDefault="00695565" w:rsidP="00695565">
      <w:pPr>
        <w:spacing w:line="480" w:lineRule="auto"/>
        <w:rPr>
          <w:rFonts w:ascii="Arial" w:hAnsi="Arial" w:cs="Arial"/>
        </w:rPr>
      </w:pPr>
      <w:r w:rsidRPr="003A7721">
        <w:rPr>
          <w:rFonts w:ascii="Arial" w:hAnsi="Arial" w:cs="Arial"/>
        </w:rPr>
        <w:t xml:space="preserve">In a post-hoc analysis of a randomized controlled trial, we investigated the association between the future risk of fatal or non-fatal myocardial infarction and PCAT attenuation measured from CT coronary angiography using multivariable Cox regression models including plaque burden, obstructive coronary disease and cardiac risk score (incorporating age, sex, diabetes, smoking, hypertension, </w:t>
      </w:r>
      <w:proofErr w:type="spellStart"/>
      <w:r w:rsidRPr="003A7721">
        <w:rPr>
          <w:rFonts w:ascii="Arial" w:hAnsi="Arial" w:cs="Arial"/>
        </w:rPr>
        <w:t>hyperlipidaemia</w:t>
      </w:r>
      <w:proofErr w:type="spellEnd"/>
      <w:r w:rsidRPr="003A7721">
        <w:rPr>
          <w:rFonts w:ascii="Arial" w:hAnsi="Arial" w:cs="Arial"/>
        </w:rPr>
        <w:t xml:space="preserve"> and family history of cardiovascular disease).</w:t>
      </w:r>
    </w:p>
    <w:p w14:paraId="2E608EB0" w14:textId="77777777" w:rsidR="00695565" w:rsidRPr="003A7721" w:rsidRDefault="00695565" w:rsidP="00695565">
      <w:pPr>
        <w:spacing w:line="480" w:lineRule="auto"/>
        <w:rPr>
          <w:rFonts w:ascii="Arial" w:hAnsi="Arial" w:cs="Arial"/>
        </w:rPr>
      </w:pPr>
    </w:p>
    <w:p w14:paraId="494EB075" w14:textId="77777777" w:rsidR="00695565" w:rsidRPr="003A7721" w:rsidRDefault="00695565" w:rsidP="00695565">
      <w:pPr>
        <w:spacing w:line="480" w:lineRule="auto"/>
        <w:rPr>
          <w:rFonts w:ascii="Arial" w:hAnsi="Arial" w:cs="Arial"/>
        </w:rPr>
      </w:pPr>
      <w:r w:rsidRPr="003A7721">
        <w:rPr>
          <w:rFonts w:ascii="Arial" w:hAnsi="Arial" w:cs="Arial"/>
        </w:rPr>
        <w:t>Results</w:t>
      </w:r>
    </w:p>
    <w:p w14:paraId="6AD44D05" w14:textId="77777777" w:rsidR="00695565" w:rsidRPr="003A7721" w:rsidRDefault="00695565" w:rsidP="00695565">
      <w:pPr>
        <w:spacing w:line="480" w:lineRule="auto"/>
        <w:rPr>
          <w:rFonts w:ascii="Arial" w:hAnsi="Arial" w:cs="Arial"/>
        </w:rPr>
      </w:pPr>
      <w:r w:rsidRPr="003A7721">
        <w:rPr>
          <w:rFonts w:ascii="Arial" w:hAnsi="Arial" w:cs="Arial"/>
        </w:rPr>
        <w:t xml:space="preserve">In 1697 evaluable participants (mean age 58±10 years), there were 37 myocardial infarctions after a median follow-up of 4.7 [interquartile interval, 4.0-5.7] years. Median low-attenuation plaque burden was 4.20[0-6.86] % and mean PCAT -76±8 Hounsfield units (HU). PCAT-RCA attenuation was higher in patients who suffered a </w:t>
      </w:r>
      <w:r w:rsidRPr="003A7721">
        <w:rPr>
          <w:rFonts w:ascii="Arial" w:hAnsi="Arial" w:cs="Arial"/>
        </w:rPr>
        <w:lastRenderedPageBreak/>
        <w:t>myocardial infarction (-72.5±8.3 HU versus -76.5± 7.8 HU, p=0.0063), but there was no difference in PCAT-LAD (-76.3±8.6 HU vs -77.0±7.8 HU, p=0.54) or PCAT-</w:t>
      </w:r>
      <w:proofErr w:type="gramStart"/>
      <w:r w:rsidRPr="003A7721">
        <w:rPr>
          <w:rFonts w:ascii="Arial" w:hAnsi="Arial" w:cs="Arial"/>
        </w:rPr>
        <w:t>LCx(</w:t>
      </w:r>
      <w:proofErr w:type="gramEnd"/>
      <w:r w:rsidRPr="003A7721">
        <w:rPr>
          <w:rFonts w:ascii="Arial" w:hAnsi="Arial" w:cs="Arial"/>
        </w:rPr>
        <w:t xml:space="preserve">-71.6±7.3 HU vs -73.3±7.7 HU, p=0.33). Patients sustaining a myocardial infarction also had higher total, non-calcified, low-attenuation and calcified plaque burden, higher Agatston calcium score, higher cardiovascular risk score and increased presence of obstructive disease on CCTA (Table 1). </w:t>
      </w:r>
    </w:p>
    <w:p w14:paraId="6D9BB4D2" w14:textId="77777777" w:rsidR="00695565" w:rsidRPr="003A7721" w:rsidRDefault="00695565" w:rsidP="00695565">
      <w:pPr>
        <w:spacing w:line="480" w:lineRule="auto"/>
        <w:rPr>
          <w:rFonts w:ascii="Arial" w:hAnsi="Arial" w:cs="Arial"/>
        </w:rPr>
      </w:pPr>
    </w:p>
    <w:p w14:paraId="0974CDCF" w14:textId="77777777" w:rsidR="00695565" w:rsidRPr="003A7721" w:rsidRDefault="00695565" w:rsidP="00695565">
      <w:pPr>
        <w:spacing w:line="480" w:lineRule="auto"/>
        <w:rPr>
          <w:rFonts w:ascii="Arial" w:hAnsi="Arial" w:cs="Arial"/>
        </w:rPr>
      </w:pPr>
      <w:r w:rsidRPr="003A7721">
        <w:rPr>
          <w:rFonts w:ascii="Arial" w:hAnsi="Arial" w:cs="Arial"/>
        </w:rPr>
        <w:t xml:space="preserve">On univariable analysis, PCAT-RCA attenuation was a predictor of myocardial infarction (HR 1.55, 95% CI 1.08 to 2.22, p=0.017), but PCAT-LAD or PCAT-LCx were not. Univariable analysis also identified the burden of non-calcified, low-attenuation and calcified plaque as well as Agatston coronary calcium score, presence of obstructive coronary artery disease and cardiovascular risk score were predictors of myocardial infarction (Table 2). Male sex, age and body-mass index were not predictors of future myocardial infarction (p=0.06, p=0.86 and 0.26 respectively). In multivariable analysis, only the low-attenuation plaque burden (HR 1.80, 95% CI 1.16 to 2.81, p=0.011, per doubling) and PCAT-RCA (HR 1.47 95%1.02 to 2.13, p=0.040, per standard deviation increment) remained predictors of myocardial infarction (Table 2). </w:t>
      </w:r>
    </w:p>
    <w:p w14:paraId="610838DE" w14:textId="77777777" w:rsidR="00695565" w:rsidRPr="003A7721" w:rsidRDefault="00695565" w:rsidP="00695565">
      <w:pPr>
        <w:spacing w:line="480" w:lineRule="auto"/>
        <w:rPr>
          <w:rFonts w:ascii="Arial" w:hAnsi="Arial" w:cs="Arial"/>
        </w:rPr>
      </w:pPr>
    </w:p>
    <w:p w14:paraId="137A7F1B" w14:textId="188DB7E5" w:rsidR="00695565" w:rsidRPr="003A7721" w:rsidRDefault="00695565" w:rsidP="00695565">
      <w:pPr>
        <w:spacing w:line="480" w:lineRule="auto"/>
        <w:rPr>
          <w:rFonts w:ascii="Arial" w:hAnsi="Arial" w:cs="Arial"/>
        </w:rPr>
      </w:pPr>
      <w:r w:rsidRPr="003A7721">
        <w:rPr>
          <w:rFonts w:ascii="Arial" w:hAnsi="Arial" w:cs="Arial"/>
        </w:rPr>
        <w:t xml:space="preserve">Based on the Youden’s index of the ROC curves, the optimal cut-off of the right coronary artery PCAT attenuation was –70.5 HU for the primary endpoint of fatal or non-fatal myocardial infarction. Patients with PCAT-RCA above ≥–70.5 HU were nearly 2.5 times more likely to suffer a myocardial infarction (HR 2.45, 95% CI 1.23 to 4.80; p=0.001). Patients with low-attenuation plaque burden (greater than 4%) were nearly 5 times more likely to suffer a myocardial infarction (HR 4.87, 95% CI </w:t>
      </w:r>
      <w:r w:rsidRPr="003A7721">
        <w:rPr>
          <w:rFonts w:ascii="Arial" w:hAnsi="Arial" w:cs="Arial"/>
        </w:rPr>
        <w:lastRenderedPageBreak/>
        <w:t>2.03 to 11.78, p&lt;0.0001). When the two metrics were combined, patients with both low-attenuation plaque burden &gt;4% and PCAT-RCA ≥-70.5 HU were at the greatest risk of myocardial infarction (HR 11.7, 95% CI 3.3 to 40.9, p&lt;0.0001), followed by those with low-attenuation plaque burden &gt;4% and PCAT-RCA &lt;-70.5 (HR 5.1, 95% CI 1.5 to 17.7, p&lt;0.0001; Figure 1). In ROC analysis, low attenuation plaque burden was a stronger predictor of future fatal or non-fatal myocardial infarction than PCAT-RCA (area-under-the-curve, 0.71 (95% CI 0.62-0.81) to 0.75 (95% CI 0.65–0.8) (ΔAUC=0.04; p=0.01)</w:t>
      </w:r>
      <w:r w:rsidR="00623577" w:rsidRPr="003A7721">
        <w:rPr>
          <w:rFonts w:ascii="Arial" w:hAnsi="Arial" w:cs="Arial"/>
        </w:rPr>
        <w:t>; Figure 2</w:t>
      </w:r>
      <w:r w:rsidRPr="003A7721">
        <w:rPr>
          <w:rFonts w:ascii="Arial" w:hAnsi="Arial" w:cs="Arial"/>
        </w:rPr>
        <w:t xml:space="preserve">. </w:t>
      </w:r>
    </w:p>
    <w:p w14:paraId="5D6AFC35" w14:textId="77777777" w:rsidR="00695565" w:rsidRPr="003A7721" w:rsidRDefault="00695565" w:rsidP="00695565">
      <w:pPr>
        <w:spacing w:line="480" w:lineRule="auto"/>
        <w:rPr>
          <w:rFonts w:ascii="Arial" w:hAnsi="Arial" w:cs="Arial"/>
        </w:rPr>
      </w:pPr>
    </w:p>
    <w:p w14:paraId="6C5A6F71" w14:textId="77777777" w:rsidR="00695565" w:rsidRPr="003A7721" w:rsidRDefault="00695565" w:rsidP="00695565">
      <w:pPr>
        <w:spacing w:line="480" w:lineRule="auto"/>
        <w:rPr>
          <w:rFonts w:ascii="Arial" w:hAnsi="Arial" w:cs="Arial"/>
        </w:rPr>
      </w:pPr>
      <w:r w:rsidRPr="003A7721">
        <w:rPr>
          <w:rFonts w:ascii="Arial" w:hAnsi="Arial" w:cs="Arial"/>
        </w:rPr>
        <w:t>Conclusion</w:t>
      </w:r>
    </w:p>
    <w:p w14:paraId="3EA9E12E" w14:textId="0FD494BA" w:rsidR="00EA0065" w:rsidRPr="003A7721" w:rsidRDefault="00695565" w:rsidP="00695565">
      <w:pPr>
        <w:spacing w:line="480" w:lineRule="auto"/>
        <w:rPr>
          <w:rFonts w:ascii="Arial" w:hAnsi="Arial" w:cs="Arial"/>
        </w:rPr>
      </w:pPr>
      <w:r w:rsidRPr="003A7721">
        <w:rPr>
          <w:rFonts w:ascii="Arial" w:hAnsi="Arial" w:cs="Arial"/>
        </w:rPr>
        <w:t>CT coronary angiography defined PCAT attenuation and low-attenuation plaque have marked and additive predictive value for the risk of fatal or non-fatal myocardial infarction.</w:t>
      </w:r>
    </w:p>
    <w:p w14:paraId="695A5073" w14:textId="48CD4469" w:rsidR="00623577" w:rsidRPr="003A7721" w:rsidRDefault="00623577" w:rsidP="00695565">
      <w:pPr>
        <w:spacing w:line="480" w:lineRule="auto"/>
        <w:rPr>
          <w:rFonts w:ascii="Arial" w:hAnsi="Arial" w:cs="Arial"/>
        </w:rPr>
      </w:pPr>
    </w:p>
    <w:p w14:paraId="5B689C42" w14:textId="77777777" w:rsidR="003A7721" w:rsidRPr="003A7721" w:rsidRDefault="003A7721" w:rsidP="00695565">
      <w:pPr>
        <w:spacing w:line="480" w:lineRule="auto"/>
        <w:rPr>
          <w:rFonts w:ascii="Arial" w:hAnsi="Arial" w:cs="Arial"/>
          <w:u w:val="single"/>
        </w:rPr>
      </w:pPr>
    </w:p>
    <w:p w14:paraId="388314D0" w14:textId="77777777" w:rsidR="003A7721" w:rsidRPr="003A7721" w:rsidRDefault="003A7721" w:rsidP="00695565">
      <w:pPr>
        <w:spacing w:line="480" w:lineRule="auto"/>
        <w:rPr>
          <w:rFonts w:ascii="Arial" w:hAnsi="Arial" w:cs="Arial"/>
          <w:u w:val="single"/>
        </w:rPr>
      </w:pPr>
    </w:p>
    <w:p w14:paraId="10F483B5" w14:textId="77777777" w:rsidR="003A7721" w:rsidRPr="003A7721" w:rsidRDefault="003A7721" w:rsidP="00695565">
      <w:pPr>
        <w:spacing w:line="480" w:lineRule="auto"/>
        <w:rPr>
          <w:rFonts w:ascii="Arial" w:hAnsi="Arial" w:cs="Arial"/>
          <w:u w:val="single"/>
        </w:rPr>
      </w:pPr>
    </w:p>
    <w:p w14:paraId="76F2642D" w14:textId="77777777" w:rsidR="003A7721" w:rsidRPr="003A7721" w:rsidRDefault="003A7721" w:rsidP="00695565">
      <w:pPr>
        <w:spacing w:line="480" w:lineRule="auto"/>
        <w:rPr>
          <w:rFonts w:ascii="Arial" w:hAnsi="Arial" w:cs="Arial"/>
          <w:u w:val="single"/>
        </w:rPr>
      </w:pPr>
    </w:p>
    <w:p w14:paraId="51A9B3EF" w14:textId="77777777" w:rsidR="003A7721" w:rsidRPr="003A7721" w:rsidRDefault="003A7721" w:rsidP="00695565">
      <w:pPr>
        <w:spacing w:line="480" w:lineRule="auto"/>
        <w:rPr>
          <w:rFonts w:ascii="Arial" w:hAnsi="Arial" w:cs="Arial"/>
          <w:u w:val="single"/>
        </w:rPr>
      </w:pPr>
    </w:p>
    <w:p w14:paraId="2B8E203F" w14:textId="77777777" w:rsidR="003A7721" w:rsidRPr="003A7721" w:rsidRDefault="003A7721" w:rsidP="00695565">
      <w:pPr>
        <w:spacing w:line="480" w:lineRule="auto"/>
        <w:rPr>
          <w:rFonts w:ascii="Arial" w:hAnsi="Arial" w:cs="Arial"/>
          <w:u w:val="single"/>
        </w:rPr>
      </w:pPr>
    </w:p>
    <w:p w14:paraId="40E4F9B5" w14:textId="77777777" w:rsidR="003A7721" w:rsidRPr="003A7721" w:rsidRDefault="003A7721" w:rsidP="00695565">
      <w:pPr>
        <w:spacing w:line="480" w:lineRule="auto"/>
        <w:rPr>
          <w:rFonts w:ascii="Arial" w:hAnsi="Arial" w:cs="Arial"/>
          <w:u w:val="single"/>
        </w:rPr>
      </w:pPr>
    </w:p>
    <w:p w14:paraId="304C7719" w14:textId="77777777" w:rsidR="003A7721" w:rsidRPr="003A7721" w:rsidRDefault="003A7721" w:rsidP="00695565">
      <w:pPr>
        <w:spacing w:line="480" w:lineRule="auto"/>
        <w:rPr>
          <w:rFonts w:ascii="Arial" w:hAnsi="Arial" w:cs="Arial"/>
          <w:u w:val="single"/>
        </w:rPr>
      </w:pPr>
    </w:p>
    <w:p w14:paraId="0B33C9E2" w14:textId="77777777" w:rsidR="003A7721" w:rsidRPr="003A7721" w:rsidRDefault="003A7721" w:rsidP="00695565">
      <w:pPr>
        <w:spacing w:line="480" w:lineRule="auto"/>
        <w:rPr>
          <w:rFonts w:ascii="Arial" w:hAnsi="Arial" w:cs="Arial"/>
          <w:u w:val="single"/>
        </w:rPr>
      </w:pPr>
    </w:p>
    <w:p w14:paraId="61261A02" w14:textId="77777777" w:rsidR="003A7721" w:rsidRPr="003A7721" w:rsidRDefault="003A7721" w:rsidP="00695565">
      <w:pPr>
        <w:spacing w:line="480" w:lineRule="auto"/>
        <w:rPr>
          <w:rFonts w:ascii="Arial" w:hAnsi="Arial" w:cs="Arial"/>
          <w:u w:val="single"/>
        </w:rPr>
      </w:pPr>
    </w:p>
    <w:p w14:paraId="5FFD5D11" w14:textId="77777777" w:rsidR="003A7721" w:rsidRPr="003A7721" w:rsidRDefault="003A7721" w:rsidP="00695565">
      <w:pPr>
        <w:spacing w:line="480" w:lineRule="auto"/>
        <w:rPr>
          <w:rFonts w:ascii="Arial" w:hAnsi="Arial" w:cs="Arial"/>
          <w:u w:val="single"/>
        </w:rPr>
      </w:pPr>
    </w:p>
    <w:p w14:paraId="05C65AEC" w14:textId="6C464CCE" w:rsidR="00623577" w:rsidRPr="003A7721" w:rsidRDefault="00623577" w:rsidP="00695565">
      <w:pPr>
        <w:spacing w:line="480" w:lineRule="auto"/>
        <w:rPr>
          <w:rFonts w:ascii="Arial" w:hAnsi="Arial" w:cs="Arial"/>
          <w:b/>
          <w:u w:val="single"/>
        </w:rPr>
      </w:pPr>
      <w:r w:rsidRPr="003A7721">
        <w:rPr>
          <w:rFonts w:ascii="Arial" w:hAnsi="Arial" w:cs="Arial"/>
          <w:b/>
          <w:u w:val="single"/>
        </w:rPr>
        <w:lastRenderedPageBreak/>
        <w:t>Tables and Figures</w:t>
      </w:r>
    </w:p>
    <w:p w14:paraId="7829748C" w14:textId="77777777" w:rsidR="003A7721" w:rsidRPr="003A7721" w:rsidRDefault="003A7721" w:rsidP="003A7721">
      <w:pPr>
        <w:spacing w:after="160" w:line="259" w:lineRule="auto"/>
        <w:rPr>
          <w:rFonts w:ascii="Arial" w:hAnsi="Arial" w:cs="Arial"/>
          <w:bCs/>
          <w:color w:val="222222"/>
        </w:rPr>
      </w:pPr>
      <w:r w:rsidRPr="003A7721">
        <w:rPr>
          <w:rFonts w:ascii="Arial" w:hAnsi="Arial" w:cs="Arial"/>
          <w:bCs/>
          <w:color w:val="222222"/>
        </w:rPr>
        <w:t xml:space="preserve">Table 1. PCAT attenuation and quantitative plaque burden in patients with and without subsequent myocardial infarction. </w:t>
      </w:r>
    </w:p>
    <w:p w14:paraId="696915EB" w14:textId="77777777" w:rsidR="003A7721" w:rsidRPr="002B36DF" w:rsidRDefault="003A7721" w:rsidP="003A7721">
      <w:pPr>
        <w:ind w:hanging="120"/>
        <w:contextualSpacing/>
        <w:rPr>
          <w:rFonts w:ascii="Arial" w:hAnsi="Arial" w:cs="Arial"/>
          <w:b/>
          <w:bCs/>
          <w:color w:val="222222"/>
        </w:rPr>
      </w:pPr>
    </w:p>
    <w:tbl>
      <w:tblPr>
        <w:tblStyle w:val="ListTable4-Accent3"/>
        <w:tblW w:w="10773" w:type="dxa"/>
        <w:tblInd w:w="-572" w:type="dxa"/>
        <w:tblLook w:val="04A0" w:firstRow="1" w:lastRow="0" w:firstColumn="1" w:lastColumn="0" w:noHBand="0" w:noVBand="1"/>
      </w:tblPr>
      <w:tblGrid>
        <w:gridCol w:w="4395"/>
        <w:gridCol w:w="2268"/>
        <w:gridCol w:w="2317"/>
        <w:gridCol w:w="92"/>
        <w:gridCol w:w="1701"/>
      </w:tblGrid>
      <w:tr w:rsidR="003A7721" w:rsidRPr="00BB73F2" w14:paraId="3290CE35" w14:textId="77777777" w:rsidTr="0095449C">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7F7AD5DF" w14:textId="77777777" w:rsidR="003A7721" w:rsidRPr="00BB73F2" w:rsidRDefault="003A7721" w:rsidP="0095449C">
            <w:pPr>
              <w:spacing w:after="160" w:line="259" w:lineRule="auto"/>
              <w:rPr>
                <w:rFonts w:ascii="Arial" w:hAnsi="Arial" w:cs="Arial"/>
                <w:b w:val="0"/>
              </w:rPr>
            </w:pPr>
          </w:p>
        </w:tc>
        <w:tc>
          <w:tcPr>
            <w:tcW w:w="2268" w:type="dxa"/>
            <w:vAlign w:val="center"/>
          </w:tcPr>
          <w:p w14:paraId="266BD5BB" w14:textId="77777777" w:rsidR="003A7721" w:rsidRPr="00BB73F2" w:rsidRDefault="003A7721" w:rsidP="0095449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B73F2">
              <w:rPr>
                <w:rFonts w:ascii="Arial" w:hAnsi="Arial" w:cs="Arial"/>
                <w:color w:val="000000"/>
                <w:kern w:val="24"/>
              </w:rPr>
              <w:t>No event</w:t>
            </w:r>
          </w:p>
        </w:tc>
        <w:tc>
          <w:tcPr>
            <w:tcW w:w="2409" w:type="dxa"/>
            <w:gridSpan w:val="2"/>
            <w:vAlign w:val="center"/>
          </w:tcPr>
          <w:p w14:paraId="11F33B62" w14:textId="77777777" w:rsidR="003A7721" w:rsidRPr="00BB73F2" w:rsidRDefault="003A7721" w:rsidP="0095449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B73F2">
              <w:rPr>
                <w:rFonts w:ascii="Arial" w:hAnsi="Arial" w:cs="Arial"/>
                <w:color w:val="000000"/>
                <w:kern w:val="24"/>
              </w:rPr>
              <w:t>Event</w:t>
            </w:r>
          </w:p>
        </w:tc>
        <w:tc>
          <w:tcPr>
            <w:tcW w:w="1701" w:type="dxa"/>
            <w:vAlign w:val="center"/>
          </w:tcPr>
          <w:p w14:paraId="3B39C6EA" w14:textId="77777777" w:rsidR="003A7721" w:rsidRPr="00BB73F2" w:rsidRDefault="003A7721" w:rsidP="0095449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B73F2">
              <w:rPr>
                <w:rFonts w:ascii="Arial" w:hAnsi="Arial" w:cs="Arial"/>
                <w:color w:val="000000"/>
                <w:kern w:val="24"/>
              </w:rPr>
              <w:t>p value</w:t>
            </w:r>
          </w:p>
        </w:tc>
      </w:tr>
      <w:tr w:rsidR="003A7721" w:rsidRPr="00BB73F2" w14:paraId="4EBF5F13" w14:textId="77777777" w:rsidTr="0095449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7843A0DD" w14:textId="77777777" w:rsidR="003A7721" w:rsidRPr="00BB73F2" w:rsidRDefault="003A7721" w:rsidP="0095449C">
            <w:pPr>
              <w:jc w:val="center"/>
              <w:rPr>
                <w:rFonts w:ascii="Arial" w:hAnsi="Arial" w:cs="Arial"/>
                <w:b w:val="0"/>
              </w:rPr>
            </w:pPr>
            <w:r w:rsidRPr="00BB73F2">
              <w:rPr>
                <w:rFonts w:ascii="Arial" w:hAnsi="Arial" w:cs="Arial"/>
                <w:color w:val="000000" w:themeColor="dark1"/>
                <w:kern w:val="24"/>
              </w:rPr>
              <w:t xml:space="preserve">Plaque burden (%) </w:t>
            </w:r>
          </w:p>
        </w:tc>
        <w:tc>
          <w:tcPr>
            <w:tcW w:w="2268" w:type="dxa"/>
            <w:vAlign w:val="center"/>
          </w:tcPr>
          <w:p w14:paraId="557F47C7" w14:textId="77777777" w:rsidR="003A7721" w:rsidRPr="00BB73F2" w:rsidRDefault="003A7721" w:rsidP="0095449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73F2">
              <w:rPr>
                <w:rFonts w:ascii="Arial" w:hAnsi="Arial" w:cs="Arial"/>
                <w:color w:val="000000" w:themeColor="dark1"/>
                <w:kern w:val="24"/>
              </w:rPr>
              <w:t>38.9 [0</w:t>
            </w:r>
            <w:r>
              <w:rPr>
                <w:rFonts w:ascii="Arial" w:hAnsi="Arial" w:cs="Arial"/>
                <w:color w:val="000000" w:themeColor="dark1"/>
                <w:kern w:val="24"/>
              </w:rPr>
              <w:t xml:space="preserve"> to </w:t>
            </w:r>
            <w:r w:rsidRPr="00BB73F2">
              <w:rPr>
                <w:rFonts w:ascii="Arial" w:hAnsi="Arial" w:cs="Arial"/>
                <w:color w:val="000000" w:themeColor="dark1"/>
                <w:kern w:val="24"/>
              </w:rPr>
              <w:t>49.2]</w:t>
            </w:r>
          </w:p>
        </w:tc>
        <w:tc>
          <w:tcPr>
            <w:tcW w:w="2317" w:type="dxa"/>
            <w:vAlign w:val="center"/>
          </w:tcPr>
          <w:p w14:paraId="0EF18320" w14:textId="77777777" w:rsidR="003A7721" w:rsidRPr="00BB73F2" w:rsidRDefault="003A7721" w:rsidP="0095449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73F2">
              <w:rPr>
                <w:rFonts w:ascii="Arial" w:hAnsi="Arial" w:cs="Arial"/>
                <w:color w:val="000000" w:themeColor="dark1"/>
                <w:kern w:val="24"/>
              </w:rPr>
              <w:t>50.1 [43.0</w:t>
            </w:r>
            <w:r>
              <w:rPr>
                <w:rFonts w:ascii="Arial" w:hAnsi="Arial" w:cs="Arial"/>
                <w:color w:val="000000" w:themeColor="dark1"/>
                <w:kern w:val="24"/>
              </w:rPr>
              <w:t xml:space="preserve"> to </w:t>
            </w:r>
            <w:r w:rsidRPr="00BB73F2">
              <w:rPr>
                <w:rFonts w:ascii="Arial" w:hAnsi="Arial" w:cs="Arial"/>
                <w:color w:val="000000" w:themeColor="dark1"/>
                <w:kern w:val="24"/>
              </w:rPr>
              <w:t>53.8]</w:t>
            </w:r>
          </w:p>
        </w:tc>
        <w:tc>
          <w:tcPr>
            <w:tcW w:w="1793" w:type="dxa"/>
            <w:gridSpan w:val="2"/>
            <w:vAlign w:val="center"/>
          </w:tcPr>
          <w:p w14:paraId="62401054" w14:textId="77777777" w:rsidR="003A7721" w:rsidRPr="00BB73F2" w:rsidRDefault="003A7721" w:rsidP="0095449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73F2">
              <w:rPr>
                <w:rFonts w:ascii="Arial" w:hAnsi="Arial" w:cs="Arial"/>
                <w:color w:val="000000" w:themeColor="dark1"/>
                <w:kern w:val="24"/>
              </w:rPr>
              <w:t>&lt;0.001</w:t>
            </w:r>
          </w:p>
        </w:tc>
      </w:tr>
      <w:tr w:rsidR="003A7721" w:rsidRPr="00BB73F2" w14:paraId="044E84E5" w14:textId="77777777" w:rsidTr="0095449C">
        <w:trPr>
          <w:trHeight w:val="62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1EAF3FB6" w14:textId="77777777" w:rsidR="003A7721" w:rsidRPr="00BB73F2" w:rsidRDefault="003A7721" w:rsidP="0095449C">
            <w:pPr>
              <w:jc w:val="center"/>
              <w:rPr>
                <w:rFonts w:ascii="Arial" w:hAnsi="Arial" w:cs="Arial"/>
                <w:b w:val="0"/>
              </w:rPr>
            </w:pPr>
            <w:r w:rsidRPr="00BB73F2">
              <w:rPr>
                <w:rFonts w:ascii="Arial" w:hAnsi="Arial" w:cs="Arial"/>
                <w:color w:val="000000" w:themeColor="dark1"/>
                <w:kern w:val="24"/>
              </w:rPr>
              <w:t xml:space="preserve">Noncalcified plaque burden (%) </w:t>
            </w:r>
          </w:p>
        </w:tc>
        <w:tc>
          <w:tcPr>
            <w:tcW w:w="2268" w:type="dxa"/>
            <w:vAlign w:val="center"/>
          </w:tcPr>
          <w:p w14:paraId="442BDA7F" w14:textId="77777777" w:rsidR="003A7721" w:rsidRPr="00BB73F2" w:rsidRDefault="003A7721" w:rsidP="0095449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B73F2">
              <w:rPr>
                <w:rFonts w:ascii="Arial" w:hAnsi="Arial" w:cs="Arial"/>
                <w:color w:val="000000" w:themeColor="dark1"/>
                <w:kern w:val="24"/>
              </w:rPr>
              <w:t>35.4 [0</w:t>
            </w:r>
            <w:r>
              <w:rPr>
                <w:rFonts w:ascii="Arial" w:hAnsi="Arial" w:cs="Arial"/>
                <w:color w:val="000000" w:themeColor="dark1"/>
                <w:kern w:val="24"/>
              </w:rPr>
              <w:t xml:space="preserve"> to </w:t>
            </w:r>
            <w:r w:rsidRPr="00BB73F2">
              <w:rPr>
                <w:rFonts w:ascii="Arial" w:hAnsi="Arial" w:cs="Arial"/>
                <w:color w:val="000000" w:themeColor="dark1"/>
                <w:kern w:val="24"/>
              </w:rPr>
              <w:t>45.3]</w:t>
            </w:r>
          </w:p>
        </w:tc>
        <w:tc>
          <w:tcPr>
            <w:tcW w:w="2317" w:type="dxa"/>
            <w:vAlign w:val="center"/>
          </w:tcPr>
          <w:p w14:paraId="616A0883" w14:textId="77777777" w:rsidR="003A7721" w:rsidRPr="00BB73F2" w:rsidRDefault="003A7721" w:rsidP="0095449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B73F2">
              <w:rPr>
                <w:rFonts w:ascii="Arial" w:hAnsi="Arial" w:cs="Arial"/>
                <w:color w:val="000000" w:themeColor="dark1"/>
                <w:kern w:val="24"/>
              </w:rPr>
              <w:t>42 [37.39</w:t>
            </w:r>
            <w:r>
              <w:rPr>
                <w:rFonts w:ascii="Arial" w:hAnsi="Arial" w:cs="Arial"/>
                <w:color w:val="000000" w:themeColor="dark1"/>
                <w:kern w:val="24"/>
              </w:rPr>
              <w:t xml:space="preserve"> to </w:t>
            </w:r>
            <w:r w:rsidRPr="00BB73F2">
              <w:rPr>
                <w:rFonts w:ascii="Arial" w:hAnsi="Arial" w:cs="Arial"/>
                <w:color w:val="000000" w:themeColor="dark1"/>
                <w:kern w:val="24"/>
              </w:rPr>
              <w:t>48.95]</w:t>
            </w:r>
          </w:p>
        </w:tc>
        <w:tc>
          <w:tcPr>
            <w:tcW w:w="1793" w:type="dxa"/>
            <w:gridSpan w:val="2"/>
            <w:vAlign w:val="center"/>
          </w:tcPr>
          <w:p w14:paraId="3BD56348" w14:textId="77777777" w:rsidR="003A7721" w:rsidRPr="00BB73F2" w:rsidRDefault="003A7721" w:rsidP="0095449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B73F2">
              <w:rPr>
                <w:rFonts w:ascii="Arial" w:hAnsi="Arial" w:cs="Arial"/>
                <w:color w:val="000000" w:themeColor="dark1"/>
                <w:kern w:val="24"/>
              </w:rPr>
              <w:t>&lt;0.001</w:t>
            </w:r>
          </w:p>
        </w:tc>
      </w:tr>
      <w:tr w:rsidR="003A7721" w:rsidRPr="00BB73F2" w14:paraId="3E6F9DAE" w14:textId="77777777" w:rsidTr="0095449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534D0075" w14:textId="77777777" w:rsidR="003A7721" w:rsidRPr="00BB73F2" w:rsidRDefault="003A7721" w:rsidP="0095449C">
            <w:pPr>
              <w:jc w:val="center"/>
              <w:rPr>
                <w:rFonts w:ascii="Arial" w:hAnsi="Arial" w:cs="Arial"/>
                <w:b w:val="0"/>
              </w:rPr>
            </w:pPr>
            <w:r w:rsidRPr="00BB73F2">
              <w:rPr>
                <w:rFonts w:ascii="Arial" w:hAnsi="Arial" w:cs="Arial"/>
                <w:color w:val="000000" w:themeColor="dark1"/>
                <w:kern w:val="24"/>
              </w:rPr>
              <w:t xml:space="preserve">Low-attenuation plaque burden (%) </w:t>
            </w:r>
          </w:p>
        </w:tc>
        <w:tc>
          <w:tcPr>
            <w:tcW w:w="2268" w:type="dxa"/>
            <w:vAlign w:val="center"/>
          </w:tcPr>
          <w:p w14:paraId="4C177C58" w14:textId="77777777" w:rsidR="003A7721" w:rsidRPr="00BB73F2" w:rsidRDefault="003A7721" w:rsidP="0095449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73F2">
              <w:rPr>
                <w:rFonts w:ascii="Arial" w:hAnsi="Arial" w:cs="Arial"/>
                <w:color w:val="000000" w:themeColor="dark1"/>
                <w:kern w:val="24"/>
              </w:rPr>
              <w:t xml:space="preserve">4.1 [0 </w:t>
            </w:r>
            <w:r>
              <w:rPr>
                <w:rFonts w:ascii="Arial" w:hAnsi="Arial" w:cs="Arial"/>
                <w:color w:val="000000" w:themeColor="dark1"/>
                <w:kern w:val="24"/>
              </w:rPr>
              <w:t xml:space="preserve">to </w:t>
            </w:r>
            <w:r w:rsidRPr="00BB73F2">
              <w:rPr>
                <w:rFonts w:ascii="Arial" w:hAnsi="Arial" w:cs="Arial"/>
                <w:color w:val="000000" w:themeColor="dark1"/>
                <w:kern w:val="24"/>
              </w:rPr>
              <w:t>6.7]</w:t>
            </w:r>
          </w:p>
        </w:tc>
        <w:tc>
          <w:tcPr>
            <w:tcW w:w="2317" w:type="dxa"/>
            <w:vAlign w:val="center"/>
          </w:tcPr>
          <w:p w14:paraId="3C0A0EC4" w14:textId="77777777" w:rsidR="003A7721" w:rsidRPr="00BB73F2" w:rsidRDefault="003A7721" w:rsidP="0095449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73F2">
              <w:rPr>
                <w:rFonts w:ascii="Arial" w:hAnsi="Arial" w:cs="Arial"/>
                <w:color w:val="000000" w:themeColor="dark1"/>
                <w:kern w:val="24"/>
              </w:rPr>
              <w:t>7.4 [4.8</w:t>
            </w:r>
            <w:r>
              <w:rPr>
                <w:rFonts w:ascii="Arial" w:hAnsi="Arial" w:cs="Arial"/>
                <w:color w:val="000000" w:themeColor="dark1"/>
                <w:kern w:val="24"/>
              </w:rPr>
              <w:t xml:space="preserve"> to </w:t>
            </w:r>
            <w:r w:rsidRPr="00BB73F2">
              <w:rPr>
                <w:rFonts w:ascii="Arial" w:hAnsi="Arial" w:cs="Arial"/>
                <w:color w:val="000000" w:themeColor="dark1"/>
                <w:kern w:val="24"/>
              </w:rPr>
              <w:t>9.1]</w:t>
            </w:r>
          </w:p>
        </w:tc>
        <w:tc>
          <w:tcPr>
            <w:tcW w:w="1793" w:type="dxa"/>
            <w:gridSpan w:val="2"/>
            <w:vAlign w:val="center"/>
          </w:tcPr>
          <w:p w14:paraId="68E54407" w14:textId="77777777" w:rsidR="003A7721" w:rsidRPr="00BB73F2" w:rsidRDefault="003A7721" w:rsidP="0095449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73F2">
              <w:rPr>
                <w:rFonts w:ascii="Arial" w:hAnsi="Arial" w:cs="Arial"/>
                <w:color w:val="000000" w:themeColor="dark1"/>
                <w:kern w:val="24"/>
              </w:rPr>
              <w:t>&lt;0.001</w:t>
            </w:r>
          </w:p>
        </w:tc>
      </w:tr>
      <w:tr w:rsidR="003A7721" w:rsidRPr="00BB73F2" w14:paraId="623D599D" w14:textId="77777777" w:rsidTr="0095449C">
        <w:trPr>
          <w:trHeight w:val="62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5B00ED95" w14:textId="77777777" w:rsidR="003A7721" w:rsidRPr="00BB73F2" w:rsidRDefault="003A7721" w:rsidP="0095449C">
            <w:pPr>
              <w:jc w:val="center"/>
              <w:rPr>
                <w:rFonts w:ascii="Arial" w:hAnsi="Arial" w:cs="Arial"/>
                <w:b w:val="0"/>
              </w:rPr>
            </w:pPr>
            <w:r w:rsidRPr="00BB73F2">
              <w:rPr>
                <w:rFonts w:ascii="Arial" w:hAnsi="Arial" w:cs="Arial"/>
                <w:color w:val="000000" w:themeColor="dark1"/>
                <w:kern w:val="24"/>
              </w:rPr>
              <w:t xml:space="preserve">Calcified plaque burden (%) </w:t>
            </w:r>
          </w:p>
        </w:tc>
        <w:tc>
          <w:tcPr>
            <w:tcW w:w="2268" w:type="dxa"/>
            <w:vAlign w:val="center"/>
          </w:tcPr>
          <w:p w14:paraId="4DA75102" w14:textId="77777777" w:rsidR="003A7721" w:rsidRPr="00BB73F2" w:rsidRDefault="003A7721" w:rsidP="0095449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B73F2">
              <w:rPr>
                <w:rFonts w:ascii="Arial" w:hAnsi="Arial" w:cs="Arial"/>
                <w:color w:val="000000" w:themeColor="dark1"/>
                <w:kern w:val="24"/>
              </w:rPr>
              <w:t>0.39 [0</w:t>
            </w:r>
            <w:r>
              <w:rPr>
                <w:rFonts w:ascii="Arial" w:hAnsi="Arial" w:cs="Arial"/>
                <w:color w:val="000000" w:themeColor="dark1"/>
                <w:kern w:val="24"/>
              </w:rPr>
              <w:t xml:space="preserve"> to </w:t>
            </w:r>
            <w:r w:rsidRPr="00BB73F2">
              <w:rPr>
                <w:rFonts w:ascii="Arial" w:hAnsi="Arial" w:cs="Arial"/>
                <w:color w:val="000000" w:themeColor="dark1"/>
                <w:kern w:val="24"/>
              </w:rPr>
              <w:t>2.69]</w:t>
            </w:r>
          </w:p>
        </w:tc>
        <w:tc>
          <w:tcPr>
            <w:tcW w:w="2317" w:type="dxa"/>
            <w:vAlign w:val="center"/>
          </w:tcPr>
          <w:p w14:paraId="26DB9870" w14:textId="77777777" w:rsidR="003A7721" w:rsidRPr="00BB73F2" w:rsidRDefault="003A7721" w:rsidP="0095449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B73F2">
              <w:rPr>
                <w:rFonts w:ascii="Arial" w:hAnsi="Arial" w:cs="Arial"/>
                <w:color w:val="000000" w:themeColor="dark1"/>
                <w:kern w:val="24"/>
              </w:rPr>
              <w:t>3.18 [0.9</w:t>
            </w:r>
            <w:r>
              <w:rPr>
                <w:rFonts w:ascii="Arial" w:hAnsi="Arial" w:cs="Arial"/>
                <w:color w:val="000000" w:themeColor="dark1"/>
                <w:kern w:val="24"/>
              </w:rPr>
              <w:t xml:space="preserve"> to </w:t>
            </w:r>
            <w:r w:rsidRPr="00BB73F2">
              <w:rPr>
                <w:rFonts w:ascii="Arial" w:hAnsi="Arial" w:cs="Arial"/>
                <w:color w:val="000000" w:themeColor="dark1"/>
                <w:kern w:val="24"/>
              </w:rPr>
              <w:t>7.97]</w:t>
            </w:r>
          </w:p>
        </w:tc>
        <w:tc>
          <w:tcPr>
            <w:tcW w:w="1793" w:type="dxa"/>
            <w:gridSpan w:val="2"/>
            <w:vAlign w:val="center"/>
          </w:tcPr>
          <w:p w14:paraId="5173CAF1" w14:textId="77777777" w:rsidR="003A7721" w:rsidRPr="00BB73F2" w:rsidRDefault="003A7721" w:rsidP="0095449C">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BB73F2">
              <w:rPr>
                <w:rFonts w:ascii="Arial" w:hAnsi="Arial" w:cs="Arial"/>
                <w:color w:val="000000" w:themeColor="dark1"/>
                <w:kern w:val="24"/>
              </w:rPr>
              <w:t>&lt;0.001</w:t>
            </w:r>
          </w:p>
        </w:tc>
      </w:tr>
      <w:tr w:rsidR="003A7721" w:rsidRPr="00BB73F2" w14:paraId="5CF7EF4D" w14:textId="77777777" w:rsidTr="0095449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66A3C29C" w14:textId="77777777" w:rsidR="003A7721" w:rsidRPr="00BB73F2" w:rsidRDefault="003A7721" w:rsidP="0095449C">
            <w:pPr>
              <w:jc w:val="center"/>
              <w:rPr>
                <w:rFonts w:ascii="Arial" w:hAnsi="Arial" w:cs="Arial"/>
                <w:bCs w:val="0"/>
                <w:color w:val="222222"/>
                <w:vertAlign w:val="superscript"/>
              </w:rPr>
            </w:pPr>
            <w:r w:rsidRPr="00BB73F2">
              <w:rPr>
                <w:rFonts w:ascii="Arial" w:hAnsi="Arial" w:cs="Arial"/>
                <w:color w:val="000000" w:themeColor="dark1"/>
                <w:kern w:val="24"/>
              </w:rPr>
              <w:t>PCAT</w:t>
            </w:r>
            <w:r>
              <w:rPr>
                <w:rFonts w:ascii="Arial" w:hAnsi="Arial" w:cs="Arial"/>
                <w:color w:val="000000" w:themeColor="dark1"/>
                <w:kern w:val="24"/>
              </w:rPr>
              <w:t>-</w:t>
            </w:r>
            <w:r w:rsidRPr="00BB73F2">
              <w:rPr>
                <w:rFonts w:ascii="Arial" w:hAnsi="Arial" w:cs="Arial"/>
                <w:color w:val="000000" w:themeColor="dark1"/>
                <w:kern w:val="24"/>
              </w:rPr>
              <w:t>RCA</w:t>
            </w:r>
            <w:r>
              <w:rPr>
                <w:rFonts w:ascii="Arial" w:hAnsi="Arial" w:cs="Arial"/>
                <w:color w:val="000000" w:themeColor="dark1"/>
                <w:kern w:val="24"/>
              </w:rPr>
              <w:t xml:space="preserve"> (HU)</w:t>
            </w:r>
          </w:p>
        </w:tc>
        <w:tc>
          <w:tcPr>
            <w:tcW w:w="2268" w:type="dxa"/>
            <w:vAlign w:val="center"/>
          </w:tcPr>
          <w:p w14:paraId="336DCE10" w14:textId="77777777" w:rsidR="003A7721" w:rsidRPr="00BB73F2" w:rsidRDefault="003A7721" w:rsidP="0095449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73F2">
              <w:rPr>
                <w:rFonts w:ascii="Arial" w:hAnsi="Arial" w:cs="Arial"/>
                <w:color w:val="000000" w:themeColor="dark1"/>
                <w:kern w:val="24"/>
              </w:rPr>
              <w:t>-76.0</w:t>
            </w:r>
            <w:r>
              <w:rPr>
                <w:rFonts w:ascii="Arial" w:hAnsi="Arial" w:cs="Arial"/>
                <w:color w:val="000000" w:themeColor="dark1"/>
                <w:kern w:val="24"/>
              </w:rPr>
              <w:t xml:space="preserve"> </w:t>
            </w:r>
            <w:r w:rsidRPr="00BB73F2">
              <w:rPr>
                <w:rFonts w:ascii="Arial" w:hAnsi="Arial" w:cs="Arial"/>
                <w:color w:val="000000" w:themeColor="dark1"/>
                <w:kern w:val="24"/>
                <w:lang w:val="el-GR"/>
              </w:rPr>
              <w:t>±</w:t>
            </w:r>
            <w:r>
              <w:rPr>
                <w:rFonts w:ascii="Arial" w:hAnsi="Arial" w:cs="Arial"/>
                <w:color w:val="000000" w:themeColor="dark1"/>
                <w:kern w:val="24"/>
              </w:rPr>
              <w:t xml:space="preserve"> </w:t>
            </w:r>
            <w:r w:rsidRPr="00BB73F2">
              <w:rPr>
                <w:rFonts w:ascii="Arial" w:hAnsi="Arial" w:cs="Arial"/>
                <w:color w:val="000000" w:themeColor="dark1"/>
                <w:kern w:val="24"/>
                <w:lang w:val="el-GR"/>
              </w:rPr>
              <w:t>7.8</w:t>
            </w:r>
          </w:p>
        </w:tc>
        <w:tc>
          <w:tcPr>
            <w:tcW w:w="2317" w:type="dxa"/>
            <w:vAlign w:val="center"/>
          </w:tcPr>
          <w:p w14:paraId="16870B2A" w14:textId="77777777" w:rsidR="003A7721" w:rsidRPr="00BB73F2" w:rsidRDefault="003A7721" w:rsidP="0095449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73F2">
              <w:rPr>
                <w:rFonts w:ascii="Arial" w:hAnsi="Arial" w:cs="Arial"/>
                <w:color w:val="000000" w:themeColor="dark1"/>
                <w:kern w:val="24"/>
              </w:rPr>
              <w:t>-72.5</w:t>
            </w:r>
            <w:r>
              <w:rPr>
                <w:rFonts w:ascii="Arial" w:hAnsi="Arial" w:cs="Arial"/>
                <w:color w:val="000000" w:themeColor="dark1"/>
                <w:kern w:val="24"/>
              </w:rPr>
              <w:t xml:space="preserve"> </w:t>
            </w:r>
            <w:r w:rsidRPr="00BB73F2">
              <w:rPr>
                <w:rFonts w:ascii="Arial" w:hAnsi="Arial" w:cs="Arial"/>
                <w:color w:val="000000" w:themeColor="dark1"/>
                <w:kern w:val="24"/>
              </w:rPr>
              <w:t>±</w:t>
            </w:r>
            <w:r>
              <w:rPr>
                <w:rFonts w:ascii="Arial" w:hAnsi="Arial" w:cs="Arial"/>
                <w:color w:val="000000" w:themeColor="dark1"/>
                <w:kern w:val="24"/>
              </w:rPr>
              <w:t xml:space="preserve"> </w:t>
            </w:r>
            <w:r w:rsidRPr="00BB73F2">
              <w:rPr>
                <w:rFonts w:ascii="Arial" w:hAnsi="Arial" w:cs="Arial"/>
                <w:color w:val="000000" w:themeColor="dark1"/>
                <w:kern w:val="24"/>
              </w:rPr>
              <w:t>8.3</w:t>
            </w:r>
          </w:p>
        </w:tc>
        <w:tc>
          <w:tcPr>
            <w:tcW w:w="1793" w:type="dxa"/>
            <w:gridSpan w:val="2"/>
            <w:vAlign w:val="center"/>
          </w:tcPr>
          <w:p w14:paraId="55C40B72" w14:textId="77777777" w:rsidR="003A7721" w:rsidRPr="00BB73F2" w:rsidRDefault="003A7721" w:rsidP="0095449C">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BB73F2">
              <w:rPr>
                <w:rFonts w:ascii="Arial" w:hAnsi="Arial" w:cs="Arial"/>
                <w:color w:val="000000" w:themeColor="dark1"/>
                <w:kern w:val="24"/>
              </w:rPr>
              <w:t>0.00</w:t>
            </w:r>
            <w:r>
              <w:rPr>
                <w:rFonts w:ascii="Arial" w:hAnsi="Arial" w:cs="Arial"/>
                <w:color w:val="000000" w:themeColor="dark1"/>
                <w:kern w:val="24"/>
              </w:rPr>
              <w:t>9</w:t>
            </w:r>
          </w:p>
        </w:tc>
      </w:tr>
      <w:tr w:rsidR="003A7721" w:rsidRPr="00BB73F2" w14:paraId="68A6ABAF" w14:textId="77777777" w:rsidTr="0095449C">
        <w:trPr>
          <w:trHeight w:val="62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2EA4437A" w14:textId="77777777" w:rsidR="003A7721" w:rsidRPr="00BB73F2" w:rsidRDefault="003A7721" w:rsidP="0095449C">
            <w:pPr>
              <w:jc w:val="center"/>
              <w:rPr>
                <w:rFonts w:ascii="Arial" w:hAnsi="Arial" w:cs="Arial"/>
                <w:color w:val="000000" w:themeColor="dark1"/>
                <w:kern w:val="24"/>
              </w:rPr>
            </w:pPr>
            <w:r>
              <w:rPr>
                <w:rFonts w:ascii="Arial" w:hAnsi="Arial" w:cs="Arial"/>
                <w:color w:val="000000" w:themeColor="dark1"/>
                <w:kern w:val="24"/>
              </w:rPr>
              <w:t>PCAT-LAD (HU)</w:t>
            </w:r>
          </w:p>
        </w:tc>
        <w:tc>
          <w:tcPr>
            <w:tcW w:w="2268" w:type="dxa"/>
            <w:vAlign w:val="center"/>
          </w:tcPr>
          <w:p w14:paraId="6EBD6560" w14:textId="77777777" w:rsidR="003A7721" w:rsidRPr="00BB73F2" w:rsidRDefault="003A7721" w:rsidP="009544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dark1"/>
                <w:kern w:val="24"/>
              </w:rPr>
            </w:pPr>
            <w:r>
              <w:rPr>
                <w:rFonts w:ascii="Arial" w:hAnsi="Arial" w:cs="Arial"/>
                <w:color w:val="000000" w:themeColor="dark1"/>
                <w:kern w:val="24"/>
              </w:rPr>
              <w:t>-77</w:t>
            </w:r>
            <w:r w:rsidRPr="00BB73F2">
              <w:rPr>
                <w:rFonts w:ascii="Arial" w:hAnsi="Arial" w:cs="Arial"/>
                <w:color w:val="000000" w:themeColor="dark1"/>
                <w:kern w:val="24"/>
              </w:rPr>
              <w:t>.0</w:t>
            </w:r>
            <w:r>
              <w:rPr>
                <w:rFonts w:ascii="Arial" w:hAnsi="Arial" w:cs="Arial"/>
                <w:color w:val="000000" w:themeColor="dark1"/>
                <w:kern w:val="24"/>
              </w:rPr>
              <w:t xml:space="preserve"> </w:t>
            </w:r>
            <w:r w:rsidRPr="00BB73F2">
              <w:rPr>
                <w:rFonts w:ascii="Arial" w:hAnsi="Arial" w:cs="Arial"/>
                <w:color w:val="000000" w:themeColor="dark1"/>
                <w:kern w:val="24"/>
                <w:lang w:val="el-GR"/>
              </w:rPr>
              <w:t>±</w:t>
            </w:r>
            <w:r>
              <w:rPr>
                <w:rFonts w:ascii="Arial" w:hAnsi="Arial" w:cs="Arial"/>
                <w:color w:val="000000" w:themeColor="dark1"/>
                <w:kern w:val="24"/>
              </w:rPr>
              <w:t xml:space="preserve"> </w:t>
            </w:r>
            <w:r w:rsidRPr="00BB73F2">
              <w:rPr>
                <w:rFonts w:ascii="Arial" w:hAnsi="Arial" w:cs="Arial"/>
                <w:color w:val="000000" w:themeColor="dark1"/>
                <w:kern w:val="24"/>
                <w:lang w:val="el-GR"/>
              </w:rPr>
              <w:t>7.8</w:t>
            </w:r>
          </w:p>
        </w:tc>
        <w:tc>
          <w:tcPr>
            <w:tcW w:w="2317" w:type="dxa"/>
            <w:vAlign w:val="center"/>
          </w:tcPr>
          <w:p w14:paraId="72E70DB5" w14:textId="77777777" w:rsidR="003A7721" w:rsidRPr="00BB73F2" w:rsidRDefault="003A7721" w:rsidP="009544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dark1"/>
                <w:kern w:val="24"/>
              </w:rPr>
            </w:pPr>
            <w:r>
              <w:rPr>
                <w:rFonts w:ascii="Arial" w:hAnsi="Arial" w:cs="Arial"/>
                <w:color w:val="000000" w:themeColor="dark1"/>
                <w:kern w:val="24"/>
              </w:rPr>
              <w:t xml:space="preserve">-76.2 </w:t>
            </w:r>
            <w:r w:rsidRPr="00BB73F2">
              <w:rPr>
                <w:rFonts w:ascii="Arial" w:hAnsi="Arial" w:cs="Arial"/>
                <w:color w:val="000000" w:themeColor="dark1"/>
                <w:kern w:val="24"/>
              </w:rPr>
              <w:t>±</w:t>
            </w:r>
            <w:r>
              <w:rPr>
                <w:rFonts w:ascii="Arial" w:hAnsi="Arial" w:cs="Arial"/>
                <w:color w:val="000000" w:themeColor="dark1"/>
                <w:kern w:val="24"/>
              </w:rPr>
              <w:t xml:space="preserve"> </w:t>
            </w:r>
            <w:r w:rsidRPr="00BB73F2">
              <w:rPr>
                <w:rFonts w:ascii="Arial" w:hAnsi="Arial" w:cs="Arial"/>
                <w:color w:val="000000" w:themeColor="dark1"/>
                <w:kern w:val="24"/>
              </w:rPr>
              <w:t>8.</w:t>
            </w:r>
            <w:r>
              <w:rPr>
                <w:rFonts w:ascii="Arial" w:hAnsi="Arial" w:cs="Arial"/>
                <w:color w:val="000000" w:themeColor="dark1"/>
                <w:kern w:val="24"/>
              </w:rPr>
              <w:t>6</w:t>
            </w:r>
          </w:p>
        </w:tc>
        <w:tc>
          <w:tcPr>
            <w:tcW w:w="1793" w:type="dxa"/>
            <w:gridSpan w:val="2"/>
            <w:vAlign w:val="center"/>
          </w:tcPr>
          <w:p w14:paraId="2505C015" w14:textId="77777777" w:rsidR="003A7721" w:rsidRPr="00BB73F2" w:rsidRDefault="003A7721" w:rsidP="009544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dark1"/>
                <w:kern w:val="24"/>
              </w:rPr>
            </w:pPr>
            <w:r>
              <w:rPr>
                <w:rFonts w:ascii="Arial" w:hAnsi="Arial" w:cs="Arial"/>
                <w:color w:val="000000" w:themeColor="dark1"/>
                <w:kern w:val="24"/>
              </w:rPr>
              <w:t>0.5432</w:t>
            </w:r>
          </w:p>
        </w:tc>
      </w:tr>
      <w:tr w:rsidR="003A7721" w:rsidRPr="00BB73F2" w14:paraId="267257CD" w14:textId="77777777" w:rsidTr="0095449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5D155268" w14:textId="77777777" w:rsidR="003A7721" w:rsidRPr="00BB73F2" w:rsidRDefault="003A7721" w:rsidP="0095449C">
            <w:pPr>
              <w:jc w:val="center"/>
              <w:rPr>
                <w:rFonts w:ascii="Arial" w:hAnsi="Arial" w:cs="Arial"/>
                <w:color w:val="000000" w:themeColor="dark1"/>
                <w:kern w:val="24"/>
              </w:rPr>
            </w:pPr>
            <w:r>
              <w:rPr>
                <w:rFonts w:ascii="Arial" w:hAnsi="Arial" w:cs="Arial"/>
                <w:color w:val="000000" w:themeColor="dark1"/>
                <w:kern w:val="24"/>
              </w:rPr>
              <w:t>PCAT-LCx (HU)</w:t>
            </w:r>
          </w:p>
        </w:tc>
        <w:tc>
          <w:tcPr>
            <w:tcW w:w="2268" w:type="dxa"/>
            <w:vAlign w:val="center"/>
          </w:tcPr>
          <w:p w14:paraId="160746F6" w14:textId="77777777" w:rsidR="003A7721" w:rsidRPr="00ED6244" w:rsidRDefault="003A7721" w:rsidP="009544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dark1"/>
                <w:kern w:val="24"/>
              </w:rPr>
            </w:pPr>
            <w:r>
              <w:rPr>
                <w:rFonts w:ascii="Arial" w:hAnsi="Arial" w:cs="Arial"/>
                <w:color w:val="000000" w:themeColor="dark1"/>
                <w:kern w:val="24"/>
              </w:rPr>
              <w:t xml:space="preserve">-73.3 </w:t>
            </w:r>
            <w:r w:rsidRPr="00BB73F2">
              <w:rPr>
                <w:rFonts w:ascii="Arial" w:hAnsi="Arial" w:cs="Arial"/>
                <w:color w:val="000000" w:themeColor="dark1"/>
                <w:kern w:val="24"/>
                <w:lang w:val="el-GR"/>
              </w:rPr>
              <w:t>±</w:t>
            </w:r>
            <w:r>
              <w:rPr>
                <w:rFonts w:ascii="Arial" w:hAnsi="Arial" w:cs="Arial"/>
                <w:color w:val="000000" w:themeColor="dark1"/>
                <w:kern w:val="24"/>
              </w:rPr>
              <w:t xml:space="preserve"> </w:t>
            </w:r>
            <w:r w:rsidRPr="00BB73F2">
              <w:rPr>
                <w:rFonts w:ascii="Arial" w:hAnsi="Arial" w:cs="Arial"/>
                <w:color w:val="000000" w:themeColor="dark1"/>
                <w:kern w:val="24"/>
                <w:lang w:val="el-GR"/>
              </w:rPr>
              <w:t>7.</w:t>
            </w:r>
            <w:r>
              <w:rPr>
                <w:rFonts w:ascii="Arial" w:hAnsi="Arial" w:cs="Arial"/>
                <w:color w:val="000000" w:themeColor="dark1"/>
                <w:kern w:val="24"/>
              </w:rPr>
              <w:t>7</w:t>
            </w:r>
          </w:p>
        </w:tc>
        <w:tc>
          <w:tcPr>
            <w:tcW w:w="2317" w:type="dxa"/>
            <w:vAlign w:val="center"/>
          </w:tcPr>
          <w:p w14:paraId="303A036A" w14:textId="77777777" w:rsidR="003A7721" w:rsidRPr="00BB73F2" w:rsidRDefault="003A7721" w:rsidP="009544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dark1"/>
                <w:kern w:val="24"/>
              </w:rPr>
            </w:pPr>
            <w:r>
              <w:rPr>
                <w:rFonts w:ascii="Arial" w:hAnsi="Arial" w:cs="Arial"/>
                <w:color w:val="000000" w:themeColor="dark1"/>
                <w:kern w:val="24"/>
              </w:rPr>
              <w:t xml:space="preserve">-71.6 </w:t>
            </w:r>
            <w:r w:rsidRPr="00BB73F2">
              <w:rPr>
                <w:rFonts w:ascii="Arial" w:hAnsi="Arial" w:cs="Arial"/>
                <w:color w:val="000000" w:themeColor="dark1"/>
                <w:kern w:val="24"/>
              </w:rPr>
              <w:t>±</w:t>
            </w:r>
            <w:r>
              <w:rPr>
                <w:rFonts w:ascii="Arial" w:hAnsi="Arial" w:cs="Arial"/>
                <w:color w:val="000000" w:themeColor="dark1"/>
                <w:kern w:val="24"/>
              </w:rPr>
              <w:t xml:space="preserve"> 7</w:t>
            </w:r>
            <w:r w:rsidRPr="00BB73F2">
              <w:rPr>
                <w:rFonts w:ascii="Arial" w:hAnsi="Arial" w:cs="Arial"/>
                <w:color w:val="000000" w:themeColor="dark1"/>
                <w:kern w:val="24"/>
              </w:rPr>
              <w:t>.3</w:t>
            </w:r>
          </w:p>
        </w:tc>
        <w:tc>
          <w:tcPr>
            <w:tcW w:w="1793" w:type="dxa"/>
            <w:gridSpan w:val="2"/>
            <w:vAlign w:val="center"/>
          </w:tcPr>
          <w:p w14:paraId="3CA1CE41" w14:textId="77777777" w:rsidR="003A7721" w:rsidRPr="00BB73F2" w:rsidRDefault="003A7721" w:rsidP="009544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dark1"/>
                <w:kern w:val="24"/>
              </w:rPr>
            </w:pPr>
            <w:r>
              <w:rPr>
                <w:rFonts w:ascii="Arial" w:hAnsi="Arial" w:cs="Arial"/>
                <w:color w:val="000000" w:themeColor="dark1"/>
                <w:kern w:val="24"/>
              </w:rPr>
              <w:t>0.3345</w:t>
            </w:r>
          </w:p>
        </w:tc>
      </w:tr>
      <w:tr w:rsidR="003A7721" w:rsidRPr="00BB73F2" w14:paraId="1B15D14F" w14:textId="77777777" w:rsidTr="0095449C">
        <w:trPr>
          <w:trHeight w:val="62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0B9F1231" w14:textId="77777777" w:rsidR="003A7721" w:rsidRPr="00BB73F2" w:rsidRDefault="003A7721" w:rsidP="0095449C">
            <w:pPr>
              <w:jc w:val="center"/>
              <w:rPr>
                <w:rFonts w:ascii="Arial" w:hAnsi="Arial" w:cs="Arial"/>
                <w:color w:val="000000" w:themeColor="dark1"/>
                <w:kern w:val="24"/>
              </w:rPr>
            </w:pPr>
            <w:r>
              <w:rPr>
                <w:rFonts w:ascii="Arial" w:hAnsi="Arial" w:cs="Arial"/>
                <w:color w:val="000000" w:themeColor="dark1"/>
                <w:kern w:val="24"/>
              </w:rPr>
              <w:t>Agatston CACS (Agatston Units)</w:t>
            </w:r>
          </w:p>
        </w:tc>
        <w:tc>
          <w:tcPr>
            <w:tcW w:w="2268" w:type="dxa"/>
            <w:vAlign w:val="center"/>
          </w:tcPr>
          <w:p w14:paraId="7089968C" w14:textId="77777777" w:rsidR="003A7721" w:rsidRPr="00BB73F2" w:rsidRDefault="003A7721" w:rsidP="009544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dark1"/>
                <w:kern w:val="24"/>
              </w:rPr>
            </w:pPr>
            <w:r>
              <w:rPr>
                <w:rFonts w:ascii="Arial" w:hAnsi="Arial" w:cs="Arial"/>
                <w:color w:val="000000" w:themeColor="dark1"/>
                <w:kern w:val="24"/>
              </w:rPr>
              <w:t>19 [0 to 218]</w:t>
            </w:r>
          </w:p>
        </w:tc>
        <w:tc>
          <w:tcPr>
            <w:tcW w:w="2317" w:type="dxa"/>
            <w:vAlign w:val="center"/>
          </w:tcPr>
          <w:p w14:paraId="69617444" w14:textId="77777777" w:rsidR="003A7721" w:rsidRPr="00BB73F2" w:rsidRDefault="003A7721" w:rsidP="009544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dark1"/>
                <w:kern w:val="24"/>
              </w:rPr>
            </w:pPr>
            <w:r>
              <w:rPr>
                <w:rFonts w:ascii="Arial" w:hAnsi="Arial" w:cs="Arial"/>
                <w:color w:val="000000" w:themeColor="dark1"/>
                <w:kern w:val="24"/>
              </w:rPr>
              <w:t>283 [59 to 1041]</w:t>
            </w:r>
          </w:p>
        </w:tc>
        <w:tc>
          <w:tcPr>
            <w:tcW w:w="1793" w:type="dxa"/>
            <w:gridSpan w:val="2"/>
            <w:vAlign w:val="center"/>
          </w:tcPr>
          <w:p w14:paraId="5AB634D6" w14:textId="77777777" w:rsidR="003A7721" w:rsidRPr="00BB73F2" w:rsidRDefault="003A7721" w:rsidP="009544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dark1"/>
                <w:kern w:val="24"/>
              </w:rPr>
            </w:pPr>
            <w:r>
              <w:rPr>
                <w:rFonts w:ascii="Arial" w:hAnsi="Arial" w:cs="Arial"/>
                <w:color w:val="000000" w:themeColor="dark1"/>
                <w:kern w:val="24"/>
              </w:rPr>
              <w:t>&lt;0.001</w:t>
            </w:r>
          </w:p>
        </w:tc>
      </w:tr>
      <w:tr w:rsidR="003A7721" w:rsidRPr="00BB73F2" w14:paraId="627490CB" w14:textId="77777777" w:rsidTr="0095449C">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2F0B75D4" w14:textId="77777777" w:rsidR="003A7721" w:rsidRDefault="003A7721" w:rsidP="0095449C">
            <w:pPr>
              <w:jc w:val="center"/>
              <w:rPr>
                <w:rFonts w:ascii="Arial" w:hAnsi="Arial" w:cs="Arial"/>
                <w:color w:val="000000" w:themeColor="dark1"/>
                <w:kern w:val="24"/>
              </w:rPr>
            </w:pPr>
            <w:r>
              <w:rPr>
                <w:rFonts w:ascii="Arial" w:hAnsi="Arial" w:cs="Arial"/>
                <w:color w:val="000000" w:themeColor="dark1"/>
                <w:kern w:val="24"/>
              </w:rPr>
              <w:t xml:space="preserve">Obstructive disease </w:t>
            </w:r>
          </w:p>
        </w:tc>
        <w:tc>
          <w:tcPr>
            <w:tcW w:w="2268" w:type="dxa"/>
            <w:vAlign w:val="center"/>
          </w:tcPr>
          <w:p w14:paraId="65B40D58" w14:textId="77777777" w:rsidR="003A7721" w:rsidRPr="00BB73F2" w:rsidRDefault="003A7721" w:rsidP="009544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dark1"/>
                <w:kern w:val="24"/>
              </w:rPr>
            </w:pPr>
            <w:r>
              <w:rPr>
                <w:rFonts w:ascii="Arial" w:hAnsi="Arial" w:cs="Arial"/>
                <w:color w:val="000000" w:themeColor="dark1"/>
                <w:kern w:val="24"/>
              </w:rPr>
              <w:t>416 (25%)</w:t>
            </w:r>
          </w:p>
        </w:tc>
        <w:tc>
          <w:tcPr>
            <w:tcW w:w="2317" w:type="dxa"/>
            <w:vAlign w:val="center"/>
          </w:tcPr>
          <w:p w14:paraId="4770E62C" w14:textId="77777777" w:rsidR="003A7721" w:rsidRPr="00BB73F2" w:rsidRDefault="003A7721" w:rsidP="009544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dark1"/>
                <w:kern w:val="24"/>
              </w:rPr>
            </w:pPr>
            <w:r>
              <w:rPr>
                <w:rFonts w:ascii="Arial" w:hAnsi="Arial" w:cs="Arial"/>
                <w:color w:val="000000" w:themeColor="dark1"/>
                <w:kern w:val="24"/>
              </w:rPr>
              <w:t>19 (51%)</w:t>
            </w:r>
          </w:p>
        </w:tc>
        <w:tc>
          <w:tcPr>
            <w:tcW w:w="1793" w:type="dxa"/>
            <w:gridSpan w:val="2"/>
            <w:vAlign w:val="center"/>
          </w:tcPr>
          <w:p w14:paraId="513B13D4" w14:textId="77777777" w:rsidR="003A7721" w:rsidRPr="00BB73F2" w:rsidRDefault="003A7721" w:rsidP="009544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dark1"/>
                <w:kern w:val="24"/>
              </w:rPr>
            </w:pPr>
            <w:r>
              <w:rPr>
                <w:rFonts w:ascii="Arial" w:hAnsi="Arial" w:cs="Arial"/>
                <w:color w:val="000000" w:themeColor="dark1"/>
                <w:kern w:val="24"/>
              </w:rPr>
              <w:t>&lt;0.001</w:t>
            </w:r>
          </w:p>
        </w:tc>
      </w:tr>
      <w:tr w:rsidR="003A7721" w:rsidRPr="00BB73F2" w14:paraId="75B4DD17" w14:textId="77777777" w:rsidTr="0095449C">
        <w:trPr>
          <w:trHeight w:val="624"/>
        </w:trPr>
        <w:tc>
          <w:tcPr>
            <w:cnfStyle w:val="001000000000" w:firstRow="0" w:lastRow="0" w:firstColumn="1" w:lastColumn="0" w:oddVBand="0" w:evenVBand="0" w:oddHBand="0" w:evenHBand="0" w:firstRowFirstColumn="0" w:firstRowLastColumn="0" w:lastRowFirstColumn="0" w:lastRowLastColumn="0"/>
            <w:tcW w:w="4395" w:type="dxa"/>
            <w:vAlign w:val="center"/>
          </w:tcPr>
          <w:p w14:paraId="2CE3A15A" w14:textId="77777777" w:rsidR="003A7721" w:rsidRDefault="003A7721" w:rsidP="0095449C">
            <w:pPr>
              <w:jc w:val="center"/>
              <w:rPr>
                <w:rFonts w:ascii="Arial" w:hAnsi="Arial" w:cs="Arial"/>
                <w:color w:val="000000" w:themeColor="dark1"/>
                <w:kern w:val="24"/>
              </w:rPr>
            </w:pPr>
            <w:r>
              <w:rPr>
                <w:rFonts w:ascii="Arial" w:hAnsi="Arial" w:cs="Arial"/>
                <w:color w:val="000000" w:themeColor="dark1"/>
                <w:kern w:val="24"/>
              </w:rPr>
              <w:t>Cardiovascular risk score (%)</w:t>
            </w:r>
          </w:p>
        </w:tc>
        <w:tc>
          <w:tcPr>
            <w:tcW w:w="2268" w:type="dxa"/>
            <w:vAlign w:val="center"/>
          </w:tcPr>
          <w:p w14:paraId="33B1B8DC" w14:textId="77777777" w:rsidR="003A7721" w:rsidRPr="00BB73F2" w:rsidRDefault="003A7721" w:rsidP="009544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dark1"/>
                <w:kern w:val="24"/>
              </w:rPr>
            </w:pPr>
            <w:r>
              <w:rPr>
                <w:rFonts w:ascii="Arial" w:hAnsi="Arial" w:cs="Arial"/>
                <w:color w:val="000000" w:themeColor="dark1"/>
                <w:kern w:val="24"/>
              </w:rPr>
              <w:t>18 ± 11</w:t>
            </w:r>
          </w:p>
        </w:tc>
        <w:tc>
          <w:tcPr>
            <w:tcW w:w="2317" w:type="dxa"/>
            <w:vAlign w:val="center"/>
          </w:tcPr>
          <w:p w14:paraId="440DAE7B" w14:textId="77777777" w:rsidR="003A7721" w:rsidRPr="00BB73F2" w:rsidRDefault="003A7721" w:rsidP="009544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dark1"/>
                <w:kern w:val="24"/>
              </w:rPr>
            </w:pPr>
            <w:r>
              <w:rPr>
                <w:rFonts w:ascii="Arial" w:hAnsi="Arial" w:cs="Arial"/>
                <w:color w:val="000000" w:themeColor="dark1"/>
                <w:kern w:val="24"/>
              </w:rPr>
              <w:t>22 ± 12</w:t>
            </w:r>
          </w:p>
        </w:tc>
        <w:tc>
          <w:tcPr>
            <w:tcW w:w="1793" w:type="dxa"/>
            <w:gridSpan w:val="2"/>
            <w:vAlign w:val="center"/>
          </w:tcPr>
          <w:p w14:paraId="5BEB875D" w14:textId="77777777" w:rsidR="003A7721" w:rsidRPr="00BB73F2" w:rsidRDefault="003A7721" w:rsidP="009544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dark1"/>
                <w:kern w:val="24"/>
              </w:rPr>
            </w:pPr>
            <w:r>
              <w:rPr>
                <w:rFonts w:ascii="Arial" w:hAnsi="Arial" w:cs="Arial"/>
                <w:color w:val="000000" w:themeColor="dark1"/>
                <w:kern w:val="24"/>
              </w:rPr>
              <w:t>0.039</w:t>
            </w:r>
          </w:p>
        </w:tc>
      </w:tr>
    </w:tbl>
    <w:p w14:paraId="3692A12F" w14:textId="77777777" w:rsidR="003A7721" w:rsidRDefault="003A7721" w:rsidP="003A7721">
      <w:pPr>
        <w:rPr>
          <w:rFonts w:ascii="Arial" w:hAnsi="Arial" w:cs="Arial"/>
          <w:color w:val="222222"/>
        </w:rPr>
      </w:pPr>
    </w:p>
    <w:p w14:paraId="323E5C38" w14:textId="77777777" w:rsidR="003A7721" w:rsidRPr="002B36DF" w:rsidRDefault="003A7721" w:rsidP="003A7721">
      <w:pPr>
        <w:spacing w:line="480" w:lineRule="auto"/>
        <w:rPr>
          <w:rFonts w:ascii="Arial" w:hAnsi="Arial" w:cs="Arial"/>
          <w:color w:val="000000" w:themeColor="dark1"/>
          <w:kern w:val="24"/>
        </w:rPr>
      </w:pPr>
      <w:r w:rsidRPr="00BB73F2">
        <w:rPr>
          <w:rFonts w:ascii="Arial" w:hAnsi="Arial" w:cs="Arial"/>
          <w:color w:val="000000" w:themeColor="dark1"/>
          <w:kern w:val="24"/>
        </w:rPr>
        <w:t>Median [interquartile interval]</w:t>
      </w:r>
      <w:r>
        <w:rPr>
          <w:rFonts w:ascii="Arial" w:hAnsi="Arial" w:cs="Arial"/>
          <w:color w:val="000000" w:themeColor="dark1"/>
          <w:kern w:val="24"/>
        </w:rPr>
        <w:t>, m</w:t>
      </w:r>
      <w:r w:rsidRPr="00BB73F2">
        <w:rPr>
          <w:rFonts w:ascii="Arial" w:hAnsi="Arial" w:cs="Arial"/>
          <w:color w:val="000000" w:themeColor="dark1"/>
          <w:kern w:val="24"/>
        </w:rPr>
        <w:t xml:space="preserve">ean ± </w:t>
      </w:r>
      <w:r>
        <w:rPr>
          <w:rFonts w:ascii="Arial" w:hAnsi="Arial" w:cs="Arial"/>
          <w:color w:val="000000" w:themeColor="dark1"/>
          <w:kern w:val="24"/>
        </w:rPr>
        <w:t xml:space="preserve">standard deviation or number (%). </w:t>
      </w:r>
    </w:p>
    <w:p w14:paraId="7E614E7C" w14:textId="39C7BFE9" w:rsidR="00623577" w:rsidRDefault="003A7721" w:rsidP="003A7721">
      <w:pPr>
        <w:spacing w:line="480" w:lineRule="auto"/>
        <w:rPr>
          <w:u w:val="single"/>
        </w:rPr>
      </w:pPr>
      <w:r w:rsidRPr="00323593">
        <w:rPr>
          <w:rFonts w:ascii="Arial" w:hAnsi="Arial" w:cs="Arial"/>
          <w:color w:val="000000" w:themeColor="dark1"/>
          <w:kern w:val="24"/>
        </w:rPr>
        <w:t>CACS, coronary artery calcium score</w:t>
      </w:r>
      <w:r>
        <w:rPr>
          <w:rFonts w:ascii="Arial" w:hAnsi="Arial" w:cs="Arial"/>
          <w:color w:val="000000" w:themeColor="dark1"/>
          <w:kern w:val="24"/>
        </w:rPr>
        <w:t xml:space="preserve">; HU, Hounsfield units; </w:t>
      </w:r>
      <w:r w:rsidRPr="00BB73F2">
        <w:rPr>
          <w:rFonts w:ascii="Arial" w:hAnsi="Arial" w:cs="Arial"/>
          <w:color w:val="000000" w:themeColor="dark1"/>
          <w:kern w:val="24"/>
        </w:rPr>
        <w:t>PCAT</w:t>
      </w:r>
      <w:r>
        <w:rPr>
          <w:rFonts w:ascii="Arial" w:hAnsi="Arial" w:cs="Arial"/>
          <w:color w:val="000000" w:themeColor="dark1"/>
          <w:kern w:val="24"/>
        </w:rPr>
        <w:t xml:space="preserve">, </w:t>
      </w:r>
      <w:r w:rsidRPr="00BB73F2">
        <w:rPr>
          <w:rFonts w:ascii="Arial" w:hAnsi="Arial" w:cs="Arial"/>
          <w:color w:val="000000" w:themeColor="dark1"/>
          <w:kern w:val="24"/>
        </w:rPr>
        <w:t>Pericoronary adipose tissue attenuation</w:t>
      </w:r>
      <w:r>
        <w:rPr>
          <w:rFonts w:ascii="Arial" w:hAnsi="Arial" w:cs="Arial"/>
          <w:color w:val="000000" w:themeColor="dark1"/>
          <w:kern w:val="24"/>
        </w:rPr>
        <w:t>.</w:t>
      </w:r>
      <w:r w:rsidRPr="00323593">
        <w:rPr>
          <w:rFonts w:ascii="Arial" w:hAnsi="Arial" w:cs="Arial"/>
          <w:color w:val="000000" w:themeColor="dark1"/>
          <w:kern w:val="24"/>
        </w:rPr>
        <w:br/>
      </w:r>
    </w:p>
    <w:p w14:paraId="0823F556" w14:textId="77777777" w:rsidR="003A7721" w:rsidRDefault="003A7721" w:rsidP="003A7721">
      <w:pPr>
        <w:spacing w:after="160" w:line="259" w:lineRule="auto"/>
        <w:rPr>
          <w:rFonts w:ascii="Arial" w:hAnsi="Arial" w:cs="Arial"/>
          <w:i/>
          <w:iCs/>
          <w:color w:val="000000" w:themeColor="dark1"/>
          <w:kern w:val="24"/>
        </w:rPr>
      </w:pPr>
    </w:p>
    <w:p w14:paraId="79029477" w14:textId="77777777" w:rsidR="003A7721" w:rsidRDefault="003A7721" w:rsidP="003A7721">
      <w:pPr>
        <w:spacing w:after="160" w:line="259" w:lineRule="auto"/>
        <w:rPr>
          <w:rFonts w:ascii="Arial" w:hAnsi="Arial" w:cs="Arial"/>
          <w:i/>
          <w:iCs/>
          <w:color w:val="000000" w:themeColor="dark1"/>
          <w:kern w:val="24"/>
        </w:rPr>
      </w:pPr>
    </w:p>
    <w:p w14:paraId="5BB8316B" w14:textId="380825CB" w:rsidR="003A7721" w:rsidRDefault="003A7721" w:rsidP="003A7721">
      <w:pPr>
        <w:spacing w:after="160" w:line="259" w:lineRule="auto"/>
        <w:rPr>
          <w:rFonts w:ascii="Arial" w:hAnsi="Arial" w:cs="Arial"/>
          <w:i/>
          <w:iCs/>
          <w:color w:val="000000" w:themeColor="dark1"/>
          <w:kern w:val="24"/>
        </w:rPr>
      </w:pPr>
    </w:p>
    <w:p w14:paraId="2B9EA880" w14:textId="00B3027B" w:rsidR="00643093" w:rsidRDefault="00643093" w:rsidP="003A7721">
      <w:pPr>
        <w:spacing w:after="160" w:line="259" w:lineRule="auto"/>
        <w:rPr>
          <w:rFonts w:ascii="Arial" w:hAnsi="Arial" w:cs="Arial"/>
          <w:i/>
          <w:iCs/>
          <w:color w:val="000000" w:themeColor="dark1"/>
          <w:kern w:val="24"/>
        </w:rPr>
      </w:pPr>
    </w:p>
    <w:p w14:paraId="6E72E333" w14:textId="48831669" w:rsidR="00643093" w:rsidRDefault="00643093" w:rsidP="003A7721">
      <w:pPr>
        <w:spacing w:after="160" w:line="259" w:lineRule="auto"/>
        <w:rPr>
          <w:rFonts w:ascii="Arial" w:hAnsi="Arial" w:cs="Arial"/>
          <w:i/>
          <w:iCs/>
          <w:color w:val="000000" w:themeColor="dark1"/>
          <w:kern w:val="24"/>
        </w:rPr>
      </w:pPr>
    </w:p>
    <w:p w14:paraId="67FF9B53" w14:textId="77777777" w:rsidR="00643093" w:rsidRDefault="00643093" w:rsidP="003A7721">
      <w:pPr>
        <w:spacing w:after="160" w:line="259" w:lineRule="auto"/>
        <w:rPr>
          <w:rFonts w:ascii="Arial" w:hAnsi="Arial" w:cs="Arial"/>
          <w:i/>
          <w:iCs/>
          <w:color w:val="000000" w:themeColor="dark1"/>
          <w:kern w:val="24"/>
        </w:rPr>
      </w:pPr>
      <w:bookmarkStart w:id="0" w:name="_GoBack"/>
      <w:bookmarkEnd w:id="0"/>
    </w:p>
    <w:p w14:paraId="6CB4D557" w14:textId="7306820D" w:rsidR="003A7721" w:rsidRPr="002A34B5" w:rsidRDefault="003A7721" w:rsidP="003A7721">
      <w:pPr>
        <w:spacing w:after="160" w:line="259" w:lineRule="auto"/>
        <w:rPr>
          <w:rFonts w:ascii="Arial" w:hAnsi="Arial" w:cs="Arial"/>
          <w:color w:val="000000" w:themeColor="dark1"/>
          <w:kern w:val="24"/>
        </w:rPr>
      </w:pPr>
      <w:r w:rsidRPr="002B36DF">
        <w:rPr>
          <w:rFonts w:ascii="Arial" w:hAnsi="Arial" w:cs="Arial"/>
          <w:i/>
          <w:iCs/>
          <w:color w:val="000000" w:themeColor="dark1"/>
          <w:kern w:val="24"/>
        </w:rPr>
        <w:lastRenderedPageBreak/>
        <w:t xml:space="preserve">Table </w:t>
      </w:r>
      <w:r>
        <w:rPr>
          <w:rFonts w:ascii="Arial" w:hAnsi="Arial" w:cs="Arial"/>
          <w:i/>
          <w:iCs/>
          <w:color w:val="000000" w:themeColor="dark1"/>
          <w:kern w:val="24"/>
        </w:rPr>
        <w:t>2</w:t>
      </w:r>
      <w:r w:rsidRPr="002B36DF">
        <w:rPr>
          <w:rFonts w:ascii="Arial" w:hAnsi="Arial" w:cs="Arial"/>
          <w:i/>
          <w:iCs/>
          <w:color w:val="000000" w:themeColor="dark1"/>
          <w:kern w:val="24"/>
        </w:rPr>
        <w:t>:</w:t>
      </w:r>
      <w:r>
        <w:rPr>
          <w:rFonts w:ascii="Arial" w:hAnsi="Arial" w:cs="Arial"/>
          <w:i/>
          <w:iCs/>
          <w:color w:val="000000" w:themeColor="dark1"/>
          <w:kern w:val="24"/>
        </w:rPr>
        <w:t xml:space="preserve"> Univariable and m</w:t>
      </w:r>
      <w:r w:rsidRPr="002B36DF">
        <w:rPr>
          <w:rFonts w:ascii="Arial" w:hAnsi="Arial" w:cs="Arial"/>
          <w:i/>
          <w:iCs/>
          <w:color w:val="000000" w:themeColor="text1"/>
        </w:rPr>
        <w:t>ultivariable analysis</w:t>
      </w:r>
      <w:r>
        <w:rPr>
          <w:rFonts w:ascii="Arial" w:hAnsi="Arial" w:cs="Arial"/>
          <w:i/>
          <w:iCs/>
          <w:color w:val="000000" w:themeColor="text1"/>
        </w:rPr>
        <w:t xml:space="preserve"> for the prediction of myocardial infarction</w:t>
      </w:r>
    </w:p>
    <w:tbl>
      <w:tblPr>
        <w:tblStyle w:val="TableGrid"/>
        <w:tblW w:w="10201" w:type="dxa"/>
        <w:tblLook w:val="04A0" w:firstRow="1" w:lastRow="0" w:firstColumn="1" w:lastColumn="0" w:noHBand="0" w:noVBand="1"/>
      </w:tblPr>
      <w:tblGrid>
        <w:gridCol w:w="2972"/>
        <w:gridCol w:w="1985"/>
        <w:gridCol w:w="1701"/>
        <w:gridCol w:w="2126"/>
        <w:gridCol w:w="1417"/>
      </w:tblGrid>
      <w:tr w:rsidR="003A7721" w14:paraId="759D7A42" w14:textId="77777777" w:rsidTr="0095449C">
        <w:tc>
          <w:tcPr>
            <w:tcW w:w="2972" w:type="dxa"/>
            <w:vMerge w:val="restart"/>
          </w:tcPr>
          <w:p w14:paraId="70696184" w14:textId="77777777" w:rsidR="003A7721" w:rsidRPr="0057281A" w:rsidRDefault="003A7721" w:rsidP="0095449C">
            <w:pPr>
              <w:spacing w:line="360" w:lineRule="auto"/>
              <w:rPr>
                <w:rFonts w:ascii="Arial" w:hAnsi="Arial" w:cs="Arial"/>
                <w:color w:val="000000" w:themeColor="text1"/>
              </w:rPr>
            </w:pPr>
          </w:p>
        </w:tc>
        <w:tc>
          <w:tcPr>
            <w:tcW w:w="3686" w:type="dxa"/>
            <w:gridSpan w:val="2"/>
          </w:tcPr>
          <w:p w14:paraId="15CEE8FC" w14:textId="77777777" w:rsidR="003A7721" w:rsidRPr="0057281A" w:rsidRDefault="003A7721" w:rsidP="0095449C">
            <w:pPr>
              <w:spacing w:line="360" w:lineRule="auto"/>
              <w:jc w:val="center"/>
              <w:rPr>
                <w:rFonts w:ascii="Arial" w:hAnsi="Arial" w:cs="Arial"/>
                <w:color w:val="000000" w:themeColor="text1"/>
              </w:rPr>
            </w:pPr>
            <w:r w:rsidRPr="0057281A">
              <w:rPr>
                <w:rFonts w:ascii="Arial" w:hAnsi="Arial" w:cs="Arial"/>
                <w:color w:val="000000" w:themeColor="text1"/>
              </w:rPr>
              <w:t>Univariable</w:t>
            </w:r>
          </w:p>
        </w:tc>
        <w:tc>
          <w:tcPr>
            <w:tcW w:w="3543" w:type="dxa"/>
            <w:gridSpan w:val="2"/>
          </w:tcPr>
          <w:p w14:paraId="3DCCD1E8" w14:textId="77777777" w:rsidR="003A7721" w:rsidRPr="0057281A" w:rsidRDefault="003A7721" w:rsidP="0095449C">
            <w:pPr>
              <w:spacing w:line="360" w:lineRule="auto"/>
              <w:jc w:val="center"/>
              <w:rPr>
                <w:rFonts w:ascii="Arial" w:hAnsi="Arial" w:cs="Arial"/>
                <w:color w:val="000000" w:themeColor="text1"/>
              </w:rPr>
            </w:pPr>
            <w:r w:rsidRPr="0057281A">
              <w:rPr>
                <w:rFonts w:ascii="Arial" w:hAnsi="Arial" w:cs="Arial"/>
                <w:color w:val="000000" w:themeColor="text1"/>
              </w:rPr>
              <w:t>Multivariable</w:t>
            </w:r>
            <w:r>
              <w:rPr>
                <w:rFonts w:ascii="Arial" w:hAnsi="Arial" w:cs="Arial"/>
                <w:color w:val="000000" w:themeColor="text1"/>
              </w:rPr>
              <w:t xml:space="preserve"> </w:t>
            </w:r>
            <w:r w:rsidRPr="002F5B4D">
              <w:rPr>
                <w:rFonts w:ascii="Arial" w:hAnsi="Arial" w:cs="Arial"/>
                <w:color w:val="000000" w:themeColor="text1"/>
                <w:kern w:val="24"/>
                <w:vertAlign w:val="superscript"/>
              </w:rPr>
              <w:t>#</w:t>
            </w:r>
          </w:p>
        </w:tc>
      </w:tr>
      <w:tr w:rsidR="003A7721" w14:paraId="7DC0A2D5" w14:textId="77777777" w:rsidTr="0095449C">
        <w:tc>
          <w:tcPr>
            <w:tcW w:w="2972" w:type="dxa"/>
            <w:vMerge/>
          </w:tcPr>
          <w:p w14:paraId="35683308" w14:textId="77777777" w:rsidR="003A7721" w:rsidRPr="0057281A" w:rsidRDefault="003A7721" w:rsidP="0095449C">
            <w:pPr>
              <w:spacing w:line="360" w:lineRule="auto"/>
              <w:rPr>
                <w:rFonts w:ascii="Arial" w:hAnsi="Arial" w:cs="Arial"/>
                <w:color w:val="000000" w:themeColor="text1"/>
              </w:rPr>
            </w:pPr>
          </w:p>
        </w:tc>
        <w:tc>
          <w:tcPr>
            <w:tcW w:w="1985" w:type="dxa"/>
          </w:tcPr>
          <w:p w14:paraId="797A99E3" w14:textId="77777777" w:rsidR="003A7721" w:rsidRPr="0057281A" w:rsidRDefault="003A7721" w:rsidP="0095449C">
            <w:pPr>
              <w:spacing w:line="360" w:lineRule="auto"/>
              <w:jc w:val="center"/>
              <w:rPr>
                <w:rFonts w:ascii="Arial" w:hAnsi="Arial" w:cs="Arial"/>
                <w:color w:val="000000" w:themeColor="text1"/>
              </w:rPr>
            </w:pPr>
            <w:r w:rsidRPr="0057281A">
              <w:rPr>
                <w:rFonts w:ascii="Arial" w:hAnsi="Arial" w:cs="Arial"/>
                <w:color w:val="000000" w:themeColor="text1"/>
              </w:rPr>
              <w:t>HR (95% CI)</w:t>
            </w:r>
          </w:p>
        </w:tc>
        <w:tc>
          <w:tcPr>
            <w:tcW w:w="1701" w:type="dxa"/>
          </w:tcPr>
          <w:p w14:paraId="6F6E8D74" w14:textId="77777777" w:rsidR="003A7721" w:rsidRPr="0057281A" w:rsidRDefault="003A7721" w:rsidP="0095449C">
            <w:pPr>
              <w:spacing w:line="360" w:lineRule="auto"/>
              <w:jc w:val="center"/>
              <w:rPr>
                <w:rFonts w:ascii="Arial" w:hAnsi="Arial" w:cs="Arial"/>
                <w:color w:val="000000" w:themeColor="text1"/>
              </w:rPr>
            </w:pPr>
            <w:r w:rsidRPr="0057281A">
              <w:rPr>
                <w:rFonts w:ascii="Arial" w:hAnsi="Arial" w:cs="Arial"/>
                <w:color w:val="000000" w:themeColor="text1"/>
              </w:rPr>
              <w:t>P value</w:t>
            </w:r>
          </w:p>
        </w:tc>
        <w:tc>
          <w:tcPr>
            <w:tcW w:w="2126" w:type="dxa"/>
          </w:tcPr>
          <w:p w14:paraId="7F357BDF" w14:textId="77777777" w:rsidR="003A7721" w:rsidRPr="0057281A" w:rsidRDefault="003A7721" w:rsidP="0095449C">
            <w:pPr>
              <w:spacing w:line="360" w:lineRule="auto"/>
              <w:jc w:val="center"/>
              <w:rPr>
                <w:rFonts w:ascii="Arial" w:hAnsi="Arial" w:cs="Arial"/>
                <w:color w:val="000000" w:themeColor="text1"/>
              </w:rPr>
            </w:pPr>
            <w:r w:rsidRPr="0057281A">
              <w:rPr>
                <w:rFonts w:ascii="Arial" w:hAnsi="Arial" w:cs="Arial"/>
                <w:color w:val="000000" w:themeColor="text1"/>
              </w:rPr>
              <w:t>HR (95% CI)</w:t>
            </w:r>
          </w:p>
        </w:tc>
        <w:tc>
          <w:tcPr>
            <w:tcW w:w="1417" w:type="dxa"/>
          </w:tcPr>
          <w:p w14:paraId="41DE0708" w14:textId="77777777" w:rsidR="003A7721" w:rsidRPr="0057281A" w:rsidRDefault="003A7721" w:rsidP="0095449C">
            <w:pPr>
              <w:spacing w:line="360" w:lineRule="auto"/>
              <w:jc w:val="center"/>
              <w:rPr>
                <w:rFonts w:ascii="Arial" w:hAnsi="Arial" w:cs="Arial"/>
                <w:color w:val="000000" w:themeColor="text1"/>
              </w:rPr>
            </w:pPr>
            <w:r w:rsidRPr="0057281A">
              <w:rPr>
                <w:rFonts w:ascii="Arial" w:hAnsi="Arial" w:cs="Arial"/>
                <w:color w:val="000000" w:themeColor="text1"/>
              </w:rPr>
              <w:t>P value</w:t>
            </w:r>
          </w:p>
        </w:tc>
      </w:tr>
      <w:tr w:rsidR="003A7721" w14:paraId="0AF5A348" w14:textId="77777777" w:rsidTr="0095449C">
        <w:tc>
          <w:tcPr>
            <w:tcW w:w="2972" w:type="dxa"/>
          </w:tcPr>
          <w:p w14:paraId="6233B8EB" w14:textId="77777777" w:rsidR="003A7721" w:rsidRPr="0057281A" w:rsidRDefault="003A7721" w:rsidP="0095449C">
            <w:pPr>
              <w:spacing w:line="360" w:lineRule="auto"/>
              <w:rPr>
                <w:rFonts w:ascii="Arial" w:hAnsi="Arial" w:cs="Arial"/>
                <w:color w:val="000000" w:themeColor="text1"/>
              </w:rPr>
            </w:pPr>
            <w:r w:rsidRPr="00097861">
              <w:rPr>
                <w:rFonts w:ascii="Arial" w:hAnsi="Arial" w:cs="Arial"/>
                <w:color w:val="000000" w:themeColor="text1"/>
                <w:kern w:val="24"/>
              </w:rPr>
              <w:t>Total plaque burden*</w:t>
            </w:r>
          </w:p>
        </w:tc>
        <w:tc>
          <w:tcPr>
            <w:tcW w:w="1985" w:type="dxa"/>
          </w:tcPr>
          <w:p w14:paraId="7549ECCE" w14:textId="77777777" w:rsidR="003A7721" w:rsidRPr="00C13A76" w:rsidRDefault="003A7721" w:rsidP="0095449C">
            <w:pPr>
              <w:spacing w:line="360" w:lineRule="auto"/>
              <w:jc w:val="center"/>
              <w:rPr>
                <w:rFonts w:ascii="Arial" w:hAnsi="Arial" w:cs="Arial"/>
                <w:color w:val="000000" w:themeColor="text1"/>
              </w:rPr>
            </w:pPr>
            <w:r w:rsidRPr="00C13A76">
              <w:rPr>
                <w:rFonts w:ascii="Arial" w:hAnsi="Arial" w:cs="Arial"/>
                <w:color w:val="000000" w:themeColor="text1"/>
                <w:kern w:val="24"/>
              </w:rPr>
              <w:t>1.44 (1.15-1.18)</w:t>
            </w:r>
          </w:p>
        </w:tc>
        <w:tc>
          <w:tcPr>
            <w:tcW w:w="1701" w:type="dxa"/>
          </w:tcPr>
          <w:p w14:paraId="300E8815" w14:textId="77777777" w:rsidR="003A7721" w:rsidRPr="00C13A76" w:rsidRDefault="003A7721" w:rsidP="0095449C">
            <w:pPr>
              <w:spacing w:line="360" w:lineRule="auto"/>
              <w:jc w:val="center"/>
              <w:rPr>
                <w:rFonts w:ascii="Arial" w:hAnsi="Arial" w:cs="Arial"/>
                <w:color w:val="000000" w:themeColor="text1"/>
              </w:rPr>
            </w:pPr>
            <w:r w:rsidRPr="00C13A76">
              <w:rPr>
                <w:rFonts w:ascii="Arial" w:hAnsi="Arial" w:cs="Arial"/>
                <w:color w:val="000000" w:themeColor="text1"/>
                <w:kern w:val="24"/>
              </w:rPr>
              <w:t>&lt;0.0001</w:t>
            </w:r>
          </w:p>
        </w:tc>
        <w:tc>
          <w:tcPr>
            <w:tcW w:w="2126" w:type="dxa"/>
          </w:tcPr>
          <w:p w14:paraId="3887612D" w14:textId="77777777" w:rsidR="003A7721" w:rsidRPr="00C13A76" w:rsidRDefault="003A7721" w:rsidP="0095449C">
            <w:pPr>
              <w:spacing w:line="360" w:lineRule="auto"/>
              <w:jc w:val="center"/>
              <w:rPr>
                <w:rFonts w:ascii="Arial" w:hAnsi="Arial" w:cs="Arial"/>
                <w:color w:val="000000" w:themeColor="text1"/>
              </w:rPr>
            </w:pPr>
            <w:r w:rsidRPr="00C13A76">
              <w:rPr>
                <w:rFonts w:ascii="Arial" w:hAnsi="Arial" w:cs="Arial"/>
              </w:rPr>
              <w:t>1.33 (0.97-1.82)</w:t>
            </w:r>
          </w:p>
        </w:tc>
        <w:tc>
          <w:tcPr>
            <w:tcW w:w="1417" w:type="dxa"/>
          </w:tcPr>
          <w:p w14:paraId="3CA7C321" w14:textId="77777777" w:rsidR="003A7721" w:rsidRPr="00C13A76" w:rsidRDefault="003A7721" w:rsidP="0095449C">
            <w:pPr>
              <w:spacing w:line="360" w:lineRule="auto"/>
              <w:jc w:val="center"/>
              <w:rPr>
                <w:rFonts w:ascii="Arial" w:hAnsi="Arial" w:cs="Arial"/>
                <w:color w:val="000000" w:themeColor="text1"/>
              </w:rPr>
            </w:pPr>
            <w:r w:rsidRPr="00C13A76">
              <w:rPr>
                <w:rFonts w:ascii="Arial" w:hAnsi="Arial" w:cs="Arial"/>
              </w:rPr>
              <w:t>0.072</w:t>
            </w:r>
            <w:r>
              <w:rPr>
                <w:rFonts w:ascii="Arial" w:hAnsi="Arial" w:cs="Arial"/>
              </w:rPr>
              <w:t>0</w:t>
            </w:r>
          </w:p>
        </w:tc>
      </w:tr>
      <w:tr w:rsidR="003A7721" w14:paraId="194983A9" w14:textId="77777777" w:rsidTr="0095449C">
        <w:tc>
          <w:tcPr>
            <w:tcW w:w="2972" w:type="dxa"/>
          </w:tcPr>
          <w:p w14:paraId="0C85AFEA" w14:textId="77777777" w:rsidR="003A7721" w:rsidRPr="0057281A" w:rsidRDefault="003A7721" w:rsidP="0095449C">
            <w:pPr>
              <w:spacing w:line="360" w:lineRule="auto"/>
              <w:rPr>
                <w:rFonts w:ascii="Arial" w:hAnsi="Arial" w:cs="Arial"/>
                <w:color w:val="000000" w:themeColor="text1"/>
              </w:rPr>
            </w:pPr>
            <w:r w:rsidRPr="00097861">
              <w:rPr>
                <w:rFonts w:ascii="Arial" w:hAnsi="Arial" w:cs="Arial"/>
                <w:color w:val="000000" w:themeColor="text1"/>
                <w:kern w:val="24"/>
              </w:rPr>
              <w:t>NCP burden*</w:t>
            </w:r>
          </w:p>
        </w:tc>
        <w:tc>
          <w:tcPr>
            <w:tcW w:w="1985" w:type="dxa"/>
          </w:tcPr>
          <w:p w14:paraId="7FBA64AB" w14:textId="77777777" w:rsidR="003A7721" w:rsidRPr="00C13A76" w:rsidRDefault="003A7721" w:rsidP="0095449C">
            <w:pPr>
              <w:spacing w:line="360" w:lineRule="auto"/>
              <w:jc w:val="center"/>
              <w:rPr>
                <w:rFonts w:ascii="Arial" w:hAnsi="Arial" w:cs="Arial"/>
                <w:color w:val="000000" w:themeColor="text1"/>
              </w:rPr>
            </w:pPr>
            <w:r w:rsidRPr="00C13A76">
              <w:rPr>
                <w:rFonts w:ascii="Arial" w:hAnsi="Arial" w:cs="Arial"/>
                <w:color w:val="000000" w:themeColor="text1"/>
                <w:kern w:val="24"/>
              </w:rPr>
              <w:t>1.41 (1.14-1.75)</w:t>
            </w:r>
          </w:p>
        </w:tc>
        <w:tc>
          <w:tcPr>
            <w:tcW w:w="1701" w:type="dxa"/>
          </w:tcPr>
          <w:p w14:paraId="2CB4EAF5" w14:textId="77777777" w:rsidR="003A7721" w:rsidRPr="00C13A76" w:rsidRDefault="003A7721" w:rsidP="0095449C">
            <w:pPr>
              <w:spacing w:line="360" w:lineRule="auto"/>
              <w:jc w:val="center"/>
              <w:rPr>
                <w:rFonts w:ascii="Arial" w:hAnsi="Arial" w:cs="Arial"/>
                <w:color w:val="000000" w:themeColor="text1"/>
              </w:rPr>
            </w:pPr>
            <w:r w:rsidRPr="00C13A76">
              <w:rPr>
                <w:rFonts w:ascii="Arial" w:hAnsi="Arial" w:cs="Arial"/>
                <w:color w:val="000000" w:themeColor="text1"/>
                <w:kern w:val="24"/>
              </w:rPr>
              <w:t>&lt;0.0001</w:t>
            </w:r>
          </w:p>
        </w:tc>
        <w:tc>
          <w:tcPr>
            <w:tcW w:w="2126" w:type="dxa"/>
          </w:tcPr>
          <w:p w14:paraId="33A69624" w14:textId="77777777" w:rsidR="003A7721" w:rsidRPr="00C13A76" w:rsidRDefault="003A7721" w:rsidP="0095449C">
            <w:pPr>
              <w:spacing w:line="360" w:lineRule="auto"/>
              <w:jc w:val="center"/>
              <w:rPr>
                <w:rFonts w:ascii="Arial" w:hAnsi="Arial" w:cs="Arial"/>
                <w:color w:val="000000" w:themeColor="text1"/>
              </w:rPr>
            </w:pPr>
            <w:r w:rsidRPr="00C13A76">
              <w:rPr>
                <w:rFonts w:ascii="Arial" w:hAnsi="Arial" w:cs="Arial"/>
              </w:rPr>
              <w:t>1.30 (0.96-1.75)</w:t>
            </w:r>
          </w:p>
        </w:tc>
        <w:tc>
          <w:tcPr>
            <w:tcW w:w="1417" w:type="dxa"/>
          </w:tcPr>
          <w:p w14:paraId="18DAB474" w14:textId="77777777" w:rsidR="003A7721" w:rsidRPr="00C13A76" w:rsidRDefault="003A7721" w:rsidP="0095449C">
            <w:pPr>
              <w:spacing w:line="360" w:lineRule="auto"/>
              <w:jc w:val="center"/>
              <w:rPr>
                <w:rFonts w:ascii="Arial" w:hAnsi="Arial" w:cs="Arial"/>
                <w:color w:val="000000" w:themeColor="text1"/>
              </w:rPr>
            </w:pPr>
            <w:r w:rsidRPr="00C13A76">
              <w:rPr>
                <w:rFonts w:ascii="Arial" w:hAnsi="Arial" w:cs="Arial"/>
              </w:rPr>
              <w:t>0.088</w:t>
            </w:r>
            <w:r>
              <w:rPr>
                <w:rFonts w:ascii="Arial" w:hAnsi="Arial" w:cs="Arial"/>
              </w:rPr>
              <w:t>3</w:t>
            </w:r>
          </w:p>
        </w:tc>
      </w:tr>
      <w:tr w:rsidR="003A7721" w14:paraId="374FB128" w14:textId="77777777" w:rsidTr="0095449C">
        <w:tc>
          <w:tcPr>
            <w:tcW w:w="2972" w:type="dxa"/>
          </w:tcPr>
          <w:p w14:paraId="344CA2BE" w14:textId="77777777" w:rsidR="003A7721" w:rsidRDefault="003A7721" w:rsidP="0095449C">
            <w:pPr>
              <w:spacing w:line="360" w:lineRule="auto"/>
              <w:rPr>
                <w:rFonts w:ascii="Arial" w:hAnsi="Arial" w:cs="Arial"/>
                <w:i/>
                <w:iCs/>
                <w:color w:val="000000" w:themeColor="text1"/>
              </w:rPr>
            </w:pPr>
            <w:r>
              <w:rPr>
                <w:rFonts w:ascii="Arial" w:hAnsi="Arial" w:cs="Arial"/>
                <w:color w:val="000000" w:themeColor="text1"/>
                <w:kern w:val="24"/>
              </w:rPr>
              <w:t>LAP</w:t>
            </w:r>
            <w:r w:rsidRPr="00A80D16">
              <w:rPr>
                <w:rFonts w:ascii="Arial" w:hAnsi="Arial" w:cs="Arial"/>
                <w:color w:val="000000" w:themeColor="text1"/>
                <w:kern w:val="24"/>
              </w:rPr>
              <w:t xml:space="preserve"> burden*</w:t>
            </w:r>
          </w:p>
        </w:tc>
        <w:tc>
          <w:tcPr>
            <w:tcW w:w="1985" w:type="dxa"/>
          </w:tcPr>
          <w:p w14:paraId="7B0C1D46" w14:textId="77777777" w:rsidR="003A7721" w:rsidRPr="00C13A76" w:rsidRDefault="003A7721" w:rsidP="0095449C">
            <w:pPr>
              <w:spacing w:line="360" w:lineRule="auto"/>
              <w:jc w:val="center"/>
              <w:rPr>
                <w:rFonts w:ascii="Arial" w:hAnsi="Arial" w:cs="Arial"/>
                <w:i/>
                <w:iCs/>
                <w:color w:val="000000" w:themeColor="text1"/>
              </w:rPr>
            </w:pPr>
            <w:r w:rsidRPr="00C13A76">
              <w:rPr>
                <w:rFonts w:ascii="Arial" w:hAnsi="Arial" w:cs="Arial"/>
                <w:color w:val="000000" w:themeColor="text1"/>
                <w:kern w:val="24"/>
              </w:rPr>
              <w:t>1.87 (1.36-2.57)</w:t>
            </w:r>
          </w:p>
        </w:tc>
        <w:tc>
          <w:tcPr>
            <w:tcW w:w="1701" w:type="dxa"/>
          </w:tcPr>
          <w:p w14:paraId="1ACC06DC" w14:textId="77777777" w:rsidR="003A7721" w:rsidRPr="00C13A76" w:rsidRDefault="003A7721" w:rsidP="0095449C">
            <w:pPr>
              <w:spacing w:line="360" w:lineRule="auto"/>
              <w:jc w:val="center"/>
              <w:rPr>
                <w:rFonts w:ascii="Arial" w:hAnsi="Arial" w:cs="Arial"/>
                <w:i/>
                <w:iCs/>
                <w:color w:val="000000" w:themeColor="text1"/>
              </w:rPr>
            </w:pPr>
            <w:r w:rsidRPr="00C13A76">
              <w:rPr>
                <w:rFonts w:ascii="Arial" w:hAnsi="Arial" w:cs="Arial"/>
                <w:color w:val="000000" w:themeColor="text1"/>
                <w:kern w:val="24"/>
              </w:rPr>
              <w:t>&lt;0.0001</w:t>
            </w:r>
          </w:p>
        </w:tc>
        <w:tc>
          <w:tcPr>
            <w:tcW w:w="2126" w:type="dxa"/>
          </w:tcPr>
          <w:p w14:paraId="202FE64A" w14:textId="77777777" w:rsidR="003A7721" w:rsidRPr="00F42C1D" w:rsidRDefault="003A7721" w:rsidP="0095449C">
            <w:pPr>
              <w:spacing w:line="360" w:lineRule="auto"/>
              <w:jc w:val="center"/>
              <w:rPr>
                <w:rFonts w:ascii="Arial" w:hAnsi="Arial" w:cs="Arial"/>
                <w:b/>
                <w:i/>
                <w:iCs/>
                <w:color w:val="000000" w:themeColor="text1"/>
              </w:rPr>
            </w:pPr>
            <w:r w:rsidRPr="00F42C1D">
              <w:rPr>
                <w:rFonts w:ascii="Arial" w:hAnsi="Arial" w:cs="Arial"/>
                <w:b/>
              </w:rPr>
              <w:t>1.80 (1.16-2.80)</w:t>
            </w:r>
          </w:p>
        </w:tc>
        <w:tc>
          <w:tcPr>
            <w:tcW w:w="1417" w:type="dxa"/>
          </w:tcPr>
          <w:p w14:paraId="68A2597B" w14:textId="77777777" w:rsidR="003A7721" w:rsidRPr="00F42C1D" w:rsidRDefault="003A7721" w:rsidP="0095449C">
            <w:pPr>
              <w:spacing w:line="360" w:lineRule="auto"/>
              <w:jc w:val="center"/>
              <w:rPr>
                <w:rFonts w:ascii="Arial" w:hAnsi="Arial" w:cs="Arial"/>
                <w:b/>
                <w:i/>
                <w:iCs/>
                <w:color w:val="000000" w:themeColor="text1"/>
              </w:rPr>
            </w:pPr>
            <w:r w:rsidRPr="00F42C1D">
              <w:rPr>
                <w:rFonts w:ascii="Arial" w:hAnsi="Arial" w:cs="Arial"/>
                <w:b/>
              </w:rPr>
              <w:t>0.009</w:t>
            </w:r>
          </w:p>
        </w:tc>
      </w:tr>
      <w:tr w:rsidR="003A7721" w14:paraId="5870F2CC" w14:textId="77777777" w:rsidTr="0095449C">
        <w:tc>
          <w:tcPr>
            <w:tcW w:w="2972" w:type="dxa"/>
          </w:tcPr>
          <w:p w14:paraId="074C0D79" w14:textId="77777777" w:rsidR="003A7721" w:rsidRDefault="003A7721" w:rsidP="0095449C">
            <w:pPr>
              <w:spacing w:line="360" w:lineRule="auto"/>
              <w:rPr>
                <w:rFonts w:ascii="Arial" w:hAnsi="Arial" w:cs="Arial"/>
                <w:i/>
                <w:iCs/>
                <w:color w:val="000000" w:themeColor="text1"/>
              </w:rPr>
            </w:pPr>
            <w:r w:rsidRPr="00A80D16">
              <w:rPr>
                <w:rFonts w:ascii="Arial" w:hAnsi="Arial" w:cs="Arial"/>
                <w:color w:val="000000" w:themeColor="text1"/>
                <w:kern w:val="24"/>
              </w:rPr>
              <w:t>CP burden*</w:t>
            </w:r>
          </w:p>
        </w:tc>
        <w:tc>
          <w:tcPr>
            <w:tcW w:w="1985" w:type="dxa"/>
          </w:tcPr>
          <w:p w14:paraId="0BAD8871" w14:textId="77777777" w:rsidR="003A7721" w:rsidRPr="00C13A76" w:rsidRDefault="003A7721" w:rsidP="0095449C">
            <w:pPr>
              <w:spacing w:line="360" w:lineRule="auto"/>
              <w:jc w:val="center"/>
              <w:rPr>
                <w:rFonts w:ascii="Arial" w:hAnsi="Arial" w:cs="Arial"/>
                <w:i/>
                <w:iCs/>
                <w:color w:val="000000" w:themeColor="text1"/>
              </w:rPr>
            </w:pPr>
            <w:r w:rsidRPr="00C13A76">
              <w:rPr>
                <w:rFonts w:ascii="Arial" w:hAnsi="Arial" w:cs="Arial"/>
                <w:color w:val="000000" w:themeColor="text1"/>
                <w:kern w:val="24"/>
              </w:rPr>
              <w:t>1.70 (1.26-2.12)</w:t>
            </w:r>
          </w:p>
        </w:tc>
        <w:tc>
          <w:tcPr>
            <w:tcW w:w="1701" w:type="dxa"/>
          </w:tcPr>
          <w:p w14:paraId="1B581458" w14:textId="77777777" w:rsidR="003A7721" w:rsidRPr="00C13A76" w:rsidRDefault="003A7721" w:rsidP="0095449C">
            <w:pPr>
              <w:spacing w:line="360" w:lineRule="auto"/>
              <w:jc w:val="center"/>
              <w:rPr>
                <w:rFonts w:ascii="Arial" w:hAnsi="Arial" w:cs="Arial"/>
                <w:i/>
                <w:iCs/>
                <w:color w:val="000000" w:themeColor="text1"/>
              </w:rPr>
            </w:pPr>
            <w:r w:rsidRPr="00C13A76">
              <w:rPr>
                <w:rFonts w:ascii="Arial" w:hAnsi="Arial" w:cs="Arial"/>
                <w:color w:val="000000" w:themeColor="text1"/>
                <w:kern w:val="24"/>
              </w:rPr>
              <w:t>&lt;0.0001</w:t>
            </w:r>
          </w:p>
        </w:tc>
        <w:tc>
          <w:tcPr>
            <w:tcW w:w="2126" w:type="dxa"/>
          </w:tcPr>
          <w:p w14:paraId="1D113DC7" w14:textId="77777777" w:rsidR="003A7721" w:rsidRPr="00C13A76" w:rsidRDefault="003A7721" w:rsidP="0095449C">
            <w:pPr>
              <w:spacing w:line="360" w:lineRule="auto"/>
              <w:jc w:val="center"/>
              <w:rPr>
                <w:rFonts w:ascii="Arial" w:hAnsi="Arial" w:cs="Arial"/>
                <w:i/>
                <w:iCs/>
                <w:color w:val="000000" w:themeColor="text1"/>
              </w:rPr>
            </w:pPr>
            <w:r w:rsidRPr="00C13A76">
              <w:rPr>
                <w:rFonts w:ascii="Arial" w:hAnsi="Arial" w:cs="Arial"/>
              </w:rPr>
              <w:t>1.55 (0.92-2.63)</w:t>
            </w:r>
          </w:p>
        </w:tc>
        <w:tc>
          <w:tcPr>
            <w:tcW w:w="1417" w:type="dxa"/>
          </w:tcPr>
          <w:p w14:paraId="397BAB8C" w14:textId="77777777" w:rsidR="003A7721" w:rsidRPr="00C13A76" w:rsidRDefault="003A7721" w:rsidP="0095449C">
            <w:pPr>
              <w:spacing w:line="360" w:lineRule="auto"/>
              <w:jc w:val="center"/>
              <w:rPr>
                <w:rFonts w:ascii="Arial" w:hAnsi="Arial" w:cs="Arial"/>
                <w:i/>
                <w:iCs/>
                <w:color w:val="000000" w:themeColor="text1"/>
              </w:rPr>
            </w:pPr>
            <w:r w:rsidRPr="00C13A76">
              <w:rPr>
                <w:rFonts w:ascii="Arial" w:hAnsi="Arial" w:cs="Arial"/>
              </w:rPr>
              <w:t>0.102</w:t>
            </w:r>
            <w:r>
              <w:rPr>
                <w:rFonts w:ascii="Arial" w:hAnsi="Arial" w:cs="Arial"/>
              </w:rPr>
              <w:t>1</w:t>
            </w:r>
          </w:p>
        </w:tc>
      </w:tr>
      <w:tr w:rsidR="003A7721" w14:paraId="44B1ADE1" w14:textId="77777777" w:rsidTr="0095449C">
        <w:tc>
          <w:tcPr>
            <w:tcW w:w="2972" w:type="dxa"/>
          </w:tcPr>
          <w:p w14:paraId="001F6D41" w14:textId="77777777" w:rsidR="003A7721" w:rsidRDefault="003A7721" w:rsidP="0095449C">
            <w:pPr>
              <w:spacing w:line="360" w:lineRule="auto"/>
              <w:rPr>
                <w:rFonts w:ascii="Arial" w:hAnsi="Arial" w:cs="Arial"/>
                <w:i/>
                <w:iCs/>
                <w:color w:val="000000" w:themeColor="text1"/>
              </w:rPr>
            </w:pPr>
            <w:r w:rsidRPr="00A80D16">
              <w:rPr>
                <w:rFonts w:ascii="Arial" w:hAnsi="Arial" w:cs="Arial"/>
                <w:color w:val="000000" w:themeColor="text1"/>
                <w:kern w:val="24"/>
              </w:rPr>
              <w:t>PCAT</w:t>
            </w:r>
            <w:r>
              <w:rPr>
                <w:rFonts w:ascii="Arial" w:hAnsi="Arial" w:cs="Arial"/>
                <w:color w:val="000000" w:themeColor="text1"/>
                <w:kern w:val="24"/>
              </w:rPr>
              <w:t>-</w:t>
            </w:r>
            <w:r w:rsidRPr="00A80D16">
              <w:rPr>
                <w:rFonts w:ascii="Arial" w:hAnsi="Arial" w:cs="Arial"/>
                <w:color w:val="000000" w:themeColor="text1"/>
                <w:kern w:val="24"/>
              </w:rPr>
              <w:t>RCA</w:t>
            </w:r>
            <w:r>
              <w:rPr>
                <w:rFonts w:ascii="Arial" w:hAnsi="Arial" w:cs="Arial"/>
                <w:color w:val="000000" w:themeColor="text1"/>
                <w:kern w:val="24"/>
                <w:vertAlign w:val="superscript"/>
              </w:rPr>
              <w:t>§</w:t>
            </w:r>
          </w:p>
        </w:tc>
        <w:tc>
          <w:tcPr>
            <w:tcW w:w="1985" w:type="dxa"/>
          </w:tcPr>
          <w:p w14:paraId="50AF14BA" w14:textId="77777777" w:rsidR="003A7721" w:rsidRPr="00C13A76" w:rsidRDefault="003A7721" w:rsidP="0095449C">
            <w:pPr>
              <w:spacing w:line="360" w:lineRule="auto"/>
              <w:jc w:val="center"/>
              <w:rPr>
                <w:rFonts w:ascii="Arial" w:hAnsi="Arial" w:cs="Arial"/>
                <w:i/>
                <w:iCs/>
                <w:color w:val="000000" w:themeColor="text1"/>
              </w:rPr>
            </w:pPr>
            <w:r w:rsidRPr="00C13A76">
              <w:rPr>
                <w:rFonts w:ascii="Arial" w:hAnsi="Arial" w:cs="Arial"/>
                <w:color w:val="000000" w:themeColor="text1"/>
                <w:kern w:val="24"/>
              </w:rPr>
              <w:t>1.55 (1.08-2.22)</w:t>
            </w:r>
          </w:p>
        </w:tc>
        <w:tc>
          <w:tcPr>
            <w:tcW w:w="1701" w:type="dxa"/>
          </w:tcPr>
          <w:p w14:paraId="67BB13AA" w14:textId="77777777" w:rsidR="003A7721" w:rsidRPr="00C13A76" w:rsidRDefault="003A7721" w:rsidP="0095449C">
            <w:pPr>
              <w:spacing w:line="360" w:lineRule="auto"/>
              <w:jc w:val="center"/>
              <w:rPr>
                <w:rFonts w:ascii="Arial" w:hAnsi="Arial" w:cs="Arial"/>
                <w:i/>
                <w:iCs/>
                <w:color w:val="000000" w:themeColor="text1"/>
              </w:rPr>
            </w:pPr>
            <w:r w:rsidRPr="00C13A76">
              <w:rPr>
                <w:rFonts w:ascii="Arial" w:hAnsi="Arial" w:cs="Arial"/>
                <w:color w:val="000000" w:themeColor="text1"/>
                <w:kern w:val="24"/>
              </w:rPr>
              <w:t>0.017</w:t>
            </w:r>
            <w:r>
              <w:rPr>
                <w:rFonts w:ascii="Arial" w:hAnsi="Arial" w:cs="Arial"/>
                <w:color w:val="000000" w:themeColor="text1"/>
                <w:kern w:val="24"/>
              </w:rPr>
              <w:t>1</w:t>
            </w:r>
          </w:p>
        </w:tc>
        <w:tc>
          <w:tcPr>
            <w:tcW w:w="2126" w:type="dxa"/>
          </w:tcPr>
          <w:p w14:paraId="0EEE3ECC" w14:textId="77777777" w:rsidR="003A7721" w:rsidRPr="00F42C1D" w:rsidRDefault="003A7721" w:rsidP="0095449C">
            <w:pPr>
              <w:spacing w:line="360" w:lineRule="auto"/>
              <w:jc w:val="center"/>
              <w:rPr>
                <w:rFonts w:ascii="Arial" w:hAnsi="Arial" w:cs="Arial"/>
                <w:b/>
                <w:i/>
                <w:iCs/>
                <w:color w:val="000000" w:themeColor="text1"/>
              </w:rPr>
            </w:pPr>
            <w:r w:rsidRPr="00F42C1D">
              <w:rPr>
                <w:rFonts w:ascii="Arial" w:hAnsi="Arial" w:cs="Arial"/>
                <w:b/>
                <w:bCs/>
                <w:color w:val="000000" w:themeColor="text1"/>
                <w:kern w:val="24"/>
              </w:rPr>
              <w:t>1.47 (1.02 – 2.12)</w:t>
            </w:r>
          </w:p>
        </w:tc>
        <w:tc>
          <w:tcPr>
            <w:tcW w:w="1417" w:type="dxa"/>
          </w:tcPr>
          <w:p w14:paraId="64EBCA02" w14:textId="77777777" w:rsidR="003A7721" w:rsidRPr="00F42C1D" w:rsidRDefault="003A7721" w:rsidP="0095449C">
            <w:pPr>
              <w:spacing w:line="360" w:lineRule="auto"/>
              <w:jc w:val="center"/>
              <w:rPr>
                <w:rFonts w:ascii="Arial" w:hAnsi="Arial" w:cs="Arial"/>
                <w:b/>
                <w:i/>
                <w:iCs/>
                <w:color w:val="000000" w:themeColor="text1"/>
              </w:rPr>
            </w:pPr>
            <w:r w:rsidRPr="00F42C1D">
              <w:rPr>
                <w:rFonts w:ascii="Arial" w:hAnsi="Arial" w:cs="Arial"/>
                <w:b/>
                <w:bCs/>
                <w:color w:val="000000" w:themeColor="text1"/>
                <w:kern w:val="24"/>
              </w:rPr>
              <w:t>0.038</w:t>
            </w:r>
            <w:r>
              <w:rPr>
                <w:rFonts w:ascii="Arial" w:hAnsi="Arial" w:cs="Arial"/>
                <w:b/>
                <w:bCs/>
                <w:color w:val="000000" w:themeColor="text1"/>
                <w:kern w:val="24"/>
              </w:rPr>
              <w:t>2</w:t>
            </w:r>
          </w:p>
        </w:tc>
      </w:tr>
      <w:tr w:rsidR="003A7721" w14:paraId="111E4B9B" w14:textId="77777777" w:rsidTr="0095449C">
        <w:tc>
          <w:tcPr>
            <w:tcW w:w="2972" w:type="dxa"/>
          </w:tcPr>
          <w:p w14:paraId="6F6873F1" w14:textId="77777777" w:rsidR="003A7721" w:rsidRPr="00A80D16" w:rsidRDefault="003A7721" w:rsidP="0095449C">
            <w:pPr>
              <w:spacing w:line="360" w:lineRule="auto"/>
              <w:rPr>
                <w:rFonts w:ascii="Arial" w:hAnsi="Arial" w:cs="Arial"/>
                <w:color w:val="000000" w:themeColor="text1"/>
                <w:kern w:val="24"/>
              </w:rPr>
            </w:pPr>
            <w:r>
              <w:rPr>
                <w:rFonts w:ascii="Arial" w:hAnsi="Arial" w:cs="Arial"/>
                <w:color w:val="000000" w:themeColor="text1"/>
                <w:kern w:val="24"/>
              </w:rPr>
              <w:t>Cardiovascular r</w:t>
            </w:r>
            <w:r w:rsidRPr="00A80D16">
              <w:rPr>
                <w:rFonts w:ascii="Arial" w:hAnsi="Arial" w:cs="Arial"/>
                <w:color w:val="000000" w:themeColor="text1"/>
                <w:kern w:val="24"/>
              </w:rPr>
              <w:t>isk score</w:t>
            </w:r>
          </w:p>
        </w:tc>
        <w:tc>
          <w:tcPr>
            <w:tcW w:w="1985" w:type="dxa"/>
          </w:tcPr>
          <w:p w14:paraId="1534D146" w14:textId="77777777" w:rsidR="003A7721" w:rsidRPr="00C13A76" w:rsidRDefault="003A7721" w:rsidP="0095449C">
            <w:pPr>
              <w:spacing w:line="360" w:lineRule="auto"/>
              <w:jc w:val="center"/>
              <w:rPr>
                <w:rFonts w:ascii="Arial" w:hAnsi="Arial" w:cs="Arial"/>
                <w:i/>
                <w:iCs/>
                <w:color w:val="000000" w:themeColor="text1"/>
              </w:rPr>
            </w:pPr>
            <w:r w:rsidRPr="00C13A76">
              <w:rPr>
                <w:rFonts w:ascii="Arial" w:hAnsi="Arial" w:cs="Arial"/>
                <w:color w:val="000000" w:themeColor="text1"/>
                <w:kern w:val="24"/>
              </w:rPr>
              <w:t>1.03 (1-1.05)</w:t>
            </w:r>
          </w:p>
        </w:tc>
        <w:tc>
          <w:tcPr>
            <w:tcW w:w="1701" w:type="dxa"/>
          </w:tcPr>
          <w:p w14:paraId="264D337D" w14:textId="77777777" w:rsidR="003A7721" w:rsidRPr="00C13A76" w:rsidRDefault="003A7721" w:rsidP="0095449C">
            <w:pPr>
              <w:spacing w:line="360" w:lineRule="auto"/>
              <w:jc w:val="center"/>
              <w:rPr>
                <w:rFonts w:ascii="Arial" w:hAnsi="Arial" w:cs="Arial"/>
                <w:i/>
                <w:iCs/>
                <w:color w:val="000000" w:themeColor="text1"/>
              </w:rPr>
            </w:pPr>
            <w:r w:rsidRPr="00C13A76">
              <w:rPr>
                <w:rFonts w:ascii="Arial" w:hAnsi="Arial" w:cs="Arial"/>
                <w:color w:val="000000" w:themeColor="text1"/>
                <w:kern w:val="24"/>
              </w:rPr>
              <w:t>0.046</w:t>
            </w:r>
            <w:r>
              <w:rPr>
                <w:rFonts w:ascii="Arial" w:hAnsi="Arial" w:cs="Arial"/>
                <w:color w:val="000000" w:themeColor="text1"/>
                <w:kern w:val="24"/>
              </w:rPr>
              <w:t>3</w:t>
            </w:r>
          </w:p>
        </w:tc>
        <w:tc>
          <w:tcPr>
            <w:tcW w:w="2126" w:type="dxa"/>
          </w:tcPr>
          <w:p w14:paraId="7ABCF9B4" w14:textId="77777777" w:rsidR="003A7721" w:rsidRPr="00C13A76" w:rsidRDefault="003A7721" w:rsidP="0095449C">
            <w:pPr>
              <w:spacing w:line="360" w:lineRule="auto"/>
              <w:jc w:val="center"/>
              <w:rPr>
                <w:rFonts w:ascii="Arial" w:hAnsi="Arial" w:cs="Arial"/>
                <w:i/>
                <w:iCs/>
                <w:color w:val="000000" w:themeColor="text1"/>
              </w:rPr>
            </w:pPr>
            <w:r w:rsidRPr="00C13A76">
              <w:rPr>
                <w:rFonts w:ascii="Arial" w:hAnsi="Arial" w:cs="Arial"/>
                <w:i/>
                <w:iCs/>
                <w:color w:val="000000" w:themeColor="text1"/>
              </w:rPr>
              <w:t>-</w:t>
            </w:r>
          </w:p>
        </w:tc>
        <w:tc>
          <w:tcPr>
            <w:tcW w:w="1417" w:type="dxa"/>
          </w:tcPr>
          <w:p w14:paraId="3EC4708B" w14:textId="77777777" w:rsidR="003A7721" w:rsidRPr="00C13A76" w:rsidRDefault="003A7721" w:rsidP="0095449C">
            <w:pPr>
              <w:spacing w:line="360" w:lineRule="auto"/>
              <w:jc w:val="center"/>
              <w:rPr>
                <w:rFonts w:ascii="Arial" w:hAnsi="Arial" w:cs="Arial"/>
                <w:i/>
                <w:iCs/>
                <w:color w:val="000000" w:themeColor="text1"/>
              </w:rPr>
            </w:pPr>
            <w:r w:rsidRPr="00C13A76">
              <w:rPr>
                <w:rFonts w:ascii="Arial" w:hAnsi="Arial" w:cs="Arial"/>
                <w:i/>
                <w:iCs/>
                <w:color w:val="000000" w:themeColor="text1"/>
              </w:rPr>
              <w:t>-</w:t>
            </w:r>
          </w:p>
        </w:tc>
      </w:tr>
      <w:tr w:rsidR="003A7721" w14:paraId="5CDD57E6" w14:textId="77777777" w:rsidTr="0095449C">
        <w:tc>
          <w:tcPr>
            <w:tcW w:w="2972" w:type="dxa"/>
          </w:tcPr>
          <w:p w14:paraId="52473B3F" w14:textId="77777777" w:rsidR="003A7721" w:rsidRPr="00A80D16" w:rsidRDefault="003A7721" w:rsidP="0095449C">
            <w:pPr>
              <w:spacing w:line="360" w:lineRule="auto"/>
              <w:rPr>
                <w:rFonts w:ascii="Arial" w:hAnsi="Arial" w:cs="Arial"/>
                <w:color w:val="000000" w:themeColor="text1"/>
                <w:kern w:val="24"/>
              </w:rPr>
            </w:pPr>
            <w:r w:rsidRPr="00A80D16">
              <w:rPr>
                <w:rFonts w:ascii="Arial" w:hAnsi="Arial" w:cs="Arial"/>
                <w:color w:val="000000" w:themeColor="text1"/>
                <w:kern w:val="24"/>
              </w:rPr>
              <w:t>Agatston calcium score</w:t>
            </w:r>
            <w:r>
              <w:rPr>
                <w:rFonts w:ascii="Arial" w:hAnsi="Arial" w:cs="Arial"/>
                <w:color w:val="000000" w:themeColor="text1"/>
                <w:kern w:val="24"/>
              </w:rPr>
              <w:t>*</w:t>
            </w:r>
          </w:p>
        </w:tc>
        <w:tc>
          <w:tcPr>
            <w:tcW w:w="1985" w:type="dxa"/>
          </w:tcPr>
          <w:p w14:paraId="11B8B3BC" w14:textId="77777777" w:rsidR="003A7721" w:rsidRPr="00C13A76" w:rsidRDefault="003A7721" w:rsidP="0095449C">
            <w:pPr>
              <w:spacing w:line="360" w:lineRule="auto"/>
              <w:jc w:val="center"/>
              <w:rPr>
                <w:rFonts w:ascii="Arial" w:hAnsi="Arial" w:cs="Arial"/>
                <w:i/>
                <w:iCs/>
                <w:color w:val="000000" w:themeColor="text1"/>
              </w:rPr>
            </w:pPr>
            <w:r w:rsidRPr="00C13A76">
              <w:rPr>
                <w:rFonts w:ascii="Arial" w:hAnsi="Arial" w:cs="Arial"/>
                <w:color w:val="000000" w:themeColor="text1"/>
                <w:kern w:val="24"/>
              </w:rPr>
              <w:t>1.2 (1.1-1.3)</w:t>
            </w:r>
          </w:p>
        </w:tc>
        <w:tc>
          <w:tcPr>
            <w:tcW w:w="1701" w:type="dxa"/>
          </w:tcPr>
          <w:p w14:paraId="75D3F096" w14:textId="77777777" w:rsidR="003A7721" w:rsidRPr="00C13A76" w:rsidRDefault="003A7721" w:rsidP="0095449C">
            <w:pPr>
              <w:spacing w:line="360" w:lineRule="auto"/>
              <w:jc w:val="center"/>
              <w:rPr>
                <w:rFonts w:ascii="Arial" w:hAnsi="Arial" w:cs="Arial"/>
                <w:i/>
                <w:iCs/>
                <w:color w:val="000000" w:themeColor="text1"/>
              </w:rPr>
            </w:pPr>
            <w:r w:rsidRPr="00C13A76">
              <w:rPr>
                <w:rFonts w:ascii="Arial" w:hAnsi="Arial" w:cs="Arial"/>
                <w:color w:val="000000" w:themeColor="text1"/>
                <w:kern w:val="24"/>
              </w:rPr>
              <w:t>&lt;0.0001</w:t>
            </w:r>
          </w:p>
        </w:tc>
        <w:tc>
          <w:tcPr>
            <w:tcW w:w="2126" w:type="dxa"/>
          </w:tcPr>
          <w:p w14:paraId="5EC19AA9" w14:textId="77777777" w:rsidR="003A7721" w:rsidRPr="00C13A76" w:rsidRDefault="003A7721" w:rsidP="0095449C">
            <w:pPr>
              <w:spacing w:line="360" w:lineRule="auto"/>
              <w:jc w:val="center"/>
              <w:rPr>
                <w:rFonts w:ascii="Arial" w:hAnsi="Arial" w:cs="Arial"/>
                <w:i/>
                <w:iCs/>
                <w:color w:val="000000" w:themeColor="text1"/>
              </w:rPr>
            </w:pPr>
            <w:r w:rsidRPr="00C13A76">
              <w:rPr>
                <w:rFonts w:ascii="Arial" w:hAnsi="Arial" w:cs="Arial"/>
                <w:i/>
                <w:iCs/>
                <w:color w:val="000000" w:themeColor="text1"/>
              </w:rPr>
              <w:t>-</w:t>
            </w:r>
          </w:p>
        </w:tc>
        <w:tc>
          <w:tcPr>
            <w:tcW w:w="1417" w:type="dxa"/>
          </w:tcPr>
          <w:p w14:paraId="44571C16" w14:textId="77777777" w:rsidR="003A7721" w:rsidRPr="00C13A76" w:rsidRDefault="003A7721" w:rsidP="0095449C">
            <w:pPr>
              <w:spacing w:line="360" w:lineRule="auto"/>
              <w:jc w:val="center"/>
              <w:rPr>
                <w:rFonts w:ascii="Arial" w:hAnsi="Arial" w:cs="Arial"/>
                <w:i/>
                <w:iCs/>
                <w:color w:val="000000" w:themeColor="text1"/>
              </w:rPr>
            </w:pPr>
            <w:r w:rsidRPr="00C13A76">
              <w:rPr>
                <w:rFonts w:ascii="Arial" w:hAnsi="Arial" w:cs="Arial"/>
                <w:i/>
                <w:iCs/>
                <w:color w:val="000000" w:themeColor="text1"/>
              </w:rPr>
              <w:t>-</w:t>
            </w:r>
          </w:p>
        </w:tc>
      </w:tr>
      <w:tr w:rsidR="003A7721" w14:paraId="4126E28F" w14:textId="77777777" w:rsidTr="0095449C">
        <w:tc>
          <w:tcPr>
            <w:tcW w:w="2972" w:type="dxa"/>
          </w:tcPr>
          <w:p w14:paraId="3281FF94" w14:textId="77777777" w:rsidR="003A7721" w:rsidRPr="00A80D16" w:rsidRDefault="003A7721" w:rsidP="0095449C">
            <w:pPr>
              <w:spacing w:line="360" w:lineRule="auto"/>
              <w:rPr>
                <w:rFonts w:ascii="Arial" w:hAnsi="Arial" w:cs="Arial"/>
                <w:color w:val="000000" w:themeColor="text1"/>
                <w:kern w:val="24"/>
              </w:rPr>
            </w:pPr>
            <w:r w:rsidRPr="00A80D16">
              <w:rPr>
                <w:rFonts w:ascii="Arial" w:hAnsi="Arial" w:cs="Arial"/>
                <w:color w:val="000000" w:themeColor="text1"/>
                <w:kern w:val="24"/>
              </w:rPr>
              <w:t xml:space="preserve">Obstructive </w:t>
            </w:r>
            <w:r>
              <w:rPr>
                <w:rFonts w:ascii="Arial" w:hAnsi="Arial" w:cs="Arial"/>
                <w:color w:val="000000" w:themeColor="text1"/>
                <w:kern w:val="24"/>
              </w:rPr>
              <w:t>disease</w:t>
            </w:r>
          </w:p>
        </w:tc>
        <w:tc>
          <w:tcPr>
            <w:tcW w:w="1985" w:type="dxa"/>
          </w:tcPr>
          <w:p w14:paraId="40368F42" w14:textId="77777777" w:rsidR="003A7721" w:rsidRPr="00C13A76" w:rsidRDefault="003A7721" w:rsidP="0095449C">
            <w:pPr>
              <w:spacing w:line="360" w:lineRule="auto"/>
              <w:jc w:val="center"/>
              <w:rPr>
                <w:rFonts w:ascii="Arial" w:hAnsi="Arial" w:cs="Arial"/>
                <w:i/>
                <w:iCs/>
                <w:color w:val="000000" w:themeColor="text1"/>
              </w:rPr>
            </w:pPr>
            <w:r w:rsidRPr="00C13A76">
              <w:rPr>
                <w:rFonts w:ascii="Arial" w:hAnsi="Arial" w:cs="Arial"/>
                <w:color w:val="000000" w:themeColor="text1"/>
                <w:kern w:val="24"/>
              </w:rPr>
              <w:t>3.02 (1.6-5.8)</w:t>
            </w:r>
          </w:p>
        </w:tc>
        <w:tc>
          <w:tcPr>
            <w:tcW w:w="1701" w:type="dxa"/>
          </w:tcPr>
          <w:p w14:paraId="08229D30" w14:textId="77777777" w:rsidR="003A7721" w:rsidRPr="00C13A76" w:rsidRDefault="003A7721" w:rsidP="0095449C">
            <w:pPr>
              <w:spacing w:line="360" w:lineRule="auto"/>
              <w:jc w:val="center"/>
              <w:rPr>
                <w:rFonts w:ascii="Arial" w:hAnsi="Arial" w:cs="Arial"/>
                <w:i/>
                <w:iCs/>
                <w:color w:val="000000" w:themeColor="text1"/>
              </w:rPr>
            </w:pPr>
            <w:r w:rsidRPr="00C13A76">
              <w:rPr>
                <w:rFonts w:ascii="Arial" w:hAnsi="Arial" w:cs="Arial"/>
                <w:color w:val="000000" w:themeColor="text1"/>
                <w:kern w:val="24"/>
              </w:rPr>
              <w:t>&lt;0.0001</w:t>
            </w:r>
          </w:p>
        </w:tc>
        <w:tc>
          <w:tcPr>
            <w:tcW w:w="2126" w:type="dxa"/>
          </w:tcPr>
          <w:p w14:paraId="32F4F57B" w14:textId="77777777" w:rsidR="003A7721" w:rsidRPr="00C13A76" w:rsidRDefault="003A7721" w:rsidP="0095449C">
            <w:pPr>
              <w:spacing w:line="360" w:lineRule="auto"/>
              <w:jc w:val="center"/>
              <w:rPr>
                <w:rFonts w:ascii="Arial" w:hAnsi="Arial" w:cs="Arial"/>
                <w:i/>
                <w:iCs/>
                <w:color w:val="000000" w:themeColor="text1"/>
              </w:rPr>
            </w:pPr>
            <w:r w:rsidRPr="00C13A76">
              <w:rPr>
                <w:rFonts w:ascii="Arial" w:hAnsi="Arial" w:cs="Arial"/>
                <w:i/>
                <w:iCs/>
                <w:color w:val="000000" w:themeColor="text1"/>
              </w:rPr>
              <w:t>-</w:t>
            </w:r>
          </w:p>
        </w:tc>
        <w:tc>
          <w:tcPr>
            <w:tcW w:w="1417" w:type="dxa"/>
          </w:tcPr>
          <w:p w14:paraId="7A7A4E9D" w14:textId="77777777" w:rsidR="003A7721" w:rsidRPr="00C13A76" w:rsidRDefault="003A7721" w:rsidP="0095449C">
            <w:pPr>
              <w:spacing w:line="360" w:lineRule="auto"/>
              <w:jc w:val="center"/>
              <w:rPr>
                <w:rFonts w:ascii="Arial" w:hAnsi="Arial" w:cs="Arial"/>
                <w:i/>
                <w:iCs/>
                <w:color w:val="000000" w:themeColor="text1"/>
              </w:rPr>
            </w:pPr>
            <w:r w:rsidRPr="00C13A76">
              <w:rPr>
                <w:rFonts w:ascii="Arial" w:hAnsi="Arial" w:cs="Arial"/>
                <w:i/>
                <w:iCs/>
                <w:color w:val="000000" w:themeColor="text1"/>
              </w:rPr>
              <w:t>-</w:t>
            </w:r>
          </w:p>
        </w:tc>
      </w:tr>
    </w:tbl>
    <w:p w14:paraId="0BCE55CE" w14:textId="77777777" w:rsidR="003A7721" w:rsidRPr="00173840" w:rsidRDefault="003A7721" w:rsidP="003A7721">
      <w:pPr>
        <w:spacing w:line="480" w:lineRule="auto"/>
        <w:rPr>
          <w:rFonts w:ascii="Arial" w:hAnsi="Arial" w:cs="Arial"/>
          <w:i/>
          <w:iCs/>
          <w:color w:val="000000" w:themeColor="text1"/>
        </w:rPr>
      </w:pPr>
    </w:p>
    <w:p w14:paraId="05BE68C0" w14:textId="77777777" w:rsidR="003A7721" w:rsidRPr="00B73DEC" w:rsidRDefault="003A7721" w:rsidP="003A7721">
      <w:pPr>
        <w:spacing w:line="480" w:lineRule="auto"/>
        <w:rPr>
          <w:rFonts w:ascii="Arial" w:hAnsi="Arial" w:cs="Arial"/>
          <w:color w:val="000000" w:themeColor="text1"/>
          <w:kern w:val="24"/>
        </w:rPr>
      </w:pPr>
      <w:r w:rsidRPr="0057281A">
        <w:rPr>
          <w:rFonts w:ascii="Arial" w:hAnsi="Arial" w:cs="Arial"/>
          <w:color w:val="000000" w:themeColor="text1"/>
          <w:kern w:val="24"/>
          <w:vertAlign w:val="superscript"/>
        </w:rPr>
        <w:t>#</w:t>
      </w:r>
      <w:r>
        <w:rPr>
          <w:rFonts w:ascii="Arial" w:hAnsi="Arial" w:cs="Arial"/>
          <w:color w:val="000000" w:themeColor="text1"/>
          <w:kern w:val="24"/>
        </w:rPr>
        <w:t xml:space="preserve"> </w:t>
      </w:r>
      <w:r w:rsidRPr="00B73DEC">
        <w:rPr>
          <w:rFonts w:ascii="Arial" w:hAnsi="Arial" w:cs="Arial"/>
          <w:color w:val="000000" w:themeColor="text1"/>
          <w:kern w:val="24"/>
        </w:rPr>
        <w:t xml:space="preserve">Multivariable analysis </w:t>
      </w:r>
      <w:r>
        <w:rPr>
          <w:rFonts w:ascii="Arial" w:hAnsi="Arial" w:cs="Arial"/>
          <w:color w:val="000000" w:themeColor="text1"/>
          <w:kern w:val="24"/>
        </w:rPr>
        <w:t>includes</w:t>
      </w:r>
      <w:r w:rsidRPr="00B73DEC">
        <w:rPr>
          <w:rFonts w:ascii="Arial" w:hAnsi="Arial" w:cs="Arial"/>
          <w:color w:val="000000" w:themeColor="text1"/>
          <w:kern w:val="24"/>
        </w:rPr>
        <w:t xml:space="preserve"> the individual quantitative plaque measure, Agatston calcium score, obstructive disease and cardiovascular risk score. Full model results are presented in </w:t>
      </w:r>
      <w:r w:rsidRPr="00237759">
        <w:rPr>
          <w:rFonts w:ascii="Arial" w:hAnsi="Arial" w:cs="Arial"/>
          <w:color w:val="000000" w:themeColor="text1"/>
          <w:kern w:val="24"/>
        </w:rPr>
        <w:t xml:space="preserve">Table </w:t>
      </w:r>
      <w:proofErr w:type="spellStart"/>
      <w:r>
        <w:rPr>
          <w:rFonts w:ascii="Arial" w:hAnsi="Arial" w:cs="Arial"/>
          <w:color w:val="000000" w:themeColor="text1"/>
          <w:kern w:val="24"/>
        </w:rPr>
        <w:t>i</w:t>
      </w:r>
      <w:proofErr w:type="spellEnd"/>
      <w:r w:rsidRPr="00237759">
        <w:rPr>
          <w:rFonts w:ascii="Arial" w:hAnsi="Arial" w:cs="Arial"/>
          <w:color w:val="000000" w:themeColor="text1"/>
          <w:kern w:val="24"/>
        </w:rPr>
        <w:t xml:space="preserve"> in </w:t>
      </w:r>
      <w:r>
        <w:rPr>
          <w:rFonts w:ascii="Arial" w:hAnsi="Arial" w:cs="Arial"/>
          <w:color w:val="000000" w:themeColor="text1"/>
          <w:kern w:val="24"/>
        </w:rPr>
        <w:t xml:space="preserve">the </w:t>
      </w:r>
      <w:r w:rsidRPr="00237759">
        <w:rPr>
          <w:rFonts w:ascii="Arial" w:hAnsi="Arial" w:cs="Arial"/>
          <w:color w:val="000000" w:themeColor="text1"/>
          <w:kern w:val="24"/>
        </w:rPr>
        <w:t>Data Supplement.</w:t>
      </w:r>
      <w:r w:rsidRPr="00B73DEC">
        <w:rPr>
          <w:rFonts w:ascii="Arial" w:hAnsi="Arial" w:cs="Arial"/>
          <w:color w:val="000000" w:themeColor="text1"/>
          <w:kern w:val="24"/>
        </w:rPr>
        <w:t xml:space="preserve"> </w:t>
      </w:r>
    </w:p>
    <w:p w14:paraId="74C547F7" w14:textId="77777777" w:rsidR="003A7721" w:rsidRDefault="003A7721" w:rsidP="003A7721">
      <w:pPr>
        <w:spacing w:line="480" w:lineRule="auto"/>
        <w:rPr>
          <w:rFonts w:ascii="Arial" w:hAnsi="Arial" w:cs="Arial"/>
          <w:b/>
          <w:bCs/>
          <w:color w:val="000000" w:themeColor="text1"/>
          <w:kern w:val="24"/>
        </w:rPr>
      </w:pPr>
      <w:r>
        <w:rPr>
          <w:rFonts w:ascii="Arial" w:hAnsi="Arial" w:cs="Arial"/>
          <w:color w:val="000000" w:themeColor="text1"/>
          <w:kern w:val="24"/>
        </w:rPr>
        <w:t xml:space="preserve">* </w:t>
      </w:r>
      <w:r w:rsidRPr="00B73DEC">
        <w:rPr>
          <w:rFonts w:ascii="Arial" w:hAnsi="Arial" w:cs="Arial"/>
          <w:color w:val="000000" w:themeColor="text1"/>
          <w:kern w:val="24"/>
        </w:rPr>
        <w:t>Per doubling.</w:t>
      </w:r>
    </w:p>
    <w:p w14:paraId="4F66D41A" w14:textId="77777777" w:rsidR="003A7721" w:rsidRDefault="003A7721" w:rsidP="003A7721">
      <w:pPr>
        <w:spacing w:line="480" w:lineRule="auto"/>
        <w:rPr>
          <w:rFonts w:ascii="Arial" w:hAnsi="Arial" w:cs="Arial"/>
          <w:color w:val="000000" w:themeColor="text1"/>
          <w:kern w:val="24"/>
        </w:rPr>
      </w:pPr>
      <w:r>
        <w:rPr>
          <w:rFonts w:ascii="Arial" w:hAnsi="Arial" w:cs="Arial"/>
          <w:color w:val="000000" w:themeColor="text1"/>
          <w:kern w:val="24"/>
          <w:vertAlign w:val="superscript"/>
        </w:rPr>
        <w:t>§</w:t>
      </w:r>
      <w:r>
        <w:rPr>
          <w:rFonts w:ascii="Arial" w:hAnsi="Arial" w:cs="Arial"/>
          <w:color w:val="000000" w:themeColor="text1"/>
          <w:kern w:val="24"/>
        </w:rPr>
        <w:t xml:space="preserve"> Per 1</w:t>
      </w:r>
      <w:r w:rsidRPr="006C244C" w:rsidDel="00786E34">
        <w:rPr>
          <w:rFonts w:ascii="Arial" w:hAnsi="Arial" w:cs="Arial"/>
        </w:rPr>
        <w:t xml:space="preserve"> </w:t>
      </w:r>
      <w:r>
        <w:rPr>
          <w:rFonts w:ascii="Arial" w:hAnsi="Arial" w:cs="Arial"/>
        </w:rPr>
        <w:t>standard deviation</w:t>
      </w:r>
      <w:r w:rsidRPr="006C244C" w:rsidDel="00786E34">
        <w:rPr>
          <w:rFonts w:ascii="Arial" w:hAnsi="Arial" w:cs="Arial"/>
        </w:rPr>
        <w:t xml:space="preserve"> </w:t>
      </w:r>
      <w:r>
        <w:rPr>
          <w:rFonts w:ascii="Arial" w:hAnsi="Arial" w:cs="Arial"/>
          <w:color w:val="000000" w:themeColor="text1"/>
          <w:kern w:val="24"/>
        </w:rPr>
        <w:t xml:space="preserve">increment in PCAT attenuation. </w:t>
      </w:r>
    </w:p>
    <w:p w14:paraId="36E3CF93" w14:textId="77777777" w:rsidR="003A7721" w:rsidRPr="0057281A" w:rsidRDefault="003A7721" w:rsidP="003A7721">
      <w:pPr>
        <w:spacing w:line="480" w:lineRule="auto"/>
        <w:rPr>
          <w:rFonts w:ascii="Arial" w:hAnsi="Arial" w:cs="Arial"/>
          <w:color w:val="000000" w:themeColor="text1"/>
        </w:rPr>
      </w:pPr>
      <w:r>
        <w:rPr>
          <w:rFonts w:ascii="Arial" w:hAnsi="Arial" w:cs="Arial"/>
          <w:color w:val="000000" w:themeColor="text1"/>
        </w:rPr>
        <w:t xml:space="preserve">CI, confidence interval; CP, calcified plaque; LAP, low attenuation plaque; HR, hazard ratio; PCAT-RCA, pericoronary adipose tissue attenuation around the right coronary artery. </w:t>
      </w:r>
    </w:p>
    <w:p w14:paraId="3F1A25C3" w14:textId="444CCA16" w:rsidR="003A7721" w:rsidRDefault="003A7721" w:rsidP="003A7721">
      <w:pPr>
        <w:spacing w:line="480" w:lineRule="auto"/>
        <w:rPr>
          <w:u w:val="single"/>
        </w:rPr>
      </w:pPr>
    </w:p>
    <w:p w14:paraId="50F17D44" w14:textId="5B5F7A49" w:rsidR="003A7721" w:rsidRDefault="003A7721" w:rsidP="003A7721">
      <w:pPr>
        <w:spacing w:line="480" w:lineRule="auto"/>
        <w:rPr>
          <w:u w:val="single"/>
        </w:rPr>
      </w:pPr>
    </w:p>
    <w:p w14:paraId="78E32187" w14:textId="3C8A1E2C" w:rsidR="003A7721" w:rsidRDefault="003A7721" w:rsidP="003A7721">
      <w:pPr>
        <w:spacing w:line="480" w:lineRule="auto"/>
        <w:rPr>
          <w:u w:val="single"/>
        </w:rPr>
      </w:pPr>
    </w:p>
    <w:p w14:paraId="19B447A4" w14:textId="342D2742" w:rsidR="003A7721" w:rsidRDefault="003A7721" w:rsidP="003A7721">
      <w:pPr>
        <w:spacing w:line="480" w:lineRule="auto"/>
        <w:rPr>
          <w:u w:val="single"/>
        </w:rPr>
      </w:pPr>
    </w:p>
    <w:p w14:paraId="4347F029" w14:textId="39D51EED" w:rsidR="003A7721" w:rsidRDefault="003A7721" w:rsidP="003A7721">
      <w:pPr>
        <w:spacing w:line="480" w:lineRule="auto"/>
        <w:rPr>
          <w:u w:val="single"/>
        </w:rPr>
      </w:pPr>
    </w:p>
    <w:p w14:paraId="40102F42" w14:textId="47F1C38E" w:rsidR="003A7721" w:rsidRDefault="003A7721" w:rsidP="003A7721">
      <w:pPr>
        <w:spacing w:line="480" w:lineRule="auto"/>
        <w:rPr>
          <w:u w:val="single"/>
        </w:rPr>
      </w:pPr>
    </w:p>
    <w:p w14:paraId="20E7EA7E" w14:textId="535AB752" w:rsidR="003A7721" w:rsidRDefault="003A7721" w:rsidP="003A7721">
      <w:pPr>
        <w:spacing w:line="480" w:lineRule="auto"/>
        <w:rPr>
          <w:u w:val="single"/>
        </w:rPr>
      </w:pPr>
    </w:p>
    <w:p w14:paraId="7B8B5710" w14:textId="69AFAD24" w:rsidR="003A7721" w:rsidRPr="00641BF2" w:rsidRDefault="003A7721" w:rsidP="003A7721">
      <w:pPr>
        <w:spacing w:line="480" w:lineRule="auto"/>
        <w:rPr>
          <w:rFonts w:ascii="Arial" w:hAnsi="Arial" w:cs="Arial"/>
          <w:i/>
          <w:iCs/>
          <w:color w:val="000000"/>
          <w:shd w:val="clear" w:color="auto" w:fill="FFFFFF"/>
        </w:rPr>
      </w:pPr>
      <w:r>
        <w:rPr>
          <w:rFonts w:ascii="Helvetica Neue" w:hAnsi="Helvetica Neue"/>
          <w:i/>
          <w:iCs/>
          <w:color w:val="000000"/>
        </w:rPr>
        <w:lastRenderedPageBreak/>
        <w:t>Figure 1</w:t>
      </w:r>
      <w:r w:rsidRPr="002B36DF">
        <w:rPr>
          <w:rFonts w:ascii="Helvetica Neue" w:hAnsi="Helvetica Neue"/>
          <w:i/>
          <w:iCs/>
          <w:color w:val="000000"/>
        </w:rPr>
        <w:t>.</w:t>
      </w:r>
      <w:r w:rsidRPr="002B36DF">
        <w:rPr>
          <w:rFonts w:ascii="Helvetica Neue" w:hAnsi="Helvetica Neue"/>
          <w:i/>
          <w:iCs/>
          <w:color w:val="000000"/>
          <w:shd w:val="clear" w:color="auto" w:fill="FFFFFF"/>
        </w:rPr>
        <w:t xml:space="preserve"> Cumulative incidence of fatal or nonfatal myocardial infarction in patients with and without </w:t>
      </w:r>
      <w:r>
        <w:rPr>
          <w:rFonts w:ascii="Helvetica Neue" w:hAnsi="Helvetica Neue"/>
          <w:i/>
          <w:iCs/>
          <w:color w:val="000000"/>
          <w:shd w:val="clear" w:color="auto" w:fill="FFFFFF"/>
        </w:rPr>
        <w:t>PCAT-RCA</w:t>
      </w:r>
      <w:r w:rsidRPr="002B36DF">
        <w:rPr>
          <w:rFonts w:ascii="Helvetica Neue" w:hAnsi="Helvetica Neue"/>
          <w:i/>
          <w:iCs/>
          <w:color w:val="000000"/>
          <w:shd w:val="clear" w:color="auto" w:fill="FFFFFF"/>
        </w:rPr>
        <w:t xml:space="preserve"> </w:t>
      </w:r>
      <w:r w:rsidRPr="002B36DF">
        <w:rPr>
          <w:rFonts w:ascii="Arial" w:hAnsi="Arial" w:cs="Arial"/>
          <w:i/>
          <w:iCs/>
        </w:rPr>
        <w:t>≥</w:t>
      </w:r>
      <w:r w:rsidRPr="002B36DF">
        <w:rPr>
          <w:rFonts w:ascii="Helvetica Neue" w:hAnsi="Helvetica Neue"/>
          <w:i/>
          <w:iCs/>
          <w:color w:val="000000"/>
          <w:shd w:val="clear" w:color="auto" w:fill="FFFFFF"/>
        </w:rPr>
        <w:t xml:space="preserve"> -70.5 HU </w:t>
      </w:r>
      <w:r w:rsidRPr="002B36DF">
        <w:rPr>
          <w:rFonts w:ascii="Arial" w:hAnsi="Arial" w:cs="Arial"/>
          <w:i/>
          <w:iCs/>
          <w:color w:val="000000"/>
          <w:shd w:val="clear" w:color="auto" w:fill="FFFFFF"/>
        </w:rPr>
        <w:t>and with and without low-attenuation</w:t>
      </w:r>
      <w:r>
        <w:rPr>
          <w:rFonts w:ascii="Arial" w:hAnsi="Arial" w:cs="Arial"/>
          <w:i/>
          <w:iCs/>
          <w:color w:val="000000"/>
          <w:shd w:val="clear" w:color="auto" w:fill="FFFFFF"/>
        </w:rPr>
        <w:t xml:space="preserve"> (LAP)</w:t>
      </w:r>
      <w:r w:rsidRPr="002B36DF">
        <w:rPr>
          <w:rFonts w:ascii="Arial" w:hAnsi="Arial" w:cs="Arial"/>
          <w:i/>
          <w:iCs/>
          <w:color w:val="000000"/>
          <w:shd w:val="clear" w:color="auto" w:fill="FFFFFF"/>
        </w:rPr>
        <w:t xml:space="preserve"> non-calcified plaque burden above 4%. </w:t>
      </w:r>
      <w:r>
        <w:rPr>
          <w:rFonts w:ascii="Arial" w:hAnsi="Arial" w:cs="Arial"/>
          <w:i/>
          <w:iCs/>
          <w:color w:val="000000"/>
          <w:shd w:val="clear" w:color="auto" w:fill="FFFFFF"/>
        </w:rPr>
        <w:t>Patients with LA plaque burden&gt;4 % and PCAT-RCA</w:t>
      </w:r>
      <w:r w:rsidRPr="00057F82">
        <w:rPr>
          <w:rFonts w:ascii="Arial" w:hAnsi="Arial" w:cs="Arial"/>
        </w:rPr>
        <w:t>≥</w:t>
      </w:r>
      <w:r>
        <w:rPr>
          <w:rFonts w:ascii="Arial" w:hAnsi="Arial" w:cs="Arial"/>
          <w:i/>
          <w:iCs/>
          <w:color w:val="000000"/>
          <w:shd w:val="clear" w:color="auto" w:fill="FFFFFF"/>
        </w:rPr>
        <w:t xml:space="preserve">-70.5 HU (purple line) </w:t>
      </w:r>
      <w:r w:rsidRPr="00FD0330">
        <w:rPr>
          <w:rFonts w:ascii="Arial" w:hAnsi="Arial" w:cs="Arial"/>
          <w:i/>
        </w:rPr>
        <w:t>were at the greatest risk of myocardial infarction (HR 11.7, 95% CI 3.3 to 40.9, p&lt;0.0001)</w:t>
      </w:r>
      <w:r>
        <w:rPr>
          <w:rFonts w:ascii="Arial" w:hAnsi="Arial" w:cs="Arial"/>
          <w:i/>
        </w:rPr>
        <w:t xml:space="preserve">, followed by people </w:t>
      </w:r>
      <w:r>
        <w:rPr>
          <w:rFonts w:ascii="Arial" w:hAnsi="Arial" w:cs="Arial"/>
          <w:i/>
          <w:iCs/>
          <w:color w:val="000000"/>
          <w:shd w:val="clear" w:color="auto" w:fill="FFFFFF"/>
        </w:rPr>
        <w:t xml:space="preserve">with LA plaque burden&gt;4 % and PCAT-RCA&lt;-70.5 HU (green line); </w:t>
      </w:r>
      <w:r w:rsidRPr="00FD0330">
        <w:rPr>
          <w:rFonts w:ascii="Arial" w:hAnsi="Arial" w:cs="Arial"/>
          <w:i/>
          <w:iCs/>
          <w:color w:val="000000"/>
          <w:shd w:val="clear" w:color="auto" w:fill="FFFFFF"/>
        </w:rPr>
        <w:t>HR= 5.1 (1.5 -17.7), p&lt;0.0001</w:t>
      </w:r>
      <w:r>
        <w:rPr>
          <w:rFonts w:ascii="Arial" w:hAnsi="Arial" w:cs="Arial"/>
          <w:i/>
          <w:iCs/>
          <w:color w:val="000000"/>
          <w:shd w:val="clear" w:color="auto" w:fill="FFFFFF"/>
        </w:rPr>
        <w:t>.</w:t>
      </w:r>
    </w:p>
    <w:p w14:paraId="5A379C87" w14:textId="77777777" w:rsidR="003A7721" w:rsidRDefault="003A7721" w:rsidP="003A7721">
      <w:pPr>
        <w:spacing w:line="480" w:lineRule="auto"/>
        <w:rPr>
          <w:u w:val="single"/>
        </w:rPr>
      </w:pPr>
    </w:p>
    <w:p w14:paraId="7DF05FEC" w14:textId="451C4509" w:rsidR="003A7721" w:rsidRDefault="003A7721" w:rsidP="003A7721">
      <w:pPr>
        <w:spacing w:line="480" w:lineRule="auto"/>
        <w:rPr>
          <w:u w:val="single"/>
        </w:rPr>
      </w:pPr>
      <w:r w:rsidRPr="003A7721">
        <w:rPr>
          <w:noProof/>
        </w:rPr>
        <w:drawing>
          <wp:inline distT="0" distB="0" distL="0" distR="0" wp14:anchorId="4B6144E4" wp14:editId="041C19F3">
            <wp:extent cx="6507209"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17437" cy="3663349"/>
                    </a:xfrm>
                    <a:prstGeom prst="rect">
                      <a:avLst/>
                    </a:prstGeom>
                  </pic:spPr>
                </pic:pic>
              </a:graphicData>
            </a:graphic>
          </wp:inline>
        </w:drawing>
      </w:r>
    </w:p>
    <w:p w14:paraId="4EDCF2C8" w14:textId="77777777" w:rsidR="003A7721" w:rsidRPr="003A7721" w:rsidRDefault="003A7721" w:rsidP="003A7721"/>
    <w:p w14:paraId="6C3D8E79" w14:textId="77777777" w:rsidR="003A7721" w:rsidRPr="003A7721" w:rsidRDefault="003A7721" w:rsidP="003A7721"/>
    <w:p w14:paraId="6FEA24A4" w14:textId="77777777" w:rsidR="003A7721" w:rsidRPr="003A7721" w:rsidRDefault="003A7721" w:rsidP="003A7721"/>
    <w:p w14:paraId="23E50BC8" w14:textId="77777777" w:rsidR="003A7721" w:rsidRPr="003A7721" w:rsidRDefault="003A7721" w:rsidP="003A7721"/>
    <w:p w14:paraId="4DC1157F" w14:textId="77777777" w:rsidR="003A7721" w:rsidRPr="003A7721" w:rsidRDefault="003A7721" w:rsidP="003A7721"/>
    <w:p w14:paraId="6891483A" w14:textId="03627A10" w:rsidR="003A7721" w:rsidRDefault="003A7721" w:rsidP="003A7721"/>
    <w:p w14:paraId="73F171E1" w14:textId="0101D282" w:rsidR="003A7721" w:rsidRDefault="003A7721" w:rsidP="003A7721">
      <w:pPr>
        <w:tabs>
          <w:tab w:val="left" w:pos="7568"/>
        </w:tabs>
      </w:pPr>
      <w:r>
        <w:tab/>
      </w:r>
    </w:p>
    <w:p w14:paraId="3DF575A1" w14:textId="0CAE885F" w:rsidR="003A7721" w:rsidRDefault="003A7721" w:rsidP="003A7721">
      <w:pPr>
        <w:tabs>
          <w:tab w:val="left" w:pos="7568"/>
        </w:tabs>
      </w:pPr>
    </w:p>
    <w:p w14:paraId="1EB24C27" w14:textId="39202B04" w:rsidR="003A7721" w:rsidRDefault="003A7721" w:rsidP="003A7721">
      <w:pPr>
        <w:tabs>
          <w:tab w:val="left" w:pos="7568"/>
        </w:tabs>
      </w:pPr>
    </w:p>
    <w:p w14:paraId="221F10CC" w14:textId="1CD41B82" w:rsidR="003A7721" w:rsidRDefault="003A7721" w:rsidP="003A7721">
      <w:pPr>
        <w:tabs>
          <w:tab w:val="left" w:pos="7568"/>
        </w:tabs>
      </w:pPr>
    </w:p>
    <w:p w14:paraId="103002F3" w14:textId="1CEDEB03" w:rsidR="003A7721" w:rsidRDefault="003A7721" w:rsidP="003A7721">
      <w:pPr>
        <w:tabs>
          <w:tab w:val="left" w:pos="7568"/>
        </w:tabs>
      </w:pPr>
    </w:p>
    <w:p w14:paraId="6E5D978C" w14:textId="178BBE50" w:rsidR="003A7721" w:rsidRDefault="003A7721" w:rsidP="003A7721">
      <w:pPr>
        <w:tabs>
          <w:tab w:val="left" w:pos="7568"/>
        </w:tabs>
      </w:pPr>
    </w:p>
    <w:p w14:paraId="6710BEA1" w14:textId="5D4A9818" w:rsidR="003A7721" w:rsidRDefault="003A7721" w:rsidP="003A7721">
      <w:pPr>
        <w:tabs>
          <w:tab w:val="left" w:pos="7568"/>
        </w:tabs>
      </w:pPr>
    </w:p>
    <w:p w14:paraId="1A63C68A" w14:textId="069660B1" w:rsidR="003A7721" w:rsidRPr="00CC0429" w:rsidRDefault="003A7721" w:rsidP="003A7721">
      <w:pPr>
        <w:spacing w:line="480" w:lineRule="auto"/>
        <w:contextualSpacing/>
        <w:rPr>
          <w:rFonts w:ascii="Arial" w:hAnsi="Arial" w:cs="Arial"/>
        </w:rPr>
      </w:pPr>
      <w:r w:rsidRPr="00C26A23">
        <w:rPr>
          <w:rFonts w:ascii="Arial" w:hAnsi="Arial" w:cs="Arial"/>
          <w:bCs/>
          <w:i/>
          <w:iCs/>
        </w:rPr>
        <w:lastRenderedPageBreak/>
        <w:t xml:space="preserve">Figure </w:t>
      </w:r>
      <w:r>
        <w:rPr>
          <w:rFonts w:ascii="Arial" w:hAnsi="Arial" w:cs="Arial"/>
          <w:bCs/>
          <w:i/>
          <w:iCs/>
        </w:rPr>
        <w:t>2</w:t>
      </w:r>
      <w:r w:rsidRPr="00C26A23">
        <w:rPr>
          <w:rFonts w:ascii="Arial" w:hAnsi="Arial" w:cs="Arial"/>
          <w:bCs/>
          <w:i/>
          <w:iCs/>
        </w:rPr>
        <w:t xml:space="preserve">: </w:t>
      </w:r>
      <w:r w:rsidRPr="00C26A23">
        <w:rPr>
          <w:rFonts w:ascii="Arial" w:hAnsi="Arial" w:cs="Arial"/>
        </w:rPr>
        <w:t>Comparison ROC curves (at 5 years) and respective area under the curve (AUC).</w:t>
      </w:r>
      <w:r w:rsidRPr="00C26A23">
        <w:rPr>
          <w:rFonts w:ascii="Arial" w:hAnsi="Arial" w:cs="Arial"/>
          <w:noProof/>
        </w:rPr>
        <w:t xml:space="preserve"> </w:t>
      </w:r>
      <w:r w:rsidRPr="00C26A23">
        <w:rPr>
          <w:rFonts w:ascii="Arial" w:hAnsi="Arial" w:cs="Arial"/>
          <w:bCs/>
        </w:rPr>
        <w:t xml:space="preserve">LAP plaque burden is a stronger predictor comparted to PCAT-RCA. </w:t>
      </w:r>
      <w:r w:rsidRPr="00C26A23">
        <w:rPr>
          <w:rFonts w:ascii="Arial" w:hAnsi="Arial" w:cs="Arial"/>
          <w:noProof/>
        </w:rPr>
        <w:t>The combination of the two metrics increase the AUC to 0.75 (</w:t>
      </w:r>
      <w:r w:rsidRPr="00C26A23">
        <w:rPr>
          <w:rFonts w:ascii="Arial" w:hAnsi="Arial" w:cs="Arial"/>
          <w:noProof/>
          <w:lang w:val="el-GR"/>
        </w:rPr>
        <w:t>Δ</w:t>
      </w:r>
      <w:r w:rsidRPr="00C26A23">
        <w:rPr>
          <w:rFonts w:ascii="Arial" w:hAnsi="Arial" w:cs="Arial"/>
          <w:noProof/>
          <w:vertAlign w:val="subscript"/>
        </w:rPr>
        <w:t>AUC</w:t>
      </w:r>
      <w:r w:rsidRPr="00C26A23">
        <w:rPr>
          <w:rFonts w:ascii="Arial" w:hAnsi="Arial" w:cs="Arial"/>
          <w:noProof/>
        </w:rPr>
        <w:t>= 0.04, p=0.01).</w:t>
      </w:r>
    </w:p>
    <w:p w14:paraId="11B9A7B7" w14:textId="77777777" w:rsidR="003A7721" w:rsidRDefault="003A7721" w:rsidP="003A7721">
      <w:pPr>
        <w:tabs>
          <w:tab w:val="left" w:pos="7568"/>
        </w:tabs>
      </w:pPr>
    </w:p>
    <w:p w14:paraId="5085B737" w14:textId="0CEFD89F" w:rsidR="003A7721" w:rsidRPr="003A7721" w:rsidRDefault="003A7721" w:rsidP="003A7721">
      <w:pPr>
        <w:tabs>
          <w:tab w:val="left" w:pos="7568"/>
        </w:tabs>
      </w:pPr>
      <w:r>
        <w:rPr>
          <w:noProof/>
        </w:rPr>
        <w:drawing>
          <wp:inline distT="0" distB="0" distL="0" distR="0" wp14:anchorId="6855F9B1" wp14:editId="3BDCF958">
            <wp:extent cx="5727700" cy="3221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5">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sectPr w:rsidR="003A7721" w:rsidRPr="003A7721" w:rsidSect="00F76C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65"/>
    <w:rsid w:val="000053FC"/>
    <w:rsid w:val="00005C4A"/>
    <w:rsid w:val="000360D7"/>
    <w:rsid w:val="000566CA"/>
    <w:rsid w:val="0006339F"/>
    <w:rsid w:val="00065505"/>
    <w:rsid w:val="00081D39"/>
    <w:rsid w:val="00091746"/>
    <w:rsid w:val="000A54FD"/>
    <w:rsid w:val="000A74B1"/>
    <w:rsid w:val="000C16A4"/>
    <w:rsid w:val="000C1D4D"/>
    <w:rsid w:val="000D1FA8"/>
    <w:rsid w:val="0010466C"/>
    <w:rsid w:val="001208BC"/>
    <w:rsid w:val="001313F0"/>
    <w:rsid w:val="0017482F"/>
    <w:rsid w:val="00181187"/>
    <w:rsid w:val="00181A04"/>
    <w:rsid w:val="00191935"/>
    <w:rsid w:val="001B4A27"/>
    <w:rsid w:val="001E30E9"/>
    <w:rsid w:val="001E7DA3"/>
    <w:rsid w:val="00201469"/>
    <w:rsid w:val="0020738E"/>
    <w:rsid w:val="00232C0F"/>
    <w:rsid w:val="00291CA9"/>
    <w:rsid w:val="0029286D"/>
    <w:rsid w:val="002A5583"/>
    <w:rsid w:val="002C0399"/>
    <w:rsid w:val="002C1EDA"/>
    <w:rsid w:val="002E3C78"/>
    <w:rsid w:val="00305E12"/>
    <w:rsid w:val="0031605E"/>
    <w:rsid w:val="00327EB6"/>
    <w:rsid w:val="00362CB4"/>
    <w:rsid w:val="0037434B"/>
    <w:rsid w:val="003860D7"/>
    <w:rsid w:val="00397BC8"/>
    <w:rsid w:val="003A01BF"/>
    <w:rsid w:val="003A7721"/>
    <w:rsid w:val="003F1F26"/>
    <w:rsid w:val="0040542E"/>
    <w:rsid w:val="00406A76"/>
    <w:rsid w:val="00412FE6"/>
    <w:rsid w:val="004354EA"/>
    <w:rsid w:val="00444213"/>
    <w:rsid w:val="004552B5"/>
    <w:rsid w:val="004659EC"/>
    <w:rsid w:val="00472223"/>
    <w:rsid w:val="00474B9B"/>
    <w:rsid w:val="00492116"/>
    <w:rsid w:val="004956BE"/>
    <w:rsid w:val="004D768B"/>
    <w:rsid w:val="004F0916"/>
    <w:rsid w:val="004F1715"/>
    <w:rsid w:val="00516163"/>
    <w:rsid w:val="00527A8E"/>
    <w:rsid w:val="00533496"/>
    <w:rsid w:val="00582F4F"/>
    <w:rsid w:val="005B4893"/>
    <w:rsid w:val="005C06EE"/>
    <w:rsid w:val="005C3CA2"/>
    <w:rsid w:val="005D15DA"/>
    <w:rsid w:val="005E6CEC"/>
    <w:rsid w:val="00623577"/>
    <w:rsid w:val="006373C4"/>
    <w:rsid w:val="00643093"/>
    <w:rsid w:val="0066311C"/>
    <w:rsid w:val="00695565"/>
    <w:rsid w:val="006C029D"/>
    <w:rsid w:val="006D161A"/>
    <w:rsid w:val="006D40A7"/>
    <w:rsid w:val="006D65BA"/>
    <w:rsid w:val="006E0F12"/>
    <w:rsid w:val="006E77D9"/>
    <w:rsid w:val="006F3F70"/>
    <w:rsid w:val="00701FA8"/>
    <w:rsid w:val="0070327A"/>
    <w:rsid w:val="007143C7"/>
    <w:rsid w:val="007464E3"/>
    <w:rsid w:val="00793EEB"/>
    <w:rsid w:val="007C0EFE"/>
    <w:rsid w:val="007C36E6"/>
    <w:rsid w:val="007C5C67"/>
    <w:rsid w:val="007D50C6"/>
    <w:rsid w:val="007D5C08"/>
    <w:rsid w:val="007E2E6D"/>
    <w:rsid w:val="007F49FA"/>
    <w:rsid w:val="00803C1C"/>
    <w:rsid w:val="0084172A"/>
    <w:rsid w:val="008440F9"/>
    <w:rsid w:val="008510EC"/>
    <w:rsid w:val="00864242"/>
    <w:rsid w:val="00895DCB"/>
    <w:rsid w:val="008A08D1"/>
    <w:rsid w:val="008C0A4E"/>
    <w:rsid w:val="008C6A8A"/>
    <w:rsid w:val="008C6AD8"/>
    <w:rsid w:val="008D7013"/>
    <w:rsid w:val="008D758D"/>
    <w:rsid w:val="00936D86"/>
    <w:rsid w:val="00952CBA"/>
    <w:rsid w:val="00960015"/>
    <w:rsid w:val="00962668"/>
    <w:rsid w:val="00971977"/>
    <w:rsid w:val="009772DA"/>
    <w:rsid w:val="009D2594"/>
    <w:rsid w:val="009D2DA6"/>
    <w:rsid w:val="009F496A"/>
    <w:rsid w:val="009F6835"/>
    <w:rsid w:val="00A46E72"/>
    <w:rsid w:val="00A760F2"/>
    <w:rsid w:val="00AA111C"/>
    <w:rsid w:val="00AB03F8"/>
    <w:rsid w:val="00AB749C"/>
    <w:rsid w:val="00AD3E84"/>
    <w:rsid w:val="00AF308B"/>
    <w:rsid w:val="00AF3C35"/>
    <w:rsid w:val="00AF6EC6"/>
    <w:rsid w:val="00AF7486"/>
    <w:rsid w:val="00B32835"/>
    <w:rsid w:val="00B46391"/>
    <w:rsid w:val="00B7511E"/>
    <w:rsid w:val="00B8105C"/>
    <w:rsid w:val="00B92E26"/>
    <w:rsid w:val="00C00BE0"/>
    <w:rsid w:val="00C04027"/>
    <w:rsid w:val="00C04205"/>
    <w:rsid w:val="00C05AE8"/>
    <w:rsid w:val="00C57E4D"/>
    <w:rsid w:val="00C67081"/>
    <w:rsid w:val="00C7359F"/>
    <w:rsid w:val="00C83BE5"/>
    <w:rsid w:val="00CD1413"/>
    <w:rsid w:val="00CD7F7A"/>
    <w:rsid w:val="00D149E7"/>
    <w:rsid w:val="00D401A5"/>
    <w:rsid w:val="00D43AC0"/>
    <w:rsid w:val="00D5367E"/>
    <w:rsid w:val="00D60D26"/>
    <w:rsid w:val="00D61238"/>
    <w:rsid w:val="00D63CFE"/>
    <w:rsid w:val="00D65451"/>
    <w:rsid w:val="00D75AB8"/>
    <w:rsid w:val="00DA1C06"/>
    <w:rsid w:val="00DA36D7"/>
    <w:rsid w:val="00DC14E1"/>
    <w:rsid w:val="00DC52DE"/>
    <w:rsid w:val="00DE3A3F"/>
    <w:rsid w:val="00DE5941"/>
    <w:rsid w:val="00E107D1"/>
    <w:rsid w:val="00E1215A"/>
    <w:rsid w:val="00E26535"/>
    <w:rsid w:val="00E322AB"/>
    <w:rsid w:val="00E56D93"/>
    <w:rsid w:val="00E579CF"/>
    <w:rsid w:val="00E73A66"/>
    <w:rsid w:val="00E819CF"/>
    <w:rsid w:val="00E81C7A"/>
    <w:rsid w:val="00E81DA6"/>
    <w:rsid w:val="00E86A24"/>
    <w:rsid w:val="00E95AD4"/>
    <w:rsid w:val="00EA0065"/>
    <w:rsid w:val="00EA14AE"/>
    <w:rsid w:val="00EA31EB"/>
    <w:rsid w:val="00EB34A1"/>
    <w:rsid w:val="00EE0540"/>
    <w:rsid w:val="00EF31D5"/>
    <w:rsid w:val="00EF47BD"/>
    <w:rsid w:val="00F00F8A"/>
    <w:rsid w:val="00F02049"/>
    <w:rsid w:val="00F03178"/>
    <w:rsid w:val="00F109AB"/>
    <w:rsid w:val="00F240C8"/>
    <w:rsid w:val="00F436FE"/>
    <w:rsid w:val="00F45045"/>
    <w:rsid w:val="00F55432"/>
    <w:rsid w:val="00F56BB2"/>
    <w:rsid w:val="00F73FBA"/>
    <w:rsid w:val="00F76CAA"/>
    <w:rsid w:val="00F81988"/>
    <w:rsid w:val="00FA08C9"/>
    <w:rsid w:val="00FD1331"/>
    <w:rsid w:val="00FD5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2BBFF4"/>
  <w15:chartTrackingRefBased/>
  <w15:docId w15:val="{A71F4181-1E77-1B41-8C38-86F0982A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3">
    <w:name w:val="List Table 4 Accent 3"/>
    <w:basedOn w:val="TableNormal"/>
    <w:uiPriority w:val="49"/>
    <w:rsid w:val="003A7721"/>
    <w:rPr>
      <w:sz w:val="22"/>
      <w:szCs w:val="22"/>
      <w:lang w:val="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3A772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TZOLOS Evangelos</dc:creator>
  <cp:keywords/>
  <dc:description/>
  <cp:lastModifiedBy>TZOLOS Evangelos</cp:lastModifiedBy>
  <cp:revision>3</cp:revision>
  <dcterms:created xsi:type="dcterms:W3CDTF">2021-03-07T20:03:00Z</dcterms:created>
  <dcterms:modified xsi:type="dcterms:W3CDTF">2021-03-07T20:41:00Z</dcterms:modified>
</cp:coreProperties>
</file>