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769F" w14:textId="5B7F299E" w:rsidR="00727E34" w:rsidRPr="00D01483" w:rsidRDefault="003221E8" w:rsidP="00205489">
      <w:pPr>
        <w:pStyle w:val="AECheading2"/>
        <w:spacing w:before="0"/>
        <w:jc w:val="center"/>
        <w:rPr>
          <w:spacing w:val="28"/>
          <w:kern w:val="24"/>
        </w:rPr>
      </w:pPr>
      <w:bookmarkStart w:id="0" w:name="_GoBack"/>
      <w:bookmarkEnd w:id="0"/>
      <w:r>
        <w:rPr>
          <w:noProof/>
        </w:rPr>
        <w:drawing>
          <wp:inline distT="0" distB="0" distL="0" distR="0" wp14:anchorId="2A984D95" wp14:editId="186450DF">
            <wp:extent cx="998220" cy="906780"/>
            <wp:effectExtent l="0" t="0" r="0" b="0"/>
            <wp:docPr id="1" name="Picture 1"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logo 2005"/>
                    <pic:cNvPicPr>
                      <a:picLocks noChangeAspect="1" noChangeArrowheads="1"/>
                    </pic:cNvPicPr>
                  </pic:nvPicPr>
                  <pic:blipFill>
                    <a:blip r:embed="rId5" cstate="print">
                      <a:lum contrast="42000"/>
                      <a:extLst>
                        <a:ext uri="{28A0092B-C50C-407E-A947-70E740481C1C}">
                          <a14:useLocalDpi xmlns:a14="http://schemas.microsoft.com/office/drawing/2010/main" val="0"/>
                        </a:ext>
                      </a:extLst>
                    </a:blip>
                    <a:srcRect/>
                    <a:stretch>
                      <a:fillRect/>
                    </a:stretch>
                  </pic:blipFill>
                  <pic:spPr bwMode="auto">
                    <a:xfrm>
                      <a:off x="0" y="0"/>
                      <a:ext cx="998220" cy="906780"/>
                    </a:xfrm>
                    <a:prstGeom prst="rect">
                      <a:avLst/>
                    </a:prstGeom>
                    <a:noFill/>
                    <a:ln>
                      <a:noFill/>
                    </a:ln>
                  </pic:spPr>
                </pic:pic>
              </a:graphicData>
            </a:graphic>
          </wp:inline>
        </w:drawing>
      </w:r>
      <w:r w:rsidR="00727E34" w:rsidRPr="00D01483">
        <w:rPr>
          <w:spacing w:val="28"/>
          <w:kern w:val="24"/>
          <w:position w:val="60"/>
        </w:rPr>
        <w:t xml:space="preserve">           Société Rencesvals British Branch          </w:t>
      </w:r>
      <w:r>
        <w:rPr>
          <w:noProof/>
        </w:rPr>
        <w:drawing>
          <wp:inline distT="0" distB="0" distL="0" distR="0" wp14:anchorId="2FE5069A" wp14:editId="0C1877BA">
            <wp:extent cx="998220" cy="906780"/>
            <wp:effectExtent l="0" t="0" r="0" b="0"/>
            <wp:docPr id="2" name="Picture 2"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logo 2005"/>
                    <pic:cNvPicPr>
                      <a:picLocks noChangeAspect="1" noChangeArrowheads="1"/>
                    </pic:cNvPicPr>
                  </pic:nvPicPr>
                  <pic:blipFill>
                    <a:blip r:embed="rId5" cstate="print">
                      <a:lum contrast="42000"/>
                      <a:extLst>
                        <a:ext uri="{28A0092B-C50C-407E-A947-70E740481C1C}">
                          <a14:useLocalDpi xmlns:a14="http://schemas.microsoft.com/office/drawing/2010/main" val="0"/>
                        </a:ext>
                      </a:extLst>
                    </a:blip>
                    <a:srcRect/>
                    <a:stretch>
                      <a:fillRect/>
                    </a:stretch>
                  </pic:blipFill>
                  <pic:spPr bwMode="auto">
                    <a:xfrm>
                      <a:off x="0" y="0"/>
                      <a:ext cx="998220" cy="906780"/>
                    </a:xfrm>
                    <a:prstGeom prst="rect">
                      <a:avLst/>
                    </a:prstGeom>
                    <a:noFill/>
                    <a:ln>
                      <a:noFill/>
                    </a:ln>
                  </pic:spPr>
                </pic:pic>
              </a:graphicData>
            </a:graphic>
          </wp:inline>
        </w:drawing>
      </w:r>
    </w:p>
    <w:p w14:paraId="30B67469" w14:textId="77777777" w:rsidR="00727E34" w:rsidRPr="00873578" w:rsidRDefault="00727E34" w:rsidP="004D75A7">
      <w:pPr>
        <w:pStyle w:val="AECheading2"/>
        <w:spacing w:before="0" w:after="120"/>
        <w:jc w:val="center"/>
      </w:pPr>
      <w:r w:rsidRPr="00873578">
        <w:t xml:space="preserve">British Rencesvals Publications </w:t>
      </w:r>
      <w:r>
        <w:t>7</w:t>
      </w:r>
    </w:p>
    <w:p w14:paraId="629CBCA4" w14:textId="77777777" w:rsidR="00727E34" w:rsidRPr="00205489" w:rsidRDefault="00727E34" w:rsidP="004D75A7">
      <w:pPr>
        <w:pStyle w:val="AECheading2"/>
        <w:spacing w:before="120" w:after="0"/>
        <w:jc w:val="center"/>
        <w:rPr>
          <w:sz w:val="24"/>
          <w:szCs w:val="24"/>
        </w:rPr>
      </w:pPr>
      <w:r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r w:rsidR="005F6B4C" w:rsidRPr="00205489">
        <w:rPr>
          <w:sz w:val="24"/>
          <w:szCs w:val="24"/>
        </w:rPr>
        <w:sym w:font="Wingdings" w:char="F075"/>
      </w:r>
      <w:r w:rsidR="005F6B4C"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r w:rsidRPr="00205489">
        <w:rPr>
          <w:sz w:val="24"/>
          <w:szCs w:val="24"/>
        </w:rPr>
        <w:sym w:font="Wingdings" w:char="F075"/>
      </w:r>
    </w:p>
    <w:p w14:paraId="31FDD5A1" w14:textId="77777777" w:rsidR="00727E34" w:rsidRPr="009F6620" w:rsidRDefault="00727E34" w:rsidP="001D222B">
      <w:pPr>
        <w:pStyle w:val="AECheading2"/>
        <w:spacing w:after="180"/>
        <w:jc w:val="center"/>
        <w:rPr>
          <w:b w:val="0"/>
          <w:i/>
          <w:spacing w:val="20"/>
          <w:sz w:val="32"/>
          <w:szCs w:val="32"/>
        </w:rPr>
      </w:pPr>
      <w:r w:rsidRPr="009F6620">
        <w:rPr>
          <w:i/>
          <w:spacing w:val="20"/>
          <w:sz w:val="32"/>
          <w:szCs w:val="32"/>
        </w:rPr>
        <w:t>Epic Connections / Rencontres épiques</w:t>
      </w:r>
    </w:p>
    <w:p w14:paraId="71F94ED0" w14:textId="77777777" w:rsidR="00727E34" w:rsidRPr="00A0252B" w:rsidRDefault="00727E34" w:rsidP="00205489">
      <w:pPr>
        <w:pStyle w:val="AEC"/>
        <w:spacing w:after="180" w:line="360" w:lineRule="auto"/>
        <w:jc w:val="center"/>
        <w:rPr>
          <w:b/>
          <w:bCs/>
          <w:i/>
          <w:sz w:val="28"/>
          <w:szCs w:val="28"/>
        </w:rPr>
      </w:pPr>
      <w:r w:rsidRPr="00B465CC">
        <w:rPr>
          <w:b/>
          <w:bCs/>
          <w:i/>
          <w:sz w:val="28"/>
          <w:szCs w:val="28"/>
        </w:rPr>
        <w:t>Proceedings of the Nineteenth</w:t>
      </w:r>
      <w:r>
        <w:rPr>
          <w:b/>
          <w:bCs/>
          <w:i/>
          <w:sz w:val="28"/>
          <w:szCs w:val="28"/>
        </w:rPr>
        <w:t xml:space="preserve"> International Conference </w:t>
      </w:r>
      <w:r>
        <w:rPr>
          <w:b/>
          <w:bCs/>
          <w:i/>
          <w:sz w:val="28"/>
          <w:szCs w:val="28"/>
        </w:rPr>
        <w:br/>
        <w:t>of the Société Rencesvals, Oxford, 13–17 August 2012</w:t>
      </w:r>
    </w:p>
    <w:p w14:paraId="04516CCA" w14:textId="77777777" w:rsidR="00727E34" w:rsidRPr="00ED452D" w:rsidRDefault="00727E34" w:rsidP="00205489">
      <w:pPr>
        <w:pStyle w:val="AECheading2"/>
        <w:spacing w:before="0" w:after="180"/>
        <w:jc w:val="center"/>
      </w:pPr>
      <w:r w:rsidRPr="00ED452D">
        <w:t xml:space="preserve">edited by </w:t>
      </w:r>
      <w:r>
        <w:t>Marianne J. Ailes,</w:t>
      </w:r>
      <w:r w:rsidRPr="00ED452D">
        <w:t xml:space="preserve"> </w:t>
      </w:r>
      <w:r>
        <w:t>Philip E. Bennett</w:t>
      </w:r>
      <w:r w:rsidR="0092247D">
        <w:t>,</w:t>
      </w:r>
      <w:r>
        <w:t xml:space="preserve"> </w:t>
      </w:r>
      <w:r w:rsidRPr="00ED452D">
        <w:t>Anne Elizabeth Cobby</w:t>
      </w:r>
    </w:p>
    <w:p w14:paraId="42C73229" w14:textId="77777777" w:rsidR="00205489" w:rsidRDefault="00727E34" w:rsidP="00205489">
      <w:pPr>
        <w:pStyle w:val="AECheading2"/>
        <w:spacing w:before="0" w:after="180"/>
        <w:jc w:val="center"/>
      </w:pPr>
      <w:r w:rsidRPr="00873578">
        <w:t>Edinburgh 20</w:t>
      </w:r>
      <w:r>
        <w:t>14</w:t>
      </w:r>
    </w:p>
    <w:p w14:paraId="6EDC323F" w14:textId="77777777" w:rsidR="00727E34" w:rsidRPr="00873578" w:rsidRDefault="00727E34" w:rsidP="00205489">
      <w:pPr>
        <w:pStyle w:val="AECheading2"/>
        <w:spacing w:before="0" w:after="120"/>
        <w:jc w:val="center"/>
      </w:pPr>
      <w:r w:rsidRPr="00873578">
        <w:t xml:space="preserve">ISBN </w:t>
      </w:r>
      <w:r w:rsidRPr="0007055D">
        <w:t>978</w:t>
      </w:r>
      <w:r>
        <w:t xml:space="preserve"> </w:t>
      </w:r>
      <w:r w:rsidRPr="0007055D">
        <w:t>0</w:t>
      </w:r>
      <w:r>
        <w:t xml:space="preserve"> </w:t>
      </w:r>
      <w:r w:rsidRPr="0007055D">
        <w:t>9519791</w:t>
      </w:r>
      <w:r>
        <w:t xml:space="preserve"> 8 1</w:t>
      </w:r>
    </w:p>
    <w:p w14:paraId="1080958C" w14:textId="77777777" w:rsidR="00727E34" w:rsidRPr="00947045" w:rsidRDefault="00727E34" w:rsidP="00205489">
      <w:pPr>
        <w:pStyle w:val="AEC"/>
        <w:spacing w:before="120"/>
        <w:jc w:val="center"/>
        <w:rPr>
          <w:b/>
          <w:bCs/>
          <w:szCs w:val="24"/>
        </w:rPr>
      </w:pP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p>
    <w:p w14:paraId="2FF5DCAC" w14:textId="77777777" w:rsidR="00727E34" w:rsidRPr="00727E34" w:rsidRDefault="00727E34" w:rsidP="00205489">
      <w:pPr>
        <w:pStyle w:val="AECheading2"/>
        <w:spacing w:before="60" w:after="60"/>
        <w:jc w:val="center"/>
      </w:pPr>
      <w:r w:rsidRPr="00727E34">
        <w:rPr>
          <w:bCs/>
          <w:kern w:val="24"/>
          <w:sz w:val="24"/>
          <w:szCs w:val="20"/>
        </w:rPr>
        <w:t>The two volumes of Proceedings contain papers by the keynote speakers Bill Burgwinkle, Dorothea Kullmann, Francine Mora and Bernard Ribémont, and thirty-nine session papers on the themes ‘Queer Theory and the Chansons de Geste’, ‘La Tradition rolandienne dans tous ses états’, ‘Chansons de Geste and Antiquity’, ‘The Representation of Law in the Chansons de Geste’, and miscellanea.</w:t>
      </w:r>
    </w:p>
    <w:p w14:paraId="061F90E6" w14:textId="77777777" w:rsidR="00727E34" w:rsidRPr="00947045" w:rsidRDefault="00727E34" w:rsidP="00205489">
      <w:pPr>
        <w:pStyle w:val="AEC"/>
        <w:spacing w:before="60" w:after="60"/>
        <w:jc w:val="center"/>
        <w:rPr>
          <w:b/>
          <w:bCs/>
          <w:szCs w:val="24"/>
        </w:rPr>
      </w:pPr>
      <w:r w:rsidRPr="00947045">
        <w:rPr>
          <w:b/>
          <w:bCs/>
          <w:szCs w:val="24"/>
        </w:rPr>
        <w:sym w:font="Wingdings" w:char="F075"/>
      </w:r>
      <w:r w:rsidRPr="00947045">
        <w:rPr>
          <w:b/>
          <w:bCs/>
          <w:szCs w:val="24"/>
        </w:rPr>
        <w:sym w:font="Wingdings" w:char="F075"/>
      </w:r>
      <w:r w:rsidR="005F6B4C" w:rsidRPr="00947045">
        <w:rPr>
          <w:szCs w:val="24"/>
        </w:rPr>
        <w:sym w:font="Wingdings" w:char="F075"/>
      </w:r>
      <w:r w:rsidR="005F6B4C" w:rsidRPr="00947045">
        <w:rPr>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r w:rsidRPr="00947045">
        <w:rPr>
          <w:b/>
          <w:bCs/>
          <w:szCs w:val="24"/>
        </w:rPr>
        <w:sym w:font="Wingdings" w:char="F075"/>
      </w:r>
    </w:p>
    <w:p w14:paraId="040675F0" w14:textId="77777777" w:rsidR="00727E34" w:rsidRDefault="00727E34" w:rsidP="00727E34">
      <w:pPr>
        <w:pStyle w:val="AEC"/>
        <w:jc w:val="center"/>
        <w:rPr>
          <w:b/>
          <w:bCs/>
        </w:rPr>
      </w:pPr>
      <w:r>
        <w:rPr>
          <w:b/>
          <w:bCs/>
        </w:rPr>
        <w:t>Private orders:</w:t>
      </w:r>
      <w:r w:rsidR="00CA4B84">
        <w:rPr>
          <w:b/>
          <w:bCs/>
        </w:rPr>
        <w:t xml:space="preserve"> </w:t>
      </w:r>
      <w:r>
        <w:rPr>
          <w:b/>
          <w:bCs/>
        </w:rPr>
        <w:t xml:space="preserve"> £60.00 plus postage and </w:t>
      </w:r>
      <w:r w:rsidR="00EE7139">
        <w:rPr>
          <w:b/>
          <w:bCs/>
        </w:rPr>
        <w:t>packing</w:t>
      </w:r>
    </w:p>
    <w:p w14:paraId="06E73C60" w14:textId="77777777" w:rsidR="00727E34" w:rsidRDefault="00727E34" w:rsidP="00727E34">
      <w:pPr>
        <w:pStyle w:val="AEC"/>
        <w:jc w:val="center"/>
        <w:rPr>
          <w:b/>
          <w:bCs/>
        </w:rPr>
      </w:pPr>
      <w:r>
        <w:rPr>
          <w:b/>
          <w:bCs/>
        </w:rPr>
        <w:t xml:space="preserve">Trade orders:  </w:t>
      </w:r>
      <w:r w:rsidRPr="00873578">
        <w:rPr>
          <w:b/>
          <w:bCs/>
        </w:rPr>
        <w:t>£</w:t>
      </w:r>
      <w:r>
        <w:rPr>
          <w:b/>
          <w:bCs/>
        </w:rPr>
        <w:t>45</w:t>
      </w:r>
      <w:r w:rsidRPr="00873578">
        <w:rPr>
          <w:b/>
          <w:bCs/>
        </w:rPr>
        <w:t>.</w:t>
      </w:r>
      <w:r>
        <w:rPr>
          <w:b/>
          <w:bCs/>
        </w:rPr>
        <w:t>0</w:t>
      </w:r>
      <w:r w:rsidRPr="00873578">
        <w:rPr>
          <w:b/>
          <w:bCs/>
        </w:rPr>
        <w:t xml:space="preserve">0 </w:t>
      </w:r>
      <w:r>
        <w:rPr>
          <w:b/>
          <w:bCs/>
        </w:rPr>
        <w:t xml:space="preserve">plus postage and </w:t>
      </w:r>
      <w:r w:rsidR="00EE7139">
        <w:rPr>
          <w:b/>
          <w:bCs/>
        </w:rPr>
        <w:t>packing</w:t>
      </w:r>
    </w:p>
    <w:p w14:paraId="7003ED96" w14:textId="77777777" w:rsidR="00205489" w:rsidRDefault="00205489" w:rsidP="00205489">
      <w:pPr>
        <w:pStyle w:val="AEC"/>
        <w:spacing w:before="120"/>
        <w:jc w:val="center"/>
        <w:rPr>
          <w:b/>
          <w:bCs/>
        </w:rPr>
      </w:pPr>
      <w:r>
        <w:rPr>
          <w:b/>
          <w:bCs/>
        </w:rPr>
        <w:t>Postage and packing per copy:</w:t>
      </w:r>
    </w:p>
    <w:p w14:paraId="61BE94F7" w14:textId="77777777" w:rsidR="00727E34" w:rsidRDefault="00727E34" w:rsidP="00727E34">
      <w:pPr>
        <w:pStyle w:val="AEC"/>
        <w:jc w:val="center"/>
        <w:rPr>
          <w:b/>
          <w:bCs/>
        </w:rPr>
      </w:pPr>
      <w:r>
        <w:rPr>
          <w:b/>
          <w:bCs/>
        </w:rPr>
        <w:t>UK £5.00 (maximum £20.00); Europe £1</w:t>
      </w:r>
      <w:r w:rsidR="00EE3CA6">
        <w:rPr>
          <w:b/>
          <w:bCs/>
        </w:rPr>
        <w:t>3</w:t>
      </w:r>
      <w:r>
        <w:rPr>
          <w:b/>
          <w:bCs/>
        </w:rPr>
        <w:t>.00, rest of the world £1</w:t>
      </w:r>
      <w:r w:rsidR="00EE3CA6">
        <w:rPr>
          <w:b/>
          <w:bCs/>
        </w:rPr>
        <w:t>9</w:t>
      </w:r>
      <w:r>
        <w:rPr>
          <w:b/>
          <w:bCs/>
        </w:rPr>
        <w:t xml:space="preserve">.00 (bulk overseas orders at </w:t>
      </w:r>
      <w:r w:rsidR="00EE7139">
        <w:rPr>
          <w:b/>
          <w:bCs/>
        </w:rPr>
        <w:t>cost)</w:t>
      </w:r>
    </w:p>
    <w:p w14:paraId="6765C323" w14:textId="77777777" w:rsidR="009B1C59" w:rsidRDefault="00AB31E3" w:rsidP="00AB31E3">
      <w:pPr>
        <w:pStyle w:val="AEC"/>
        <w:jc w:val="center"/>
        <w:rPr>
          <w:b/>
          <w:bCs/>
          <w:szCs w:val="24"/>
        </w:rPr>
      </w:pPr>
      <w:r w:rsidRPr="00E9727F">
        <w:rPr>
          <w:b/>
          <w:bCs/>
          <w:szCs w:val="24"/>
        </w:rPr>
        <w:t>Payment from outside the UK must be made by sterling cheque or sterling bank draft drawn on a bank in the UK, by bank transfer, or by Paypal</w:t>
      </w:r>
      <w:r>
        <w:rPr>
          <w:b/>
          <w:bCs/>
          <w:szCs w:val="24"/>
        </w:rPr>
        <w:t xml:space="preserve"> (small surcharge)</w:t>
      </w:r>
      <w:r w:rsidRPr="00E9727F">
        <w:rPr>
          <w:b/>
          <w:bCs/>
          <w:szCs w:val="24"/>
        </w:rPr>
        <w:t>; otherwise the equivalent of £15.00 per order must be added to cover bank charges.</w:t>
      </w:r>
    </w:p>
    <w:p w14:paraId="45FBF5C6" w14:textId="77777777" w:rsidR="00727E34" w:rsidRPr="00205489" w:rsidRDefault="00727E34" w:rsidP="00205489">
      <w:pPr>
        <w:pStyle w:val="AEC"/>
        <w:spacing w:before="60" w:after="60"/>
        <w:jc w:val="center"/>
        <w:rPr>
          <w:b/>
          <w:bCs/>
          <w:szCs w:val="24"/>
        </w:rPr>
      </w:pP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005F6B4C" w:rsidRPr="00205489">
        <w:rPr>
          <w:szCs w:val="24"/>
        </w:rPr>
        <w:sym w:font="Wingdings" w:char="F075"/>
      </w:r>
      <w:r w:rsidR="005F6B4C" w:rsidRPr="00205489">
        <w:rPr>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p>
    <w:p w14:paraId="6E108185" w14:textId="77777777" w:rsidR="00982612" w:rsidRPr="00205489" w:rsidRDefault="00982612" w:rsidP="00205489">
      <w:pPr>
        <w:pStyle w:val="AEC"/>
        <w:spacing w:before="60" w:after="60"/>
        <w:jc w:val="center"/>
        <w:rPr>
          <w:b/>
          <w:bCs/>
          <w:szCs w:val="24"/>
        </w:rPr>
      </w:pPr>
      <w:r w:rsidRPr="00205489">
        <w:rPr>
          <w:b/>
          <w:bCs/>
          <w:szCs w:val="24"/>
        </w:rPr>
        <w:t>Distributed by Dr. A. E. Cobby, 17 George Street, CAMBRIDGE CB4 1AL, email aec25@cam.ac.uk</w:t>
      </w:r>
    </w:p>
    <w:p w14:paraId="0A45CE4B" w14:textId="77777777" w:rsidR="00727E34" w:rsidRPr="00205489" w:rsidRDefault="00727E34" w:rsidP="00205489">
      <w:pPr>
        <w:pStyle w:val="AEC"/>
        <w:spacing w:before="60" w:after="60"/>
        <w:jc w:val="center"/>
        <w:rPr>
          <w:b/>
          <w:bCs/>
          <w:szCs w:val="24"/>
        </w:rPr>
      </w:pP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005F6B4C" w:rsidRPr="00205489">
        <w:rPr>
          <w:szCs w:val="24"/>
        </w:rPr>
        <w:sym w:font="Wingdings" w:char="F075"/>
      </w:r>
      <w:r w:rsidR="005F6B4C" w:rsidRPr="00205489">
        <w:rPr>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r w:rsidRPr="00205489">
        <w:rPr>
          <w:b/>
          <w:bCs/>
          <w:szCs w:val="24"/>
        </w:rPr>
        <w:sym w:font="Wingdings" w:char="F075"/>
      </w:r>
    </w:p>
    <w:p w14:paraId="3307DA34" w14:textId="77777777" w:rsidR="00727E34" w:rsidRPr="00873578" w:rsidRDefault="00727E34" w:rsidP="00727E34">
      <w:pPr>
        <w:pStyle w:val="AEC"/>
        <w:tabs>
          <w:tab w:val="right" w:leader="dot" w:pos="10490"/>
        </w:tabs>
      </w:pPr>
      <w:r w:rsidRPr="00873578">
        <w:sym w:font="Wingdings" w:char="F022"/>
      </w:r>
      <w:r w:rsidRPr="00873578">
        <w:tab/>
      </w:r>
    </w:p>
    <w:p w14:paraId="4F4AD741" w14:textId="77777777" w:rsidR="00727E34" w:rsidRDefault="00727E34" w:rsidP="00727E34">
      <w:pPr>
        <w:pStyle w:val="AEC"/>
      </w:pPr>
      <w:r>
        <w:t>To:  Dr A. E. Cobby, 17 George Street, CAMBRIDGE CB4 1</w:t>
      </w:r>
      <w:r w:rsidR="009B1C59">
        <w:t>AL</w:t>
      </w:r>
    </w:p>
    <w:p w14:paraId="0530B4B4" w14:textId="77777777" w:rsidR="00727E34" w:rsidRDefault="00727E34" w:rsidP="00727E34">
      <w:pPr>
        <w:pStyle w:val="AEC"/>
        <w:rPr>
          <w:b/>
          <w:bCs/>
          <w:i/>
          <w:iCs/>
        </w:rPr>
      </w:pPr>
      <w:r w:rsidRPr="00FB5261">
        <w:rPr>
          <w:b/>
          <w:bCs/>
        </w:rPr>
        <w:t>Please send me ......... copy/copies</w:t>
      </w:r>
      <w:r>
        <w:rPr>
          <w:b/>
          <w:bCs/>
        </w:rPr>
        <w:t xml:space="preserve"> of </w:t>
      </w:r>
      <w:r>
        <w:rPr>
          <w:b/>
          <w:bCs/>
          <w:i/>
          <w:iCs/>
        </w:rPr>
        <w:t>Epic Connections / Rencontres épiques</w:t>
      </w:r>
      <w:r w:rsidR="00E5668B">
        <w:rPr>
          <w:b/>
          <w:bCs/>
          <w:i/>
          <w:iCs/>
        </w:rPr>
        <w:t>.</w:t>
      </w:r>
    </w:p>
    <w:p w14:paraId="389119EF" w14:textId="77777777" w:rsidR="00727E34" w:rsidRPr="00912797" w:rsidRDefault="00727E34" w:rsidP="00727E34">
      <w:pPr>
        <w:pStyle w:val="AEC"/>
      </w:pPr>
      <w:r w:rsidRPr="00912797">
        <w:rPr>
          <w:bCs/>
          <w:iCs/>
        </w:rPr>
        <w:t>P</w:t>
      </w:r>
      <w:r w:rsidRPr="00912797">
        <w:t xml:space="preserve">rivate single order @ £60.00 + </w:t>
      </w:r>
      <w:r w:rsidR="00AB31E3">
        <w:t>postage and packing as above:  total £…..</w:t>
      </w:r>
    </w:p>
    <w:p w14:paraId="319CB6AC" w14:textId="77777777" w:rsidR="00727E34" w:rsidRPr="00873578" w:rsidRDefault="00727E34" w:rsidP="00727E34">
      <w:pPr>
        <w:pStyle w:val="AEC"/>
      </w:pPr>
      <w:r>
        <w:rPr>
          <w:bCs/>
        </w:rPr>
        <w:t>P</w:t>
      </w:r>
      <w:r w:rsidRPr="003549AA">
        <w:t>l</w:t>
      </w:r>
      <w:r w:rsidRPr="00873578">
        <w:t>ease tick [</w:t>
      </w:r>
      <w:r w:rsidRPr="00873578">
        <w:sym w:font="Wingdings" w:char="F0FC"/>
      </w:r>
      <w:r w:rsidRPr="00873578">
        <w:t>] the appropriate box:</w:t>
      </w:r>
    </w:p>
    <w:p w14:paraId="6418BDF2" w14:textId="77777777" w:rsidR="00982612" w:rsidRPr="00A83EC5" w:rsidRDefault="00982612" w:rsidP="00982612">
      <w:pPr>
        <w:pStyle w:val="AEC"/>
      </w:pPr>
      <w:r w:rsidRPr="00A83EC5">
        <w:t>[   ]</w:t>
      </w:r>
      <w:r>
        <w:tab/>
      </w:r>
      <w:r w:rsidRPr="00A83EC5">
        <w:tab/>
        <w:t xml:space="preserve">I enclose </w:t>
      </w:r>
      <w:r>
        <w:t xml:space="preserve">a cheque for </w:t>
      </w:r>
      <w:r w:rsidRPr="00A83EC5">
        <w:t xml:space="preserve">£............... payable to </w:t>
      </w:r>
      <w:r>
        <w:t>‘</w:t>
      </w:r>
      <w:r w:rsidRPr="00A83EC5">
        <w:t>Société Rencesvals British Branch</w:t>
      </w:r>
      <w:r>
        <w:t>’</w:t>
      </w:r>
    </w:p>
    <w:p w14:paraId="243BE879" w14:textId="77777777" w:rsidR="00982612" w:rsidRDefault="00982612" w:rsidP="00982612">
      <w:pPr>
        <w:pStyle w:val="AEC"/>
      </w:pPr>
      <w:r>
        <w:t>[   ]</w:t>
      </w:r>
      <w:r>
        <w:tab/>
      </w:r>
      <w:r>
        <w:tab/>
        <w:t>I wish to pay by bank transfer:  please send me the account details</w:t>
      </w:r>
    </w:p>
    <w:p w14:paraId="29523197" w14:textId="77777777" w:rsidR="00982612" w:rsidRDefault="00982612" w:rsidP="00982612">
      <w:pPr>
        <w:pStyle w:val="AEC"/>
      </w:pPr>
      <w:r>
        <w:t>[   ]</w:t>
      </w:r>
      <w:r>
        <w:tab/>
      </w:r>
      <w:r>
        <w:tab/>
        <w:t>I wish to pay by Paypal:  please send me an invoice</w:t>
      </w:r>
    </w:p>
    <w:p w14:paraId="51453A35" w14:textId="77777777" w:rsidR="003376BB" w:rsidRDefault="003376BB" w:rsidP="003376BB">
      <w:pPr>
        <w:pStyle w:val="AEC"/>
      </w:pPr>
      <w:r>
        <w:t xml:space="preserve">Name: </w:t>
      </w:r>
      <w:r>
        <w:tab/>
      </w:r>
      <w:r>
        <w:tab/>
      </w:r>
      <w:r>
        <w:tab/>
      </w:r>
      <w:r>
        <w:tab/>
      </w:r>
      <w:r>
        <w:tab/>
      </w:r>
      <w:r>
        <w:tab/>
      </w:r>
      <w:r>
        <w:tab/>
      </w:r>
      <w:r>
        <w:tab/>
      </w:r>
      <w:r>
        <w:tab/>
      </w:r>
      <w:r>
        <w:tab/>
      </w:r>
      <w:r>
        <w:tab/>
        <w:t>Address:</w:t>
      </w:r>
    </w:p>
    <w:p w14:paraId="67D6E09D" w14:textId="77777777" w:rsidR="005D139D" w:rsidRDefault="003376BB" w:rsidP="003672CE">
      <w:pPr>
        <w:pStyle w:val="AEC"/>
      </w:pPr>
      <w:r>
        <w:t>Email:</w:t>
      </w:r>
    </w:p>
    <w:p w14:paraId="3973CD50" w14:textId="77777777" w:rsidR="007C25BB" w:rsidRDefault="005D139D" w:rsidP="005D139D">
      <w:pPr>
        <w:pStyle w:val="AEC"/>
      </w:pPr>
      <w:r>
        <w:br w:type="page"/>
      </w:r>
    </w:p>
    <w:sectPr w:rsidR="007C25BB" w:rsidSect="000E29E0">
      <w:pgSz w:w="11907"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423"/>
    <w:multiLevelType w:val="multilevel"/>
    <w:tmpl w:val="ACD03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B0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5524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5C19E1"/>
    <w:multiLevelType w:val="hybridMultilevel"/>
    <w:tmpl w:val="9D54054E"/>
    <w:lvl w:ilvl="0" w:tplc="D460189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B57463D"/>
    <w:multiLevelType w:val="hybridMultilevel"/>
    <w:tmpl w:val="CEC84E2A"/>
    <w:lvl w:ilvl="0" w:tplc="F54AB642">
      <w:start w:val="1"/>
      <w:numFmt w:val="decimal"/>
      <w:lvlText w:val="B%1."/>
      <w:lvlJc w:val="left"/>
      <w:pPr>
        <w:tabs>
          <w:tab w:val="num" w:pos="397"/>
        </w:tabs>
        <w:ind w:left="397" w:hanging="397"/>
      </w:pPr>
      <w:rPr>
        <w:rFonts w:hint="default"/>
      </w:rPr>
    </w:lvl>
    <w:lvl w:ilvl="1" w:tplc="04090019">
      <w:start w:val="1"/>
      <w:numFmt w:val="bullet"/>
      <w:lvlText w:val=""/>
      <w:lvlJc w:val="left"/>
      <w:pPr>
        <w:tabs>
          <w:tab w:val="num" w:pos="1440"/>
        </w:tabs>
        <w:ind w:left="1437" w:hanging="35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F638CB"/>
    <w:multiLevelType w:val="hybridMultilevel"/>
    <w:tmpl w:val="223E26C8"/>
    <w:lvl w:ilvl="0" w:tplc="47F4E3D2">
      <w:start w:val="1"/>
      <w:numFmt w:val="bullet"/>
      <w:pStyle w:val="AEC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2659B"/>
    <w:multiLevelType w:val="hybridMultilevel"/>
    <w:tmpl w:val="103881D6"/>
    <w:lvl w:ilvl="0" w:tplc="FD7C4C96">
      <w:start w:val="1"/>
      <w:numFmt w:val="bullet"/>
      <w:lvlText w:val=""/>
      <w:lvlJc w:val="left"/>
      <w:pPr>
        <w:tabs>
          <w:tab w:val="num" w:pos="1074"/>
        </w:tabs>
        <w:ind w:left="714" w:firstLine="0"/>
      </w:pPr>
      <w:rPr>
        <w:rFonts w:ascii="Symbol" w:hAnsi="Symbol" w:hint="default"/>
      </w:rPr>
    </w:lvl>
    <w:lvl w:ilvl="1" w:tplc="4412D666">
      <w:start w:val="1"/>
      <w:numFmt w:val="bullet"/>
      <w:lvlText w:val="o"/>
      <w:lvlJc w:val="left"/>
      <w:pPr>
        <w:tabs>
          <w:tab w:val="num" w:pos="1074"/>
        </w:tabs>
        <w:ind w:left="1071" w:hanging="357"/>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A0521"/>
    <w:multiLevelType w:val="hybridMultilevel"/>
    <w:tmpl w:val="4410A232"/>
    <w:lvl w:ilvl="0" w:tplc="7D72DEF8">
      <w:start w:val="1"/>
      <w:numFmt w:val="bullet"/>
      <w:lvlText w:val=""/>
      <w:lvlJc w:val="left"/>
      <w:pPr>
        <w:tabs>
          <w:tab w:val="num" w:pos="717"/>
        </w:tabs>
        <w:ind w:left="714" w:hanging="357"/>
      </w:pPr>
      <w:rPr>
        <w:rFonts w:ascii="Symbol" w:hAnsi="Symbol" w:hint="default"/>
      </w:rPr>
    </w:lvl>
    <w:lvl w:ilvl="1" w:tplc="F9B058CC">
      <w:start w:val="1"/>
      <w:numFmt w:val="bullet"/>
      <w:lvlText w:val=""/>
      <w:lvlJc w:val="left"/>
      <w:pPr>
        <w:tabs>
          <w:tab w:val="num" w:pos="1074"/>
        </w:tabs>
        <w:ind w:left="997" w:hanging="28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A0AF9"/>
    <w:multiLevelType w:val="singleLevel"/>
    <w:tmpl w:val="EFCE6BBC"/>
    <w:lvl w:ilvl="0">
      <w:start w:val="1"/>
      <w:numFmt w:val="decimal"/>
      <w:lvlText w:val="%1."/>
      <w:legacy w:legacy="1" w:legacySpace="0" w:legacyIndent="283"/>
      <w:lvlJc w:val="left"/>
      <w:pPr>
        <w:ind w:left="283" w:hanging="283"/>
      </w:pPr>
    </w:lvl>
  </w:abstractNum>
  <w:abstractNum w:abstractNumId="9" w15:restartNumberingAfterBreak="0">
    <w:nsid w:val="6AD65274"/>
    <w:multiLevelType w:val="hybridMultilevel"/>
    <w:tmpl w:val="50507080"/>
    <w:lvl w:ilvl="0" w:tplc="0EE00BC2">
      <w:start w:val="1"/>
      <w:numFmt w:val="bullet"/>
      <w:lvlText w:val=""/>
      <w:lvlJc w:val="left"/>
      <w:pPr>
        <w:tabs>
          <w:tab w:val="num" w:pos="717"/>
        </w:tabs>
        <w:ind w:left="714" w:hanging="357"/>
      </w:pPr>
      <w:rPr>
        <w:rFonts w:ascii="Symbol" w:hAnsi="Symbol" w:hint="default"/>
      </w:rPr>
    </w:lvl>
    <w:lvl w:ilvl="1" w:tplc="4412D666">
      <w:start w:val="1"/>
      <w:numFmt w:val="bullet"/>
      <w:lvlText w:val="o"/>
      <w:lvlJc w:val="left"/>
      <w:pPr>
        <w:tabs>
          <w:tab w:val="num" w:pos="1074"/>
        </w:tabs>
        <w:ind w:left="1071" w:hanging="357"/>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94E6C"/>
    <w:multiLevelType w:val="hybridMultilevel"/>
    <w:tmpl w:val="93800704"/>
    <w:lvl w:ilvl="0" w:tplc="A17EFC5A">
      <w:start w:val="1"/>
      <w:numFmt w:val="decimal"/>
      <w:pStyle w:val="AECnumber1"/>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9"/>
  </w:num>
  <w:num w:numId="6">
    <w:abstractNumId w:val="8"/>
  </w:num>
  <w:num w:numId="7">
    <w:abstractNumId w:val="8"/>
  </w:num>
  <w:num w:numId="8">
    <w:abstractNumId w:val="8"/>
  </w:num>
  <w:num w:numId="9">
    <w:abstractNumId w:val="9"/>
  </w:num>
  <w:num w:numId="10">
    <w:abstractNumId w:val="9"/>
  </w:num>
  <w:num w:numId="11">
    <w:abstractNumId w:val="9"/>
  </w:num>
  <w:num w:numId="12">
    <w:abstractNumId w:val="9"/>
  </w:num>
  <w:num w:numId="13">
    <w:abstractNumId w:val="9"/>
  </w:num>
  <w:num w:numId="14">
    <w:abstractNumId w:val="9"/>
  </w:num>
  <w:num w:numId="15">
    <w:abstractNumId w:val="6"/>
  </w:num>
  <w:num w:numId="16">
    <w:abstractNumId w:val="9"/>
  </w:num>
  <w:num w:numId="17">
    <w:abstractNumId w:val="7"/>
  </w:num>
  <w:num w:numId="18">
    <w:abstractNumId w:val="8"/>
  </w:num>
  <w:num w:numId="19">
    <w:abstractNumId w:val="10"/>
  </w:num>
  <w:num w:numId="20">
    <w:abstractNumId w:val="0"/>
  </w:num>
  <w:num w:numId="21">
    <w:abstractNumId w:val="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20"/>
  <w:drawingGridVerticalSpacing w:val="120"/>
  <w:displayVerticalDrawingGridEvery w:val="0"/>
  <w:doNotUseMarginsForDrawingGridOrigin/>
  <w:noPunctuationKerning/>
  <w:characterSpacingControl w:val="doNotCompress"/>
  <w:compat>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7D"/>
    <w:rsid w:val="000007C2"/>
    <w:rsid w:val="00000AB8"/>
    <w:rsid w:val="00052F07"/>
    <w:rsid w:val="00086621"/>
    <w:rsid w:val="000916B4"/>
    <w:rsid w:val="000A785F"/>
    <w:rsid w:val="000B7EB0"/>
    <w:rsid w:val="000D6605"/>
    <w:rsid w:val="000E29E0"/>
    <w:rsid w:val="000F7149"/>
    <w:rsid w:val="00101054"/>
    <w:rsid w:val="00101C9C"/>
    <w:rsid w:val="001168D3"/>
    <w:rsid w:val="001B5DC7"/>
    <w:rsid w:val="001D222B"/>
    <w:rsid w:val="001F5D2C"/>
    <w:rsid w:val="00205489"/>
    <w:rsid w:val="002060FC"/>
    <w:rsid w:val="00234646"/>
    <w:rsid w:val="00241BDE"/>
    <w:rsid w:val="00293370"/>
    <w:rsid w:val="002B79DF"/>
    <w:rsid w:val="002F5660"/>
    <w:rsid w:val="003067DD"/>
    <w:rsid w:val="003221E8"/>
    <w:rsid w:val="003376BB"/>
    <w:rsid w:val="00361945"/>
    <w:rsid w:val="003672CE"/>
    <w:rsid w:val="00391C4C"/>
    <w:rsid w:val="003A215C"/>
    <w:rsid w:val="003C2BF2"/>
    <w:rsid w:val="003C3F78"/>
    <w:rsid w:val="003D0387"/>
    <w:rsid w:val="003D7152"/>
    <w:rsid w:val="003F1198"/>
    <w:rsid w:val="00401825"/>
    <w:rsid w:val="00404FDC"/>
    <w:rsid w:val="00406E87"/>
    <w:rsid w:val="00435824"/>
    <w:rsid w:val="004D75A7"/>
    <w:rsid w:val="004E1FA0"/>
    <w:rsid w:val="004E4C77"/>
    <w:rsid w:val="004F2A29"/>
    <w:rsid w:val="004F61E8"/>
    <w:rsid w:val="00502BC0"/>
    <w:rsid w:val="005C02B9"/>
    <w:rsid w:val="005D139D"/>
    <w:rsid w:val="005F6B4C"/>
    <w:rsid w:val="005F7DFD"/>
    <w:rsid w:val="0060441F"/>
    <w:rsid w:val="00611022"/>
    <w:rsid w:val="00672E13"/>
    <w:rsid w:val="00682B2D"/>
    <w:rsid w:val="00683768"/>
    <w:rsid w:val="006A414E"/>
    <w:rsid w:val="006D2104"/>
    <w:rsid w:val="006E372F"/>
    <w:rsid w:val="006F67CD"/>
    <w:rsid w:val="00703AC0"/>
    <w:rsid w:val="00714A02"/>
    <w:rsid w:val="00727E34"/>
    <w:rsid w:val="0076093E"/>
    <w:rsid w:val="00790AF9"/>
    <w:rsid w:val="007C25BB"/>
    <w:rsid w:val="007F4989"/>
    <w:rsid w:val="0080070D"/>
    <w:rsid w:val="008218D5"/>
    <w:rsid w:val="0084695A"/>
    <w:rsid w:val="00852D84"/>
    <w:rsid w:val="00866CF0"/>
    <w:rsid w:val="00890688"/>
    <w:rsid w:val="00895D9B"/>
    <w:rsid w:val="008C315C"/>
    <w:rsid w:val="008C6FC0"/>
    <w:rsid w:val="008D1FF6"/>
    <w:rsid w:val="008E103D"/>
    <w:rsid w:val="008E560C"/>
    <w:rsid w:val="008E6BB6"/>
    <w:rsid w:val="008F693C"/>
    <w:rsid w:val="009146F5"/>
    <w:rsid w:val="0092247D"/>
    <w:rsid w:val="00922A36"/>
    <w:rsid w:val="00947045"/>
    <w:rsid w:val="00982612"/>
    <w:rsid w:val="009A73E5"/>
    <w:rsid w:val="009B1C59"/>
    <w:rsid w:val="009C22F5"/>
    <w:rsid w:val="009F6620"/>
    <w:rsid w:val="00A31D75"/>
    <w:rsid w:val="00A56EA6"/>
    <w:rsid w:val="00A66204"/>
    <w:rsid w:val="00AB13A7"/>
    <w:rsid w:val="00AB31E3"/>
    <w:rsid w:val="00AF5D45"/>
    <w:rsid w:val="00B40CC9"/>
    <w:rsid w:val="00B40F3C"/>
    <w:rsid w:val="00B44D6A"/>
    <w:rsid w:val="00B4672A"/>
    <w:rsid w:val="00B66F29"/>
    <w:rsid w:val="00B6738D"/>
    <w:rsid w:val="00BB7461"/>
    <w:rsid w:val="00BD2723"/>
    <w:rsid w:val="00C25273"/>
    <w:rsid w:val="00C3604B"/>
    <w:rsid w:val="00C36D6B"/>
    <w:rsid w:val="00C474DE"/>
    <w:rsid w:val="00C73732"/>
    <w:rsid w:val="00C73A28"/>
    <w:rsid w:val="00C90BFE"/>
    <w:rsid w:val="00CA4B84"/>
    <w:rsid w:val="00CC1D44"/>
    <w:rsid w:val="00CC483B"/>
    <w:rsid w:val="00CD5F55"/>
    <w:rsid w:val="00D01483"/>
    <w:rsid w:val="00D05AF6"/>
    <w:rsid w:val="00D84906"/>
    <w:rsid w:val="00DF57FD"/>
    <w:rsid w:val="00E20901"/>
    <w:rsid w:val="00E31C9B"/>
    <w:rsid w:val="00E5668B"/>
    <w:rsid w:val="00E6217D"/>
    <w:rsid w:val="00E62759"/>
    <w:rsid w:val="00E74094"/>
    <w:rsid w:val="00E86AB1"/>
    <w:rsid w:val="00E87030"/>
    <w:rsid w:val="00E92FEF"/>
    <w:rsid w:val="00EB05F9"/>
    <w:rsid w:val="00EB44FB"/>
    <w:rsid w:val="00EC3379"/>
    <w:rsid w:val="00ED3964"/>
    <w:rsid w:val="00EE3CA6"/>
    <w:rsid w:val="00EE7139"/>
    <w:rsid w:val="00F079CF"/>
    <w:rsid w:val="00F34DBE"/>
    <w:rsid w:val="00F461BB"/>
    <w:rsid w:val="00F60A7D"/>
    <w:rsid w:val="00F60E6D"/>
    <w:rsid w:val="00F61346"/>
    <w:rsid w:val="00F97DFE"/>
    <w:rsid w:val="00FD39AA"/>
    <w:rsid w:val="00FF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2BA8CD3"/>
  <w15:chartTrackingRefBased/>
  <w15:docId w15:val="{DEC7C605-A24C-434B-82AF-E8C263A8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kern w:val="24"/>
      <w:sz w:val="24"/>
      <w:lang w:eastAsia="en-US"/>
    </w:rPr>
  </w:style>
  <w:style w:type="paragraph" w:styleId="Heading1">
    <w:name w:val="heading 1"/>
    <w:basedOn w:val="Normal"/>
    <w:next w:val="AEC"/>
    <w:qFormat/>
    <w:pPr>
      <w:keepNext/>
      <w:spacing w:before="60"/>
      <w:jc w:val="center"/>
      <w:outlineLvl w:val="0"/>
    </w:pPr>
    <w:rPr>
      <w:b/>
      <w:i/>
      <w:kern w:val="28"/>
      <w:sz w:val="28"/>
    </w:rPr>
  </w:style>
  <w:style w:type="paragraph" w:styleId="Heading2">
    <w:name w:val="heading 2"/>
    <w:basedOn w:val="Normal"/>
    <w:next w:val="Normal"/>
    <w:qFormat/>
    <w:pPr>
      <w:keepNext/>
      <w:spacing w:before="240" w:after="240"/>
      <w:jc w:val="left"/>
      <w:outlineLvl w:val="1"/>
    </w:pPr>
    <w:rPr>
      <w:b/>
      <w:sz w:val="28"/>
    </w:rPr>
  </w:style>
  <w:style w:type="paragraph" w:styleId="Heading3">
    <w:name w:val="heading 3"/>
    <w:basedOn w:val="Normal"/>
    <w:next w:val="Normal"/>
    <w:qFormat/>
    <w:pPr>
      <w:keepNext/>
      <w:spacing w:before="240" w:after="240"/>
      <w:jc w:val="left"/>
      <w:outlineLvl w:val="2"/>
    </w:pPr>
    <w:rPr>
      <w:i/>
    </w:rPr>
  </w:style>
  <w:style w:type="paragraph" w:styleId="Heading4">
    <w:name w:val="heading 4"/>
    <w:basedOn w:val="Normal"/>
    <w:next w:val="Normal"/>
    <w:qFormat/>
    <w:pPr>
      <w:keepNext/>
      <w:spacing w:before="240" w:after="240"/>
      <w:jc w:val="lef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bullet1">
    <w:name w:val="AECbullet1"/>
    <w:basedOn w:val="AEC"/>
    <w:pPr>
      <w:numPr>
        <w:numId w:val="23"/>
      </w:numPr>
    </w:pPr>
    <w:rPr>
      <w:szCs w:val="24"/>
    </w:rPr>
  </w:style>
  <w:style w:type="paragraph" w:customStyle="1" w:styleId="AECbullet2">
    <w:name w:val="AECbullet2"/>
    <w:basedOn w:val="AECbullet1"/>
    <w:pPr>
      <w:tabs>
        <w:tab w:val="clear" w:pos="357"/>
        <w:tab w:val="left" w:pos="714"/>
      </w:tabs>
      <w:ind w:left="714"/>
    </w:pPr>
  </w:style>
  <w:style w:type="paragraph" w:customStyle="1" w:styleId="AECbullet3">
    <w:name w:val="AECbullet3"/>
    <w:basedOn w:val="AECbullet1"/>
    <w:pPr>
      <w:tabs>
        <w:tab w:val="clear" w:pos="357"/>
        <w:tab w:val="left" w:pos="1072"/>
      </w:tabs>
      <w:ind w:left="1071"/>
    </w:pPr>
  </w:style>
  <w:style w:type="paragraph" w:customStyle="1" w:styleId="AECnumber1">
    <w:name w:val="AECnumber1"/>
    <w:basedOn w:val="AECbullet1"/>
    <w:pPr>
      <w:numPr>
        <w:numId w:val="19"/>
      </w:numPr>
    </w:pPr>
  </w:style>
  <w:style w:type="paragraph" w:customStyle="1" w:styleId="AECheading1">
    <w:name w:val="AECheading1"/>
    <w:basedOn w:val="AEC"/>
    <w:next w:val="AEC"/>
    <w:pPr>
      <w:keepNext/>
      <w:jc w:val="center"/>
    </w:pPr>
    <w:rPr>
      <w:b/>
      <w:i/>
      <w:kern w:val="28"/>
      <w:sz w:val="28"/>
      <w:szCs w:val="28"/>
    </w:rPr>
  </w:style>
  <w:style w:type="paragraph" w:customStyle="1" w:styleId="AEC">
    <w:name w:val="AEC"/>
    <w:basedOn w:val="Normal"/>
  </w:style>
  <w:style w:type="paragraph" w:customStyle="1" w:styleId="AECheading2">
    <w:name w:val="AECheading2"/>
    <w:basedOn w:val="AEC"/>
    <w:next w:val="AEC"/>
    <w:pPr>
      <w:keepNext/>
      <w:spacing w:before="240" w:after="240"/>
    </w:pPr>
    <w:rPr>
      <w:b/>
      <w:kern w:val="28"/>
      <w:sz w:val="28"/>
      <w:szCs w:val="28"/>
    </w:rPr>
  </w:style>
  <w:style w:type="paragraph" w:customStyle="1" w:styleId="AECheading3">
    <w:name w:val="AECheading3"/>
    <w:basedOn w:val="AEC"/>
    <w:next w:val="AEC"/>
    <w:pPr>
      <w:keepNext/>
      <w:spacing w:before="240" w:after="240"/>
      <w:jc w:val="left"/>
    </w:pPr>
    <w:rPr>
      <w:i/>
    </w:rPr>
  </w:style>
  <w:style w:type="paragraph" w:customStyle="1" w:styleId="AECheading4">
    <w:name w:val="AECheading4"/>
    <w:basedOn w:val="AEC"/>
    <w:next w:val="AEC"/>
    <w:pPr>
      <w:keepNext/>
      <w:spacing w:before="240" w:after="240"/>
      <w:jc w:val="left"/>
    </w:pPr>
    <w:rPr>
      <w:u w:val="single"/>
    </w:rPr>
  </w:style>
  <w:style w:type="paragraph" w:customStyle="1" w:styleId="AECheading5">
    <w:name w:val="AECheading5"/>
    <w:basedOn w:val="AEC"/>
    <w:next w:val="AEC"/>
    <w:pPr>
      <w:keepNext/>
      <w:spacing w:before="240" w:after="240"/>
      <w:jc w:val="left"/>
    </w:pPr>
    <w:rPr>
      <w:b/>
    </w:rPr>
  </w:style>
  <w:style w:type="paragraph" w:customStyle="1" w:styleId="AECindent1">
    <w:name w:val="AECindent1"/>
    <w:basedOn w:val="AEC"/>
    <w:pPr>
      <w:ind w:left="357"/>
    </w:pPr>
  </w:style>
  <w:style w:type="paragraph" w:customStyle="1" w:styleId="AECindent2">
    <w:name w:val="AECindent2"/>
    <w:basedOn w:val="AECindent1"/>
    <w:pPr>
      <w:ind w:left="714"/>
    </w:pPr>
  </w:style>
  <w:style w:type="paragraph" w:customStyle="1" w:styleId="AECdocheading">
    <w:name w:val="AECdocheading"/>
    <w:basedOn w:val="AECheading1"/>
    <w:next w:val="AEC"/>
    <w:rPr>
      <w:b w:val="0"/>
      <w:i w:val="0"/>
      <w:caps/>
      <w:spacing w:val="28"/>
    </w:rPr>
  </w:style>
  <w:style w:type="paragraph" w:customStyle="1" w:styleId="AECRenpub">
    <w:name w:val="AECRenpub"/>
    <w:basedOn w:val="AEC"/>
    <w:pPr>
      <w:spacing w:after="480" w:line="360" w:lineRule="auto"/>
      <w:ind w:firstLine="720"/>
    </w:pPr>
  </w:style>
  <w:style w:type="paragraph" w:customStyle="1" w:styleId="AECRenheading">
    <w:name w:val="AECRenheading"/>
    <w:basedOn w:val="AECRenpub"/>
    <w:next w:val="AECRenpub"/>
    <w:pPr>
      <w:spacing w:before="360" w:after="720"/>
      <w:ind w:firstLine="0"/>
      <w:jc w:val="center"/>
    </w:pPr>
    <w:rPr>
      <w:b/>
      <w:sz w:val="28"/>
    </w:rPr>
  </w:style>
  <w:style w:type="paragraph" w:customStyle="1" w:styleId="AECRensubhead">
    <w:name w:val="AECRensubhead"/>
    <w:basedOn w:val="AECRenpub"/>
    <w:next w:val="AECRenpub"/>
    <w:pPr>
      <w:spacing w:before="120" w:after="240"/>
      <w:jc w:val="left"/>
    </w:pPr>
    <w:rPr>
      <w:b/>
    </w:rPr>
  </w:style>
  <w:style w:type="paragraph" w:customStyle="1" w:styleId="AECRenvq">
    <w:name w:val="AECRenvq"/>
    <w:basedOn w:val="AECRenpub"/>
    <w:pPr>
      <w:spacing w:after="600"/>
      <w:ind w:left="1440" w:right="720" w:firstLine="0"/>
    </w:pPr>
    <w:rPr>
      <w:sz w:val="20"/>
    </w:rPr>
  </w:style>
  <w:style w:type="paragraph" w:customStyle="1" w:styleId="AECRenlist">
    <w:name w:val="AECRenlist"/>
    <w:basedOn w:val="AECRenvq"/>
    <w:next w:val="AECRenpub"/>
    <w:pPr>
      <w:spacing w:after="480"/>
      <w:ind w:left="720" w:right="0"/>
    </w:pPr>
  </w:style>
  <w:style w:type="paragraph" w:customStyle="1" w:styleId="AECRenpq">
    <w:name w:val="AECRenpq"/>
    <w:basedOn w:val="AECRenvq"/>
    <w:pPr>
      <w:ind w:left="720"/>
    </w:pPr>
  </w:style>
  <w:style w:type="paragraph" w:styleId="BalloonText">
    <w:name w:val="Balloon Text"/>
    <w:basedOn w:val="Normal"/>
    <w:link w:val="BalloonTextChar"/>
    <w:rsid w:val="00866CF0"/>
    <w:pPr>
      <w:spacing w:after="0"/>
    </w:pPr>
    <w:rPr>
      <w:rFonts w:ascii="Segoe UI" w:hAnsi="Segoe UI" w:cs="Segoe UI"/>
      <w:sz w:val="18"/>
      <w:szCs w:val="18"/>
    </w:rPr>
  </w:style>
  <w:style w:type="character" w:customStyle="1" w:styleId="BalloonTextChar">
    <w:name w:val="Balloon Text Char"/>
    <w:link w:val="BalloonText"/>
    <w:rsid w:val="00866CF0"/>
    <w:rPr>
      <w:rFonts w:ascii="Segoe UI" w:hAnsi="Segoe UI" w:cs="Segoe UI"/>
      <w:kern w:val="2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Rencesvals%20templates\Rencp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Rencpub</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Basic layout</vt:lpstr>
    </vt:vector>
  </TitlesOfParts>
  <Company>University of Cambridge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layout</dc:title>
  <dc:subject/>
  <dc:creator>reader</dc:creator>
  <cp:keywords/>
  <cp:lastModifiedBy>Philip Bennett</cp:lastModifiedBy>
  <cp:revision>2</cp:revision>
  <cp:lastPrinted>2019-02-08T18:02:00Z</cp:lastPrinted>
  <dcterms:created xsi:type="dcterms:W3CDTF">2019-02-11T09:54:00Z</dcterms:created>
  <dcterms:modified xsi:type="dcterms:W3CDTF">2019-02-11T09:54:00Z</dcterms:modified>
</cp:coreProperties>
</file>