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6694" w14:textId="1962029E" w:rsidR="00A56EA6" w:rsidRPr="00D01483" w:rsidRDefault="0086232C" w:rsidP="00A56EA6">
      <w:pPr>
        <w:pStyle w:val="AECheading2"/>
        <w:spacing w:before="0"/>
        <w:jc w:val="center"/>
        <w:rPr>
          <w:spacing w:val="28"/>
          <w:kern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F515D6" wp14:editId="0B7EC541">
            <wp:extent cx="998220" cy="906780"/>
            <wp:effectExtent l="0" t="0" r="0" b="0"/>
            <wp:docPr id="1" name="Picture 1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EA6" w:rsidRPr="00D01483">
        <w:rPr>
          <w:spacing w:val="28"/>
          <w:kern w:val="24"/>
          <w:position w:val="60"/>
        </w:rPr>
        <w:t xml:space="preserve">           Société Rencesvals British Branch          </w:t>
      </w:r>
      <w:r>
        <w:rPr>
          <w:noProof/>
        </w:rPr>
        <w:drawing>
          <wp:inline distT="0" distB="0" distL="0" distR="0" wp14:anchorId="1F538DA2" wp14:editId="14AC342A">
            <wp:extent cx="998220" cy="906780"/>
            <wp:effectExtent l="0" t="0" r="0" b="0"/>
            <wp:docPr id="2" name="Picture 2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8111C" w14:textId="77777777" w:rsidR="00A56EA6" w:rsidRDefault="00A56EA6" w:rsidP="00052F07">
      <w:pPr>
        <w:pStyle w:val="AECheading2"/>
        <w:spacing w:before="0" w:after="120"/>
        <w:jc w:val="center"/>
      </w:pPr>
      <w:r>
        <w:t>British Rencesvals Publications 1</w:t>
      </w:r>
    </w:p>
    <w:p w14:paraId="324534BE" w14:textId="77777777" w:rsidR="00A56EA6" w:rsidRPr="005F6B4C" w:rsidRDefault="00A56EA6" w:rsidP="00A56EA6">
      <w:pPr>
        <w:pStyle w:val="AECheading2"/>
        <w:spacing w:before="120" w:after="0"/>
        <w:jc w:val="center"/>
        <w:rPr>
          <w:sz w:val="24"/>
          <w:szCs w:val="24"/>
        </w:rPr>
      </w:pP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</w:p>
    <w:p w14:paraId="24052123" w14:textId="77777777" w:rsidR="00A56EA6" w:rsidRPr="009F6620" w:rsidRDefault="00A56EA6" w:rsidP="00A56EA6">
      <w:pPr>
        <w:pStyle w:val="AECheading2"/>
        <w:spacing w:after="180"/>
        <w:jc w:val="center"/>
        <w:rPr>
          <w:i/>
          <w:spacing w:val="20"/>
          <w:sz w:val="32"/>
          <w:szCs w:val="32"/>
        </w:rPr>
      </w:pPr>
      <w:r w:rsidRPr="009F6620">
        <w:rPr>
          <w:i/>
          <w:spacing w:val="20"/>
          <w:sz w:val="32"/>
          <w:szCs w:val="32"/>
        </w:rPr>
        <w:t>Le Jeu d’Adam</w:t>
      </w:r>
    </w:p>
    <w:p w14:paraId="73D4F375" w14:textId="77777777" w:rsidR="00A56EA6" w:rsidRPr="00F31E03" w:rsidRDefault="00A56EA6" w:rsidP="00B66F29">
      <w:pPr>
        <w:pStyle w:val="AECheading2"/>
        <w:spacing w:before="0" w:after="180"/>
        <w:jc w:val="center"/>
        <w:rPr>
          <w:spacing w:val="20"/>
        </w:rPr>
      </w:pPr>
      <w:r w:rsidRPr="00F31E03">
        <w:rPr>
          <w:spacing w:val="20"/>
        </w:rPr>
        <w:t>edited and translated by Wolfgang van Emden</w:t>
      </w:r>
    </w:p>
    <w:p w14:paraId="4B8CD51A" w14:textId="77777777" w:rsidR="00A56EA6" w:rsidRPr="00B40CC9" w:rsidRDefault="00A56EA6" w:rsidP="00A56EA6">
      <w:pPr>
        <w:pStyle w:val="AECheading2"/>
        <w:spacing w:before="0" w:after="180"/>
        <w:jc w:val="center"/>
      </w:pPr>
      <w:r w:rsidRPr="00B40CC9">
        <w:t>Second edition</w:t>
      </w:r>
    </w:p>
    <w:p w14:paraId="74D81B30" w14:textId="77777777" w:rsidR="00A56EA6" w:rsidRPr="00B40CC9" w:rsidRDefault="00A56EA6" w:rsidP="00A56EA6">
      <w:pPr>
        <w:pStyle w:val="AECheading2"/>
        <w:spacing w:before="0" w:after="180"/>
        <w:jc w:val="center"/>
      </w:pPr>
      <w:r>
        <w:t xml:space="preserve">Edinburgh </w:t>
      </w:r>
      <w:r w:rsidRPr="00B40CC9">
        <w:t>1999</w:t>
      </w:r>
    </w:p>
    <w:p w14:paraId="2197EAFD" w14:textId="77777777" w:rsidR="00A56EA6" w:rsidRDefault="00A56EA6" w:rsidP="00A56EA6">
      <w:pPr>
        <w:pStyle w:val="AECheading2"/>
        <w:spacing w:before="0" w:after="120"/>
        <w:jc w:val="center"/>
      </w:pPr>
      <w:r>
        <w:t xml:space="preserve">ISBN </w:t>
      </w:r>
      <w:r w:rsidR="00101C9C">
        <w:rPr>
          <w:iCs/>
        </w:rPr>
        <w:t>978 0</w:t>
      </w:r>
      <w:r w:rsidR="00101C9C" w:rsidRPr="00B34F12">
        <w:t xml:space="preserve"> 9519791 2 </w:t>
      </w:r>
      <w:r w:rsidR="00101C9C">
        <w:t>9</w:t>
      </w:r>
    </w:p>
    <w:p w14:paraId="5C1EAAC6" w14:textId="77777777" w:rsidR="00A56EA6" w:rsidRPr="005F6B4C" w:rsidRDefault="00A56EA6" w:rsidP="00A56EA6">
      <w:pPr>
        <w:pStyle w:val="AECheading2"/>
        <w:spacing w:before="120" w:after="120"/>
        <w:jc w:val="center"/>
        <w:rPr>
          <w:sz w:val="24"/>
          <w:szCs w:val="24"/>
        </w:rPr>
      </w:pP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</w:p>
    <w:p w14:paraId="1F8A56FB" w14:textId="77777777" w:rsidR="00A56EA6" w:rsidRPr="00B40CC9" w:rsidRDefault="00A56EA6" w:rsidP="005F6B4C">
      <w:pPr>
        <w:pStyle w:val="AEC"/>
        <w:spacing w:before="60" w:after="60"/>
        <w:jc w:val="center"/>
        <w:rPr>
          <w:b/>
          <w:bCs/>
        </w:rPr>
      </w:pPr>
      <w:r w:rsidRPr="00B40CC9">
        <w:rPr>
          <w:b/>
          <w:bCs/>
        </w:rPr>
        <w:t>Designed for undergraduate and taught postgraduate students following courses on medieval literature in French or Comparative Literature programmes, it contains an introduction, the text and translation into modern English, exp</w:t>
      </w:r>
      <w:r>
        <w:rPr>
          <w:b/>
          <w:bCs/>
        </w:rPr>
        <w:t>lanatory notes and a glossary.</w:t>
      </w:r>
    </w:p>
    <w:p w14:paraId="1937A7FD" w14:textId="77777777" w:rsidR="00A56EA6" w:rsidRPr="005F6B4C" w:rsidRDefault="00A56EA6" w:rsidP="00A56EA6">
      <w:pPr>
        <w:pStyle w:val="AECheading2"/>
        <w:spacing w:before="60" w:after="60"/>
        <w:jc w:val="center"/>
        <w:rPr>
          <w:sz w:val="24"/>
          <w:szCs w:val="24"/>
        </w:rPr>
      </w:pP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</w:p>
    <w:p w14:paraId="07344F5C" w14:textId="77777777" w:rsidR="008C6FC0" w:rsidRDefault="00A56EA6" w:rsidP="00A56EA6">
      <w:pPr>
        <w:pStyle w:val="AEC"/>
        <w:jc w:val="center"/>
        <w:rPr>
          <w:b/>
          <w:bCs/>
        </w:rPr>
      </w:pPr>
      <w:r>
        <w:rPr>
          <w:b/>
          <w:bCs/>
        </w:rPr>
        <w:t xml:space="preserve">Private orders: </w:t>
      </w:r>
      <w:r w:rsidR="00101C9C">
        <w:rPr>
          <w:b/>
          <w:bCs/>
        </w:rPr>
        <w:t xml:space="preserve"> </w:t>
      </w:r>
      <w:r>
        <w:rPr>
          <w:b/>
          <w:bCs/>
        </w:rPr>
        <w:t>single copy £7.00</w:t>
      </w:r>
      <w:r w:rsidR="008C6FC0">
        <w:rPr>
          <w:b/>
          <w:bCs/>
        </w:rPr>
        <w:t xml:space="preserve"> plus postage and </w:t>
      </w:r>
      <w:r w:rsidR="00EE7139">
        <w:rPr>
          <w:b/>
          <w:bCs/>
        </w:rPr>
        <w:t>packing</w:t>
      </w:r>
    </w:p>
    <w:p w14:paraId="7CD5239B" w14:textId="77777777" w:rsidR="00A56EA6" w:rsidRDefault="008C6FC0" w:rsidP="00A56EA6">
      <w:pPr>
        <w:pStyle w:val="AEC"/>
        <w:jc w:val="center"/>
        <w:rPr>
          <w:b/>
          <w:bCs/>
        </w:rPr>
      </w:pPr>
      <w:r>
        <w:rPr>
          <w:b/>
          <w:bCs/>
        </w:rPr>
        <w:t>B</w:t>
      </w:r>
      <w:r w:rsidR="00A56EA6">
        <w:rPr>
          <w:b/>
          <w:bCs/>
        </w:rPr>
        <w:t>ulk orders (minimum 10 copies)</w:t>
      </w:r>
      <w:r w:rsidR="00866CF0">
        <w:rPr>
          <w:b/>
          <w:bCs/>
        </w:rPr>
        <w:t xml:space="preserve"> and trade orders</w:t>
      </w:r>
      <w:r w:rsidR="00CA4B84">
        <w:rPr>
          <w:b/>
          <w:bCs/>
        </w:rPr>
        <w:t xml:space="preserve">: </w:t>
      </w:r>
      <w:r w:rsidR="00A56EA6">
        <w:rPr>
          <w:b/>
          <w:bCs/>
        </w:rPr>
        <w:t xml:space="preserve"> £5.50 per copy</w:t>
      </w:r>
      <w:r>
        <w:rPr>
          <w:b/>
          <w:bCs/>
        </w:rPr>
        <w:t xml:space="preserve"> plus postage and </w:t>
      </w:r>
      <w:r w:rsidR="00EE7139">
        <w:rPr>
          <w:b/>
          <w:bCs/>
        </w:rPr>
        <w:t>packing</w:t>
      </w:r>
    </w:p>
    <w:p w14:paraId="17C3F170" w14:textId="77777777" w:rsidR="00A56EA6" w:rsidRDefault="00A56EA6" w:rsidP="005F6B4C">
      <w:pPr>
        <w:pStyle w:val="AEC"/>
        <w:spacing w:before="120"/>
        <w:jc w:val="center"/>
        <w:rPr>
          <w:b/>
          <w:bCs/>
        </w:rPr>
      </w:pPr>
      <w:r>
        <w:rPr>
          <w:b/>
          <w:bCs/>
        </w:rPr>
        <w:t>Postage</w:t>
      </w:r>
      <w:r w:rsidR="00AB31E3">
        <w:rPr>
          <w:b/>
          <w:bCs/>
        </w:rPr>
        <w:t xml:space="preserve"> and </w:t>
      </w:r>
      <w:r>
        <w:rPr>
          <w:b/>
          <w:bCs/>
        </w:rPr>
        <w:t>packing</w:t>
      </w:r>
      <w:r w:rsidR="00052F07">
        <w:rPr>
          <w:b/>
          <w:bCs/>
        </w:rPr>
        <w:t xml:space="preserve"> per copy</w:t>
      </w:r>
      <w:r>
        <w:rPr>
          <w:b/>
          <w:bCs/>
        </w:rPr>
        <w:t>:</w:t>
      </w:r>
    </w:p>
    <w:p w14:paraId="5312208A" w14:textId="77777777" w:rsidR="00A56EA6" w:rsidRDefault="00A56EA6" w:rsidP="00A56EA6">
      <w:pPr>
        <w:pStyle w:val="AEC"/>
        <w:jc w:val="center"/>
        <w:rPr>
          <w:b/>
          <w:bCs/>
        </w:rPr>
      </w:pPr>
      <w:r>
        <w:rPr>
          <w:b/>
          <w:bCs/>
        </w:rPr>
        <w:t>UK £</w:t>
      </w:r>
      <w:r w:rsidR="004F2A29">
        <w:rPr>
          <w:b/>
          <w:bCs/>
        </w:rPr>
        <w:t>2.25</w:t>
      </w:r>
      <w:r>
        <w:rPr>
          <w:b/>
          <w:bCs/>
        </w:rPr>
        <w:t xml:space="preserve"> (maximum £</w:t>
      </w:r>
      <w:r w:rsidR="00101C9C">
        <w:rPr>
          <w:b/>
          <w:bCs/>
        </w:rPr>
        <w:t>1</w:t>
      </w:r>
      <w:r w:rsidR="004F2A29">
        <w:rPr>
          <w:b/>
          <w:bCs/>
        </w:rPr>
        <w:t>5</w:t>
      </w:r>
      <w:r>
        <w:rPr>
          <w:b/>
          <w:bCs/>
        </w:rPr>
        <w:t xml:space="preserve">.00); </w:t>
      </w:r>
      <w:r w:rsidR="00101C9C">
        <w:rPr>
          <w:b/>
          <w:bCs/>
        </w:rPr>
        <w:t>Europe £</w:t>
      </w:r>
      <w:r w:rsidR="004F2A29">
        <w:rPr>
          <w:b/>
          <w:bCs/>
        </w:rPr>
        <w:t>6</w:t>
      </w:r>
      <w:r w:rsidR="00101C9C">
        <w:rPr>
          <w:b/>
          <w:bCs/>
        </w:rPr>
        <w:t>.00</w:t>
      </w:r>
      <w:r w:rsidR="00F60E6D">
        <w:rPr>
          <w:b/>
          <w:bCs/>
        </w:rPr>
        <w:t>,</w:t>
      </w:r>
      <w:r w:rsidR="00101C9C">
        <w:rPr>
          <w:b/>
          <w:bCs/>
        </w:rPr>
        <w:t xml:space="preserve"> rest of the world £</w:t>
      </w:r>
      <w:r w:rsidR="004F2A29">
        <w:rPr>
          <w:b/>
          <w:bCs/>
        </w:rPr>
        <w:t>7.50</w:t>
      </w:r>
      <w:r w:rsidR="00101C9C">
        <w:rPr>
          <w:b/>
          <w:bCs/>
        </w:rPr>
        <w:t xml:space="preserve"> </w:t>
      </w:r>
      <w:r>
        <w:rPr>
          <w:b/>
          <w:bCs/>
        </w:rPr>
        <w:t xml:space="preserve">(bulk </w:t>
      </w:r>
      <w:r w:rsidR="00101C9C">
        <w:rPr>
          <w:b/>
          <w:bCs/>
        </w:rPr>
        <w:t xml:space="preserve">overseas orders at </w:t>
      </w:r>
      <w:r w:rsidR="00EE7139">
        <w:rPr>
          <w:b/>
          <w:bCs/>
        </w:rPr>
        <w:t>cost)</w:t>
      </w:r>
    </w:p>
    <w:p w14:paraId="79773994" w14:textId="77777777" w:rsidR="009B1C59" w:rsidRDefault="00AB31E3" w:rsidP="00AB31E3">
      <w:pPr>
        <w:pStyle w:val="AEC"/>
        <w:jc w:val="center"/>
        <w:rPr>
          <w:b/>
          <w:bCs/>
          <w:szCs w:val="24"/>
        </w:rPr>
      </w:pPr>
      <w:r w:rsidRPr="00E9727F">
        <w:rPr>
          <w:b/>
          <w:bCs/>
          <w:szCs w:val="24"/>
        </w:rPr>
        <w:t>Payment from outside the UK must be made by sterling cheque or sterling bank draft drawn on a bank in the UK, by bank transfer, or by Paypal</w:t>
      </w:r>
      <w:r>
        <w:rPr>
          <w:b/>
          <w:bCs/>
          <w:szCs w:val="24"/>
        </w:rPr>
        <w:t xml:space="preserve"> (small surcharge)</w:t>
      </w:r>
      <w:r w:rsidRPr="00E9727F">
        <w:rPr>
          <w:b/>
          <w:bCs/>
          <w:szCs w:val="24"/>
        </w:rPr>
        <w:t>; otherwise the equivalent of £15.00 per order must be added to cover bank charges.</w:t>
      </w:r>
    </w:p>
    <w:p w14:paraId="6DE8CEBC" w14:textId="77777777" w:rsidR="00A56EA6" w:rsidRPr="005F6B4C" w:rsidRDefault="00A56EA6" w:rsidP="00A56EA6">
      <w:pPr>
        <w:pStyle w:val="AECheading2"/>
        <w:spacing w:before="60" w:after="60"/>
        <w:jc w:val="center"/>
        <w:rPr>
          <w:sz w:val="24"/>
          <w:szCs w:val="24"/>
        </w:rPr>
      </w:pP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</w:p>
    <w:p w14:paraId="174FF8C3" w14:textId="77777777" w:rsidR="00895D9B" w:rsidRPr="00873578" w:rsidRDefault="00895D9B" w:rsidP="005F6B4C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t xml:space="preserve">Distributed by </w:t>
      </w:r>
      <w:r>
        <w:rPr>
          <w:b/>
          <w:bCs/>
        </w:rPr>
        <w:t xml:space="preserve">Dr. A. E. Cobby, </w:t>
      </w:r>
      <w:r w:rsidR="000D6605">
        <w:rPr>
          <w:b/>
          <w:bCs/>
        </w:rPr>
        <w:t xml:space="preserve">17 George Street, </w:t>
      </w:r>
      <w:smartTag w:uri="urn:schemas-microsoft-com:office:smarttags" w:element="City">
        <w:r w:rsidRPr="00873578">
          <w:rPr>
            <w:b/>
            <w:bCs/>
          </w:rPr>
          <w:t>CAMBRIDGE</w:t>
        </w:r>
      </w:smartTag>
      <w:r w:rsidRPr="00873578">
        <w:rPr>
          <w:b/>
          <w:bCs/>
        </w:rPr>
        <w:t xml:space="preserve"> CB</w:t>
      </w:r>
      <w:r w:rsidR="000D6605">
        <w:rPr>
          <w:b/>
          <w:bCs/>
        </w:rPr>
        <w:t>4 1AL</w:t>
      </w:r>
      <w:r w:rsidR="00982612">
        <w:rPr>
          <w:b/>
          <w:bCs/>
        </w:rPr>
        <w:t>, e</w:t>
      </w:r>
      <w:r w:rsidR="00404FDC">
        <w:rPr>
          <w:b/>
          <w:bCs/>
        </w:rPr>
        <w:t>mail aec25@cam.ac.uk</w:t>
      </w:r>
    </w:p>
    <w:p w14:paraId="72070B0E" w14:textId="77777777" w:rsidR="00A56EA6" w:rsidRPr="005F6B4C" w:rsidRDefault="00A56EA6" w:rsidP="00A56EA6">
      <w:pPr>
        <w:pStyle w:val="AECheading2"/>
        <w:spacing w:before="60" w:after="60"/>
        <w:jc w:val="center"/>
        <w:rPr>
          <w:sz w:val="24"/>
          <w:szCs w:val="24"/>
        </w:rPr>
      </w:pP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  <w:r w:rsidRPr="005F6B4C">
        <w:rPr>
          <w:sz w:val="24"/>
          <w:szCs w:val="24"/>
        </w:rPr>
        <w:sym w:font="Wingdings" w:char="F075"/>
      </w:r>
    </w:p>
    <w:p w14:paraId="13401D76" w14:textId="77777777" w:rsidR="00A56EA6" w:rsidRDefault="00A56EA6" w:rsidP="00A56EA6">
      <w:pPr>
        <w:pStyle w:val="AEC"/>
        <w:tabs>
          <w:tab w:val="right" w:leader="dot" w:pos="10490"/>
        </w:tabs>
      </w:pPr>
      <w:r>
        <w:sym w:font="Wingdings" w:char="F022"/>
      </w:r>
      <w:r>
        <w:tab/>
      </w:r>
    </w:p>
    <w:p w14:paraId="1DB6F7A2" w14:textId="77777777" w:rsidR="00A56EA6" w:rsidRPr="00F34DBE" w:rsidRDefault="00A56EA6" w:rsidP="00A56EA6">
      <w:pPr>
        <w:pStyle w:val="AEC"/>
      </w:pPr>
      <w:r w:rsidRPr="00F34DBE">
        <w:t xml:space="preserve">To:  Dr A. E. Cobby, </w:t>
      </w:r>
      <w:r w:rsidR="000D6605" w:rsidRPr="00F34DBE">
        <w:t xml:space="preserve">17 George Street, </w:t>
      </w:r>
      <w:r w:rsidRPr="00F34DBE">
        <w:t>CAMBRIDGE CB</w:t>
      </w:r>
      <w:r w:rsidR="000D6605" w:rsidRPr="00F34DBE">
        <w:t>4 1</w:t>
      </w:r>
      <w:r w:rsidR="009B1C59">
        <w:t>AL</w:t>
      </w:r>
    </w:p>
    <w:p w14:paraId="0F46CB6F" w14:textId="77777777" w:rsidR="00A56EA6" w:rsidRPr="00EE7139" w:rsidRDefault="00A56EA6" w:rsidP="00A56EA6">
      <w:pPr>
        <w:pStyle w:val="AEC"/>
        <w:rPr>
          <w:b/>
        </w:rPr>
      </w:pPr>
      <w:r w:rsidRPr="00C36D6B">
        <w:rPr>
          <w:b/>
        </w:rPr>
        <w:t xml:space="preserve">Please send me ........... copy/copies of </w:t>
      </w:r>
      <w:r w:rsidRPr="00C36D6B">
        <w:rPr>
          <w:b/>
          <w:i/>
        </w:rPr>
        <w:t>Le Jeu d’Adam</w:t>
      </w:r>
      <w:r w:rsidR="00EE7139">
        <w:rPr>
          <w:b/>
        </w:rPr>
        <w:t>.</w:t>
      </w:r>
    </w:p>
    <w:p w14:paraId="29F7230A" w14:textId="77777777" w:rsidR="00A56EA6" w:rsidRDefault="00A56EA6" w:rsidP="00A56EA6">
      <w:pPr>
        <w:pStyle w:val="AEC"/>
      </w:pPr>
      <w:r>
        <w:t>Please tick [</w:t>
      </w:r>
      <w:r>
        <w:sym w:font="Wingdings" w:char="F0FC"/>
      </w:r>
      <w:r>
        <w:t>] the appropriate box</w:t>
      </w:r>
      <w:r w:rsidR="00C25273">
        <w:t>es</w:t>
      </w:r>
      <w:r>
        <w:t>:</w:t>
      </w:r>
    </w:p>
    <w:p w14:paraId="0907F594" w14:textId="77777777" w:rsidR="00A56EA6" w:rsidRDefault="00A56EA6" w:rsidP="00A31D75">
      <w:pPr>
        <w:pStyle w:val="AEC"/>
      </w:pPr>
      <w:r>
        <w:t>[   ]</w:t>
      </w:r>
      <w:r w:rsidR="00A31D75" w:rsidRPr="00A31D75">
        <w:tab/>
      </w:r>
      <w:r w:rsidR="00A31D75">
        <w:tab/>
      </w:r>
      <w:r w:rsidR="00A31D75" w:rsidRPr="00A31D75">
        <w:t>P</w:t>
      </w:r>
      <w:r>
        <w:t xml:space="preserve">rivate </w:t>
      </w:r>
      <w:r w:rsidR="00052F07">
        <w:t xml:space="preserve">single order </w:t>
      </w:r>
      <w:r>
        <w:t xml:space="preserve">@ £7.00 </w:t>
      </w:r>
      <w:r w:rsidR="00AB31E3">
        <w:t>+ postage and packing as above:  total £…..</w:t>
      </w:r>
    </w:p>
    <w:p w14:paraId="1164D20F" w14:textId="77777777" w:rsidR="00A56EA6" w:rsidRDefault="00A56EA6" w:rsidP="00A31D75">
      <w:pPr>
        <w:pStyle w:val="AEC"/>
      </w:pPr>
      <w:r>
        <w:t>[   ]</w:t>
      </w:r>
      <w:r w:rsidR="00A31D75" w:rsidRPr="00A31D75">
        <w:tab/>
      </w:r>
      <w:r w:rsidR="00A31D75">
        <w:tab/>
      </w:r>
      <w:r>
        <w:t xml:space="preserve">Private bulk order (minimum 10 copies) </w:t>
      </w:r>
      <w:r w:rsidR="008E103D">
        <w:t xml:space="preserve">@ £5.50 </w:t>
      </w:r>
      <w:r w:rsidR="00A31D75">
        <w:t xml:space="preserve">+ </w:t>
      </w:r>
      <w:r w:rsidR="00101C9C">
        <w:t>£1</w:t>
      </w:r>
      <w:r w:rsidR="004F2A29">
        <w:t>5</w:t>
      </w:r>
      <w:r w:rsidR="00101C9C">
        <w:t xml:space="preserve">.00 total </w:t>
      </w:r>
      <w:r w:rsidR="00A31D75" w:rsidRPr="00A31D75">
        <w:t>p&amp;p</w:t>
      </w:r>
      <w:r w:rsidR="00A31D75">
        <w:t xml:space="preserve"> (overseas please ask)</w:t>
      </w:r>
    </w:p>
    <w:p w14:paraId="63DB5221" w14:textId="77777777" w:rsidR="00BB7461" w:rsidRPr="00A83EC5" w:rsidRDefault="00BB7461" w:rsidP="00BB7461">
      <w:pPr>
        <w:pStyle w:val="AEC"/>
      </w:pPr>
      <w:r w:rsidRPr="00A83EC5">
        <w:t>[   ]</w:t>
      </w:r>
      <w:r>
        <w:tab/>
      </w:r>
      <w:r w:rsidRPr="00A83EC5">
        <w:tab/>
        <w:t xml:space="preserve">I enclose </w:t>
      </w:r>
      <w:r>
        <w:t xml:space="preserve">a cheque for </w:t>
      </w:r>
      <w:r w:rsidRPr="00A83EC5">
        <w:t xml:space="preserve">£............... payable to </w:t>
      </w:r>
      <w:r>
        <w:t>‘</w:t>
      </w:r>
      <w:r w:rsidRPr="00A83EC5">
        <w:t>Société Rencesvals British Branch</w:t>
      </w:r>
      <w:r>
        <w:t>’</w:t>
      </w:r>
    </w:p>
    <w:p w14:paraId="6FEA9D2B" w14:textId="77777777" w:rsidR="00BB7461" w:rsidRDefault="00BB7461" w:rsidP="00BB7461">
      <w:pPr>
        <w:pStyle w:val="AEC"/>
      </w:pPr>
      <w:r>
        <w:t>[   ]</w:t>
      </w:r>
      <w:r>
        <w:tab/>
      </w:r>
      <w:r>
        <w:tab/>
        <w:t>I wish to pay by bank transfer:  please send me the account details</w:t>
      </w:r>
    </w:p>
    <w:p w14:paraId="169C6B04" w14:textId="77777777" w:rsidR="00BB7461" w:rsidRDefault="00BB7461" w:rsidP="00BB7461">
      <w:pPr>
        <w:pStyle w:val="AEC"/>
      </w:pPr>
      <w:r>
        <w:t>[   ]</w:t>
      </w:r>
      <w:r>
        <w:tab/>
      </w:r>
      <w:r>
        <w:tab/>
        <w:t>I wish to pay by Paypal:  please send me an invoice</w:t>
      </w:r>
    </w:p>
    <w:p w14:paraId="09C23D9E" w14:textId="77777777" w:rsidR="00A56EA6" w:rsidRDefault="00A56EA6" w:rsidP="00A56EA6">
      <w:pPr>
        <w:pStyle w:val="AEC"/>
      </w:pPr>
      <w:r>
        <w:t xml:space="preserve">Name: </w:t>
      </w:r>
      <w:r w:rsidR="009A73E5">
        <w:tab/>
      </w:r>
      <w:r w:rsidR="009A73E5">
        <w:tab/>
      </w:r>
      <w:r w:rsidR="009A73E5">
        <w:tab/>
      </w:r>
      <w:r w:rsidR="009A73E5">
        <w:tab/>
      </w:r>
      <w:r w:rsidR="009A73E5">
        <w:tab/>
      </w:r>
      <w:r w:rsidR="009A73E5">
        <w:tab/>
      </w:r>
      <w:r w:rsidR="009A73E5">
        <w:tab/>
      </w:r>
      <w:r w:rsidR="009A73E5">
        <w:tab/>
      </w:r>
      <w:r w:rsidR="009A73E5">
        <w:tab/>
      </w:r>
      <w:r w:rsidR="003376BB">
        <w:tab/>
      </w:r>
      <w:r w:rsidR="003376BB">
        <w:tab/>
        <w:t>Address:</w:t>
      </w:r>
    </w:p>
    <w:p w14:paraId="7BC27C9C" w14:textId="77777777" w:rsidR="00A56EA6" w:rsidRDefault="003376BB" w:rsidP="00A56EA6">
      <w:pPr>
        <w:pStyle w:val="AEC"/>
      </w:pPr>
      <w:r>
        <w:t>Email:</w:t>
      </w:r>
    </w:p>
    <w:p w14:paraId="6F335EEF" w14:textId="2BC672AB" w:rsidR="00EE7139" w:rsidRPr="00D01483" w:rsidRDefault="00A56EA6" w:rsidP="00EE7139">
      <w:pPr>
        <w:pStyle w:val="AECheading2"/>
        <w:spacing w:before="0" w:after="0"/>
        <w:jc w:val="center"/>
        <w:rPr>
          <w:spacing w:val="28"/>
          <w:kern w:val="24"/>
        </w:rPr>
      </w:pPr>
      <w:r>
        <w:rPr>
          <w:lang w:val="fr-FR"/>
        </w:rPr>
        <w:br w:type="page"/>
      </w:r>
      <w:r w:rsidR="0086232C">
        <w:rPr>
          <w:noProof/>
          <w:lang w:eastAsia="en-GB"/>
        </w:rPr>
        <w:lastRenderedPageBreak/>
        <w:drawing>
          <wp:inline distT="0" distB="0" distL="0" distR="0" wp14:anchorId="636D3FFD" wp14:editId="7FD865CD">
            <wp:extent cx="998220" cy="914400"/>
            <wp:effectExtent l="0" t="0" r="0" b="0"/>
            <wp:docPr id="3" name="Picture 3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139" w:rsidRPr="00D01483">
        <w:rPr>
          <w:spacing w:val="28"/>
          <w:kern w:val="24"/>
          <w:position w:val="60"/>
        </w:rPr>
        <w:t xml:space="preserve">           Société Rencesvals British Branch          </w:t>
      </w:r>
      <w:r w:rsidR="0086232C">
        <w:rPr>
          <w:noProof/>
          <w:lang w:eastAsia="en-GB"/>
        </w:rPr>
        <w:drawing>
          <wp:inline distT="0" distB="0" distL="0" distR="0" wp14:anchorId="713CB954" wp14:editId="4F6A386C">
            <wp:extent cx="998220" cy="914400"/>
            <wp:effectExtent l="0" t="0" r="0" b="0"/>
            <wp:docPr id="4" name="Picture 4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F72E" w14:textId="77777777" w:rsidR="00EE7139" w:rsidRDefault="00EE7139" w:rsidP="00EE7139">
      <w:pPr>
        <w:pStyle w:val="AEC"/>
        <w:spacing w:before="240" w:after="480"/>
        <w:jc w:val="center"/>
      </w:pP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</w:p>
    <w:p w14:paraId="18905909" w14:textId="77777777" w:rsidR="00A56EA6" w:rsidRPr="009F6620" w:rsidRDefault="00A56EA6" w:rsidP="00B66F29">
      <w:pPr>
        <w:pStyle w:val="AECheading2"/>
        <w:spacing w:before="0" w:after="180"/>
        <w:jc w:val="center"/>
        <w:rPr>
          <w:i/>
          <w:spacing w:val="20"/>
          <w:sz w:val="32"/>
          <w:szCs w:val="32"/>
        </w:rPr>
      </w:pPr>
      <w:r w:rsidRPr="009F6620">
        <w:rPr>
          <w:i/>
          <w:spacing w:val="20"/>
          <w:sz w:val="32"/>
          <w:szCs w:val="32"/>
        </w:rPr>
        <w:t>Le Jeu d’Adam</w:t>
      </w:r>
    </w:p>
    <w:p w14:paraId="74B46005" w14:textId="77777777" w:rsidR="00A56EA6" w:rsidRPr="00F31E03" w:rsidRDefault="00A56EA6" w:rsidP="00A56EA6">
      <w:pPr>
        <w:pStyle w:val="AECheading2"/>
        <w:spacing w:before="0" w:after="180"/>
        <w:jc w:val="center"/>
        <w:rPr>
          <w:spacing w:val="20"/>
        </w:rPr>
      </w:pPr>
      <w:r w:rsidRPr="00F31E03">
        <w:rPr>
          <w:spacing w:val="20"/>
        </w:rPr>
        <w:t>edited and translated by Wolfgang van Emden</w:t>
      </w:r>
    </w:p>
    <w:p w14:paraId="46D49108" w14:textId="77777777" w:rsidR="00A56EA6" w:rsidRPr="00B40CC9" w:rsidRDefault="00A56EA6" w:rsidP="00A56EA6">
      <w:pPr>
        <w:pStyle w:val="AECheading2"/>
        <w:spacing w:before="0" w:after="180"/>
        <w:jc w:val="center"/>
      </w:pPr>
      <w:r w:rsidRPr="00B40CC9">
        <w:t>Second edition</w:t>
      </w:r>
    </w:p>
    <w:p w14:paraId="63CCCB6D" w14:textId="77777777" w:rsidR="00A56EA6" w:rsidRDefault="00A56EA6" w:rsidP="00A56EA6">
      <w:pPr>
        <w:pStyle w:val="AECheading2"/>
        <w:spacing w:before="0" w:after="120"/>
        <w:jc w:val="center"/>
      </w:pPr>
      <w:r>
        <w:t>British Rencesvals Publications 1</w:t>
      </w:r>
    </w:p>
    <w:p w14:paraId="42A5078A" w14:textId="77777777" w:rsidR="00A56EA6" w:rsidRPr="00B40CC9" w:rsidRDefault="00A56EA6" w:rsidP="00A56EA6">
      <w:pPr>
        <w:pStyle w:val="AECheading2"/>
        <w:spacing w:before="0" w:after="180"/>
        <w:jc w:val="center"/>
      </w:pPr>
      <w:r w:rsidRPr="008E560C">
        <w:t>Edinburgh</w:t>
      </w:r>
      <w:r w:rsidRPr="00B40CC9">
        <w:t xml:space="preserve"> 1999</w:t>
      </w:r>
    </w:p>
    <w:p w14:paraId="501F0509" w14:textId="77777777" w:rsidR="00A56EA6" w:rsidRDefault="00A56EA6" w:rsidP="00A56EA6">
      <w:pPr>
        <w:pStyle w:val="AECheading2"/>
        <w:spacing w:before="120" w:after="120"/>
        <w:jc w:val="center"/>
      </w:pPr>
      <w:r>
        <w:t xml:space="preserve">ISBN </w:t>
      </w:r>
      <w:r w:rsidR="00052F07">
        <w:rPr>
          <w:iCs/>
        </w:rPr>
        <w:t>978 0</w:t>
      </w:r>
      <w:r w:rsidR="00052F07" w:rsidRPr="00B34F12">
        <w:t xml:space="preserve"> 9519791 2 </w:t>
      </w:r>
      <w:r w:rsidR="00052F07">
        <w:t>9</w:t>
      </w:r>
    </w:p>
    <w:p w14:paraId="5111042F" w14:textId="77777777" w:rsidR="00A56EA6" w:rsidRPr="008E560C" w:rsidRDefault="00A56EA6" w:rsidP="00CC483B">
      <w:pPr>
        <w:pStyle w:val="AEC"/>
        <w:spacing w:before="240" w:after="480"/>
        <w:jc w:val="center"/>
      </w:pP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</w:p>
    <w:p w14:paraId="14DA57B8" w14:textId="77777777" w:rsidR="00A56EA6" w:rsidRDefault="00A56EA6" w:rsidP="00A56EA6">
      <w:pPr>
        <w:pStyle w:val="AEC"/>
        <w:spacing w:after="360"/>
      </w:pPr>
      <w:r>
        <w:t xml:space="preserve">The twelfth-century </w:t>
      </w:r>
      <w:r>
        <w:rPr>
          <w:i/>
        </w:rPr>
        <w:t>Jeu d’Adam</w:t>
      </w:r>
      <w:r>
        <w:t xml:space="preserve"> is essential reading for all students of mediaeval French or drama, if only because it is the first European play in the vernacular.  It is presented here with a facing-page translation into English, with introduction, notes and glossary, in readable and easily accessible form.</w:t>
      </w:r>
    </w:p>
    <w:p w14:paraId="1763DCC0" w14:textId="77777777" w:rsidR="00A56EA6" w:rsidRDefault="00A56EA6" w:rsidP="00A56EA6">
      <w:pPr>
        <w:pStyle w:val="AEC"/>
        <w:spacing w:after="360"/>
      </w:pPr>
      <w:r>
        <w:t>The play is important both for its superb poetry and its detailed stage-directions, while the dramatic, psychological and theological insights of its gifted author can arguably be seen not least in his subversion of standard mediaeval misogyny.</w:t>
      </w:r>
    </w:p>
    <w:p w14:paraId="6D188059" w14:textId="77777777" w:rsidR="00A56EA6" w:rsidRDefault="00A56EA6" w:rsidP="00A56EA6">
      <w:pPr>
        <w:pStyle w:val="AEC"/>
      </w:pPr>
      <w:r>
        <w:t>Through this new edition and translation, this outstanding play will reach the wider audience its originality deserves.</w:t>
      </w:r>
    </w:p>
    <w:p w14:paraId="6000C4ED" w14:textId="77777777" w:rsidR="00A56EA6" w:rsidRDefault="00A56EA6" w:rsidP="00A56EA6">
      <w:pPr>
        <w:pStyle w:val="AEC"/>
      </w:pPr>
    </w:p>
    <w:p w14:paraId="188F95D6" w14:textId="77777777" w:rsidR="00A56EA6" w:rsidRDefault="00A56EA6" w:rsidP="00A56EA6">
      <w:pPr>
        <w:pStyle w:val="AEC"/>
      </w:pPr>
    </w:p>
    <w:p w14:paraId="5773EF22" w14:textId="77777777" w:rsidR="00A56EA6" w:rsidRDefault="00A56EA6" w:rsidP="00A56EA6">
      <w:pPr>
        <w:pStyle w:val="AEC"/>
      </w:pPr>
    </w:p>
    <w:p w14:paraId="15A9D4A1" w14:textId="77777777" w:rsidR="00A56EA6" w:rsidRDefault="00A56EA6" w:rsidP="00A56EA6">
      <w:pPr>
        <w:pStyle w:val="AEC"/>
      </w:pPr>
    </w:p>
    <w:p w14:paraId="2F4EDFD5" w14:textId="77777777" w:rsidR="00EE7139" w:rsidRDefault="00EE7139" w:rsidP="00A56EA6">
      <w:pPr>
        <w:pStyle w:val="AEC"/>
      </w:pPr>
    </w:p>
    <w:p w14:paraId="7FEDC2D2" w14:textId="77777777" w:rsidR="003C5D8A" w:rsidRDefault="003C5D8A" w:rsidP="00A56EA6">
      <w:pPr>
        <w:pStyle w:val="AEC"/>
      </w:pPr>
    </w:p>
    <w:p w14:paraId="5F57E753" w14:textId="77777777" w:rsidR="00A56EA6" w:rsidRDefault="00A56EA6" w:rsidP="00A56EA6">
      <w:pPr>
        <w:pStyle w:val="AEC"/>
      </w:pPr>
    </w:p>
    <w:p w14:paraId="4A5250DD" w14:textId="7D97396D" w:rsidR="00A56EA6" w:rsidRDefault="0086232C" w:rsidP="00A56EA6">
      <w:pPr>
        <w:pStyle w:val="AEC"/>
        <w:jc w:val="center"/>
      </w:pPr>
      <w:r>
        <w:rPr>
          <w:noProof/>
        </w:rPr>
        <w:drawing>
          <wp:inline distT="0" distB="0" distL="0" distR="0" wp14:anchorId="419EC559" wp14:editId="01CF0248">
            <wp:extent cx="2369820" cy="2148840"/>
            <wp:effectExtent l="0" t="0" r="0" b="0"/>
            <wp:docPr id="5" name="Picture 5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EA6" w:rsidSect="000E29E0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423"/>
    <w:multiLevelType w:val="multilevel"/>
    <w:tmpl w:val="ACD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9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5524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5C19E1"/>
    <w:multiLevelType w:val="hybridMultilevel"/>
    <w:tmpl w:val="9D54054E"/>
    <w:lvl w:ilvl="0" w:tplc="D460189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B57463D"/>
    <w:multiLevelType w:val="hybridMultilevel"/>
    <w:tmpl w:val="CEC84E2A"/>
    <w:lvl w:ilvl="0" w:tplc="F54AB642">
      <w:start w:val="1"/>
      <w:numFmt w:val="decimal"/>
      <w:lvlText w:val="B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638CB"/>
    <w:multiLevelType w:val="hybridMultilevel"/>
    <w:tmpl w:val="223E26C8"/>
    <w:lvl w:ilvl="0" w:tplc="47F4E3D2">
      <w:start w:val="1"/>
      <w:numFmt w:val="bullet"/>
      <w:pStyle w:val="AEC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59B"/>
    <w:multiLevelType w:val="hybridMultilevel"/>
    <w:tmpl w:val="103881D6"/>
    <w:lvl w:ilvl="0" w:tplc="FD7C4C96">
      <w:start w:val="1"/>
      <w:numFmt w:val="bullet"/>
      <w:lvlText w:val=""/>
      <w:lvlJc w:val="left"/>
      <w:pPr>
        <w:tabs>
          <w:tab w:val="num" w:pos="1074"/>
        </w:tabs>
        <w:ind w:left="714" w:firstLine="0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521"/>
    <w:multiLevelType w:val="hybridMultilevel"/>
    <w:tmpl w:val="4410A232"/>
    <w:lvl w:ilvl="0" w:tplc="7D72DEF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9B058CC">
      <w:start w:val="1"/>
      <w:numFmt w:val="bullet"/>
      <w:lvlText w:val=""/>
      <w:lvlJc w:val="left"/>
      <w:pPr>
        <w:tabs>
          <w:tab w:val="num" w:pos="1074"/>
        </w:tabs>
        <w:ind w:left="997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AF9"/>
    <w:multiLevelType w:val="singleLevel"/>
    <w:tmpl w:val="EFCE6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AD65274"/>
    <w:multiLevelType w:val="hybridMultilevel"/>
    <w:tmpl w:val="50507080"/>
    <w:lvl w:ilvl="0" w:tplc="0EE00BC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E6C"/>
    <w:multiLevelType w:val="hybridMultilevel"/>
    <w:tmpl w:val="93800704"/>
    <w:lvl w:ilvl="0" w:tplc="A17EFC5A">
      <w:start w:val="1"/>
      <w:numFmt w:val="decimal"/>
      <w:pStyle w:val="AEC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6"/>
  </w:num>
  <w:num w:numId="16">
    <w:abstractNumId w:val="9"/>
  </w:num>
  <w:num w:numId="17">
    <w:abstractNumId w:val="7"/>
  </w:num>
  <w:num w:numId="18">
    <w:abstractNumId w:val="8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D"/>
    <w:rsid w:val="00000AB8"/>
    <w:rsid w:val="00052F07"/>
    <w:rsid w:val="00086621"/>
    <w:rsid w:val="000916B4"/>
    <w:rsid w:val="000A785F"/>
    <w:rsid w:val="000B7EB0"/>
    <w:rsid w:val="000D6605"/>
    <w:rsid w:val="000E29E0"/>
    <w:rsid w:val="000F7149"/>
    <w:rsid w:val="00101054"/>
    <w:rsid w:val="00101C9C"/>
    <w:rsid w:val="001168D3"/>
    <w:rsid w:val="001B5DC7"/>
    <w:rsid w:val="001D222B"/>
    <w:rsid w:val="001F5D2C"/>
    <w:rsid w:val="00205489"/>
    <w:rsid w:val="002060FC"/>
    <w:rsid w:val="00234646"/>
    <w:rsid w:val="00241BDE"/>
    <w:rsid w:val="00293370"/>
    <w:rsid w:val="002B79DF"/>
    <w:rsid w:val="002F5660"/>
    <w:rsid w:val="003067DD"/>
    <w:rsid w:val="003376BB"/>
    <w:rsid w:val="00361945"/>
    <w:rsid w:val="00391C4C"/>
    <w:rsid w:val="003C2BF2"/>
    <w:rsid w:val="003C3F78"/>
    <w:rsid w:val="003C5D8A"/>
    <w:rsid w:val="003D0387"/>
    <w:rsid w:val="003D7152"/>
    <w:rsid w:val="003F1198"/>
    <w:rsid w:val="00401825"/>
    <w:rsid w:val="00404FDC"/>
    <w:rsid w:val="00406E87"/>
    <w:rsid w:val="00435824"/>
    <w:rsid w:val="004D75A7"/>
    <w:rsid w:val="004E1FA0"/>
    <w:rsid w:val="004E4C77"/>
    <w:rsid w:val="004F2A29"/>
    <w:rsid w:val="004F61E8"/>
    <w:rsid w:val="00502BC0"/>
    <w:rsid w:val="005F6B4C"/>
    <w:rsid w:val="005F7DFD"/>
    <w:rsid w:val="0060441F"/>
    <w:rsid w:val="00611022"/>
    <w:rsid w:val="00672E13"/>
    <w:rsid w:val="00682B2D"/>
    <w:rsid w:val="00683768"/>
    <w:rsid w:val="006A414E"/>
    <w:rsid w:val="006D2104"/>
    <w:rsid w:val="006E372F"/>
    <w:rsid w:val="006F67CD"/>
    <w:rsid w:val="00703AC0"/>
    <w:rsid w:val="00714A02"/>
    <w:rsid w:val="00727E34"/>
    <w:rsid w:val="0076093E"/>
    <w:rsid w:val="00790AF9"/>
    <w:rsid w:val="007C25BB"/>
    <w:rsid w:val="007F4989"/>
    <w:rsid w:val="0080070D"/>
    <w:rsid w:val="008218D5"/>
    <w:rsid w:val="0084695A"/>
    <w:rsid w:val="00852D84"/>
    <w:rsid w:val="0086232C"/>
    <w:rsid w:val="00866CF0"/>
    <w:rsid w:val="00890688"/>
    <w:rsid w:val="00895D9B"/>
    <w:rsid w:val="008C315C"/>
    <w:rsid w:val="008C6FC0"/>
    <w:rsid w:val="008D1FF6"/>
    <w:rsid w:val="008E103D"/>
    <w:rsid w:val="008E560C"/>
    <w:rsid w:val="008F693C"/>
    <w:rsid w:val="009146F5"/>
    <w:rsid w:val="0092247D"/>
    <w:rsid w:val="00922A36"/>
    <w:rsid w:val="00947045"/>
    <w:rsid w:val="00982612"/>
    <w:rsid w:val="009A73E5"/>
    <w:rsid w:val="009B1C59"/>
    <w:rsid w:val="009C22F5"/>
    <w:rsid w:val="009F6620"/>
    <w:rsid w:val="00A31D75"/>
    <w:rsid w:val="00A56EA6"/>
    <w:rsid w:val="00A66204"/>
    <w:rsid w:val="00AB13A7"/>
    <w:rsid w:val="00AB31E3"/>
    <w:rsid w:val="00AF5D45"/>
    <w:rsid w:val="00B40CC9"/>
    <w:rsid w:val="00B40F3C"/>
    <w:rsid w:val="00B44D6A"/>
    <w:rsid w:val="00B4672A"/>
    <w:rsid w:val="00B66F29"/>
    <w:rsid w:val="00B6738D"/>
    <w:rsid w:val="00BB7461"/>
    <w:rsid w:val="00C25273"/>
    <w:rsid w:val="00C3604B"/>
    <w:rsid w:val="00C36D6B"/>
    <w:rsid w:val="00C474DE"/>
    <w:rsid w:val="00C73732"/>
    <w:rsid w:val="00C73A28"/>
    <w:rsid w:val="00C90BFE"/>
    <w:rsid w:val="00CA4B84"/>
    <w:rsid w:val="00CC1D44"/>
    <w:rsid w:val="00CC483B"/>
    <w:rsid w:val="00CD5F55"/>
    <w:rsid w:val="00D01483"/>
    <w:rsid w:val="00D84906"/>
    <w:rsid w:val="00DF57FD"/>
    <w:rsid w:val="00E20901"/>
    <w:rsid w:val="00E31C9B"/>
    <w:rsid w:val="00E5668B"/>
    <w:rsid w:val="00E6217D"/>
    <w:rsid w:val="00E62759"/>
    <w:rsid w:val="00E74094"/>
    <w:rsid w:val="00E86AB1"/>
    <w:rsid w:val="00E87030"/>
    <w:rsid w:val="00E92FEF"/>
    <w:rsid w:val="00EB05F9"/>
    <w:rsid w:val="00EB44FB"/>
    <w:rsid w:val="00EC3379"/>
    <w:rsid w:val="00ED3964"/>
    <w:rsid w:val="00EE3CA6"/>
    <w:rsid w:val="00EE7139"/>
    <w:rsid w:val="00F079CF"/>
    <w:rsid w:val="00F34DBE"/>
    <w:rsid w:val="00F461BB"/>
    <w:rsid w:val="00F60A7D"/>
    <w:rsid w:val="00F60E6D"/>
    <w:rsid w:val="00F61346"/>
    <w:rsid w:val="00F97DFE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4:docId w14:val="10D5EF61"/>
  <w15:chartTrackingRefBased/>
  <w15:docId w15:val="{DEC7C605-A24C-434B-82AF-E8C263A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kern w:val="24"/>
      <w:sz w:val="24"/>
      <w:lang w:eastAsia="en-US"/>
    </w:rPr>
  </w:style>
  <w:style w:type="paragraph" w:styleId="Heading1">
    <w:name w:val="heading 1"/>
    <w:basedOn w:val="Normal"/>
    <w:next w:val="AEC"/>
    <w:qFormat/>
    <w:pPr>
      <w:keepNext/>
      <w:spacing w:before="6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bullet1">
    <w:name w:val="AECbullet1"/>
    <w:basedOn w:val="AEC"/>
    <w:pPr>
      <w:numPr>
        <w:numId w:val="23"/>
      </w:numPr>
    </w:pPr>
    <w:rPr>
      <w:szCs w:val="24"/>
    </w:rPr>
  </w:style>
  <w:style w:type="paragraph" w:customStyle="1" w:styleId="AECbullet2">
    <w:name w:val="AECbullet2"/>
    <w:basedOn w:val="AECbullet1"/>
    <w:pPr>
      <w:tabs>
        <w:tab w:val="clear" w:pos="357"/>
        <w:tab w:val="left" w:pos="714"/>
      </w:tabs>
      <w:ind w:left="714"/>
    </w:pPr>
  </w:style>
  <w:style w:type="paragraph" w:customStyle="1" w:styleId="AECbullet3">
    <w:name w:val="AECbullet3"/>
    <w:basedOn w:val="AECbullet1"/>
    <w:pPr>
      <w:tabs>
        <w:tab w:val="clear" w:pos="357"/>
        <w:tab w:val="left" w:pos="1072"/>
      </w:tabs>
      <w:ind w:left="1071"/>
    </w:pPr>
  </w:style>
  <w:style w:type="paragraph" w:customStyle="1" w:styleId="AECnumber1">
    <w:name w:val="AECnumber1"/>
    <w:basedOn w:val="AECbullet1"/>
    <w:pPr>
      <w:numPr>
        <w:numId w:val="19"/>
      </w:numPr>
    </w:pPr>
  </w:style>
  <w:style w:type="paragraph" w:customStyle="1" w:styleId="AECheading1">
    <w:name w:val="AECheading1"/>
    <w:basedOn w:val="AEC"/>
    <w:next w:val="AEC"/>
    <w:pPr>
      <w:keepNext/>
      <w:jc w:val="center"/>
    </w:pPr>
    <w:rPr>
      <w:b/>
      <w:i/>
      <w:kern w:val="28"/>
      <w:sz w:val="28"/>
      <w:szCs w:val="28"/>
    </w:rPr>
  </w:style>
  <w:style w:type="paragraph" w:customStyle="1" w:styleId="AEC">
    <w:name w:val="AEC"/>
    <w:basedOn w:val="Normal"/>
  </w:style>
  <w:style w:type="paragraph" w:customStyle="1" w:styleId="AECheading2">
    <w:name w:val="AECheading2"/>
    <w:basedOn w:val="AEC"/>
    <w:next w:val="AEC"/>
    <w:pPr>
      <w:keepNext/>
      <w:spacing w:before="240" w:after="240"/>
    </w:pPr>
    <w:rPr>
      <w:b/>
      <w:kern w:val="28"/>
      <w:sz w:val="28"/>
      <w:szCs w:val="28"/>
    </w:rPr>
  </w:style>
  <w:style w:type="paragraph" w:customStyle="1" w:styleId="AECheading3">
    <w:name w:val="AECheading3"/>
    <w:basedOn w:val="AEC"/>
    <w:next w:val="AEC"/>
    <w:pPr>
      <w:keepNext/>
      <w:spacing w:before="240" w:after="240"/>
      <w:jc w:val="left"/>
    </w:pPr>
    <w:rPr>
      <w:i/>
    </w:rPr>
  </w:style>
  <w:style w:type="paragraph" w:customStyle="1" w:styleId="AECheading4">
    <w:name w:val="AECheading4"/>
    <w:basedOn w:val="AEC"/>
    <w:next w:val="AEC"/>
    <w:pPr>
      <w:keepNext/>
      <w:spacing w:before="240" w:after="240"/>
      <w:jc w:val="left"/>
    </w:pPr>
    <w:rPr>
      <w:u w:val="single"/>
    </w:rPr>
  </w:style>
  <w:style w:type="paragraph" w:customStyle="1" w:styleId="AECheading5">
    <w:name w:val="AECheading5"/>
    <w:basedOn w:val="AEC"/>
    <w:next w:val="AEC"/>
    <w:pPr>
      <w:keepNext/>
      <w:spacing w:before="240" w:after="240"/>
      <w:jc w:val="left"/>
    </w:pPr>
    <w:rPr>
      <w:b/>
    </w:rPr>
  </w:style>
  <w:style w:type="paragraph" w:customStyle="1" w:styleId="AECindent1">
    <w:name w:val="AECindent1"/>
    <w:basedOn w:val="AEC"/>
    <w:pPr>
      <w:ind w:left="357"/>
    </w:pPr>
  </w:style>
  <w:style w:type="paragraph" w:customStyle="1" w:styleId="AECindent2">
    <w:name w:val="AECindent2"/>
    <w:basedOn w:val="AECindent1"/>
    <w:pPr>
      <w:ind w:left="714"/>
    </w:pPr>
  </w:style>
  <w:style w:type="paragraph" w:customStyle="1" w:styleId="AECdocheading">
    <w:name w:val="AECdocheading"/>
    <w:basedOn w:val="AECheading1"/>
    <w:next w:val="AEC"/>
    <w:rPr>
      <w:b w:val="0"/>
      <w:i w:val="0"/>
      <w:caps/>
      <w:spacing w:val="28"/>
    </w:rPr>
  </w:style>
  <w:style w:type="paragraph" w:customStyle="1" w:styleId="AECRenpub">
    <w:name w:val="AECRenpub"/>
    <w:basedOn w:val="AEC"/>
    <w:pPr>
      <w:spacing w:after="480" w:line="360" w:lineRule="auto"/>
      <w:ind w:firstLine="720"/>
    </w:pPr>
  </w:style>
  <w:style w:type="paragraph" w:customStyle="1" w:styleId="AECRenheading">
    <w:name w:val="AECRenheading"/>
    <w:basedOn w:val="AECRenpub"/>
    <w:next w:val="AECRenpub"/>
    <w:pPr>
      <w:spacing w:before="360" w:after="720"/>
      <w:ind w:firstLine="0"/>
      <w:jc w:val="center"/>
    </w:pPr>
    <w:rPr>
      <w:b/>
      <w:sz w:val="28"/>
    </w:rPr>
  </w:style>
  <w:style w:type="paragraph" w:customStyle="1" w:styleId="AECRensubhead">
    <w:name w:val="AECRensubhead"/>
    <w:basedOn w:val="AECRenpub"/>
    <w:next w:val="AECRenpub"/>
    <w:pPr>
      <w:spacing w:before="120" w:after="240"/>
      <w:jc w:val="left"/>
    </w:pPr>
    <w:rPr>
      <w:b/>
    </w:rPr>
  </w:style>
  <w:style w:type="paragraph" w:customStyle="1" w:styleId="AECRenvq">
    <w:name w:val="AECRenvq"/>
    <w:basedOn w:val="AECRenpub"/>
    <w:pPr>
      <w:spacing w:after="600"/>
      <w:ind w:left="1440" w:right="720" w:firstLine="0"/>
    </w:pPr>
    <w:rPr>
      <w:sz w:val="20"/>
    </w:rPr>
  </w:style>
  <w:style w:type="paragraph" w:customStyle="1" w:styleId="AECRenlist">
    <w:name w:val="AECRenlist"/>
    <w:basedOn w:val="AECRenvq"/>
    <w:next w:val="AECRenpub"/>
    <w:pPr>
      <w:spacing w:after="480"/>
      <w:ind w:left="720" w:right="0"/>
    </w:pPr>
  </w:style>
  <w:style w:type="paragraph" w:customStyle="1" w:styleId="AECRenpq">
    <w:name w:val="AECRenpq"/>
    <w:basedOn w:val="AECRenvq"/>
    <w:pPr>
      <w:ind w:left="720"/>
    </w:pPr>
  </w:style>
  <w:style w:type="paragraph" w:styleId="BalloonText">
    <w:name w:val="Balloon Text"/>
    <w:basedOn w:val="Normal"/>
    <w:link w:val="BalloonTextChar"/>
    <w:rsid w:val="00866C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6CF0"/>
    <w:rPr>
      <w:rFonts w:ascii="Segoe UI" w:hAnsi="Segoe UI" w:cs="Segoe UI"/>
      <w:kern w:val="2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Rencesvals%20templates\Rencp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Rencpub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layout</vt:lpstr>
    </vt:vector>
  </TitlesOfParts>
  <Company>University of Cambridge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layout</dc:title>
  <dc:subject/>
  <dc:creator>reader</dc:creator>
  <cp:keywords/>
  <cp:lastModifiedBy>Philip Bennett</cp:lastModifiedBy>
  <cp:revision>2</cp:revision>
  <cp:lastPrinted>2019-02-08T18:02:00Z</cp:lastPrinted>
  <dcterms:created xsi:type="dcterms:W3CDTF">2019-02-11T10:02:00Z</dcterms:created>
  <dcterms:modified xsi:type="dcterms:W3CDTF">2019-02-11T10:02:00Z</dcterms:modified>
</cp:coreProperties>
</file>