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BB02" w14:textId="20F3C74F" w:rsidR="00F52BD4" w:rsidRPr="006428D9" w:rsidRDefault="006E6953" w:rsidP="006428D9">
      <w:pPr>
        <w:ind w:leftChars="567" w:left="1361"/>
      </w:pPr>
      <w:r w:rsidRPr="006428D9">
        <w:rPr>
          <w:noProof/>
          <w:lang w:eastAsia="en-GB"/>
        </w:rPr>
        <w:drawing>
          <wp:anchor distT="0" distB="0" distL="114300" distR="114300" simplePos="0" relativeHeight="251655166" behindDoc="1" locked="0" layoutInCell="1" allowOverlap="0" wp14:anchorId="02072FCF" wp14:editId="4331DBC5">
            <wp:simplePos x="0" y="0"/>
            <wp:positionH relativeFrom="column">
              <wp:posOffset>-1905</wp:posOffset>
            </wp:positionH>
            <wp:positionV relativeFrom="page">
              <wp:posOffset>153670</wp:posOffset>
            </wp:positionV>
            <wp:extent cx="2710180" cy="330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Support_inform_empow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180" cy="330835"/>
                    </a:xfrm>
                    <a:prstGeom prst="rect">
                      <a:avLst/>
                    </a:prstGeom>
                  </pic:spPr>
                </pic:pic>
              </a:graphicData>
            </a:graphic>
            <wp14:sizeRelH relativeFrom="margin">
              <wp14:pctWidth>0</wp14:pctWidth>
            </wp14:sizeRelH>
            <wp14:sizeRelV relativeFrom="margin">
              <wp14:pctHeight>0</wp14:pctHeight>
            </wp14:sizeRelV>
          </wp:anchor>
        </w:drawing>
      </w:r>
    </w:p>
    <w:p w14:paraId="7388FC50" w14:textId="36B39D6F" w:rsidR="00F52BD4" w:rsidRPr="006428D9" w:rsidRDefault="00F52BD4" w:rsidP="006428D9">
      <w:pPr>
        <w:ind w:leftChars="567" w:left="1361"/>
      </w:pPr>
    </w:p>
    <w:p w14:paraId="694478EE" w14:textId="4939B96D" w:rsidR="00F52BD4" w:rsidRPr="006428D9" w:rsidRDefault="00F52BD4" w:rsidP="006428D9">
      <w:pPr>
        <w:ind w:leftChars="567" w:left="1361"/>
      </w:pPr>
    </w:p>
    <w:p w14:paraId="02E023A6" w14:textId="7536ABAF" w:rsidR="00F52BD4" w:rsidRPr="006428D9" w:rsidRDefault="00F52BD4" w:rsidP="006428D9">
      <w:pPr>
        <w:ind w:leftChars="100" w:left="240"/>
        <w:jc w:val="center"/>
        <w:rPr>
          <w:sz w:val="28"/>
        </w:rPr>
      </w:pPr>
    </w:p>
    <w:p w14:paraId="0DFEE09E" w14:textId="6AC8E5A3" w:rsidR="002C6629" w:rsidRPr="006428D9" w:rsidRDefault="002C6629" w:rsidP="006428D9">
      <w:pPr>
        <w:ind w:leftChars="100" w:left="240"/>
        <w:jc w:val="center"/>
        <w:rPr>
          <w:rFonts w:cstheme="minorHAnsi"/>
          <w:color w:val="000000" w:themeColor="text1"/>
          <w:sz w:val="28"/>
          <w:u w:val="single"/>
        </w:rPr>
      </w:pPr>
      <w:r w:rsidRPr="006428D9">
        <w:rPr>
          <w:rFonts w:cstheme="minorHAnsi"/>
          <w:color w:val="000000" w:themeColor="text1"/>
          <w:sz w:val="28"/>
          <w:u w:val="single"/>
        </w:rPr>
        <w:t>Salvesen Mi</w:t>
      </w:r>
      <w:r w:rsidRPr="006428D9">
        <w:rPr>
          <w:rFonts w:cstheme="minorHAnsi"/>
          <w:color w:val="000000" w:themeColor="text1"/>
          <w:sz w:val="28"/>
          <w:u w:val="single"/>
        </w:rPr>
        <w:t>ndroom Policy Briefing, number 1</w:t>
      </w:r>
      <w:r w:rsidRPr="006428D9">
        <w:rPr>
          <w:rFonts w:cstheme="minorHAnsi"/>
          <w:color w:val="000000" w:themeColor="text1"/>
          <w:sz w:val="28"/>
          <w:u w:val="single"/>
        </w:rPr>
        <w:t xml:space="preserve">, </w:t>
      </w:r>
      <w:r w:rsidRPr="006428D9">
        <w:rPr>
          <w:rFonts w:cstheme="minorHAnsi"/>
          <w:color w:val="000000" w:themeColor="text1"/>
          <w:sz w:val="28"/>
          <w:u w:val="single"/>
        </w:rPr>
        <w:t>April</w:t>
      </w:r>
      <w:r w:rsidRPr="006428D9">
        <w:rPr>
          <w:rFonts w:cstheme="minorHAnsi"/>
          <w:color w:val="000000" w:themeColor="text1"/>
          <w:sz w:val="28"/>
          <w:u w:val="single"/>
        </w:rPr>
        <w:t xml:space="preserve"> 2021 – plain text version</w:t>
      </w:r>
    </w:p>
    <w:p w14:paraId="05FBBAE2" w14:textId="77777777" w:rsidR="002C6629" w:rsidRPr="006428D9" w:rsidRDefault="002C6629" w:rsidP="006428D9">
      <w:pPr>
        <w:ind w:leftChars="100" w:left="240"/>
        <w:jc w:val="center"/>
        <w:rPr>
          <w:rFonts w:cstheme="minorHAnsi"/>
          <w:b/>
          <w:bCs/>
          <w:color w:val="000000" w:themeColor="text1"/>
          <w:sz w:val="28"/>
        </w:rPr>
      </w:pPr>
    </w:p>
    <w:p w14:paraId="253D2D65" w14:textId="731FF91B" w:rsidR="002C6629" w:rsidRPr="006428D9" w:rsidRDefault="002C6629" w:rsidP="006428D9">
      <w:pPr>
        <w:ind w:leftChars="100" w:left="240"/>
        <w:jc w:val="center"/>
        <w:rPr>
          <w:rFonts w:cstheme="minorHAnsi"/>
          <w:b/>
          <w:bCs/>
          <w:color w:val="000000" w:themeColor="text1"/>
          <w:sz w:val="28"/>
        </w:rPr>
      </w:pPr>
      <w:r w:rsidRPr="006428D9">
        <w:rPr>
          <w:rFonts w:cstheme="minorHAnsi"/>
          <w:b/>
          <w:bCs/>
          <w:color w:val="000000" w:themeColor="text1"/>
          <w:sz w:val="28"/>
        </w:rPr>
        <w:t>Learning disabilities and exclusion from school</w:t>
      </w:r>
    </w:p>
    <w:p w14:paraId="3F98CA4D" w14:textId="77777777" w:rsidR="006428D9" w:rsidRPr="006428D9" w:rsidRDefault="006428D9" w:rsidP="006428D9">
      <w:pPr>
        <w:ind w:leftChars="567" w:left="1361"/>
        <w:rPr>
          <w:b/>
          <w:bCs/>
        </w:rPr>
      </w:pPr>
    </w:p>
    <w:p w14:paraId="4ABBD1A3" w14:textId="4B881BA1" w:rsidR="002C6629" w:rsidRPr="006428D9" w:rsidRDefault="002C6629" w:rsidP="006428D9">
      <w:pPr>
        <w:ind w:leftChars="100" w:left="240"/>
        <w:rPr>
          <w:rFonts w:cstheme="minorHAnsi"/>
          <w:b/>
          <w:bCs/>
        </w:rPr>
      </w:pPr>
      <w:r w:rsidRPr="006428D9">
        <w:rPr>
          <w:rFonts w:cstheme="minorHAnsi"/>
          <w:b/>
          <w:bCs/>
        </w:rPr>
        <w:t>What We Found</w:t>
      </w:r>
    </w:p>
    <w:p w14:paraId="4474FF71" w14:textId="77777777" w:rsidR="002C6629" w:rsidRPr="006428D9" w:rsidRDefault="002C6629" w:rsidP="006428D9">
      <w:pPr>
        <w:ind w:leftChars="100" w:left="240"/>
        <w:rPr>
          <w:rFonts w:cstheme="minorHAnsi"/>
          <w:i/>
          <w:iCs/>
        </w:rPr>
      </w:pPr>
      <w:r w:rsidRPr="006428D9">
        <w:rPr>
          <w:rFonts w:cstheme="minorHAnsi"/>
          <w:i/>
          <w:iCs/>
        </w:rPr>
        <w:t>Additional support needs are associated with significantly higher rates of school exclusion</w:t>
      </w:r>
    </w:p>
    <w:p w14:paraId="5A8B4D8E" w14:textId="5B1C3729" w:rsidR="00F52BD4" w:rsidRPr="006428D9" w:rsidRDefault="00F52BD4" w:rsidP="006428D9">
      <w:pPr>
        <w:ind w:leftChars="100" w:left="240"/>
        <w:rPr>
          <w:rFonts w:cstheme="minorHAnsi"/>
        </w:rPr>
      </w:pPr>
    </w:p>
    <w:p w14:paraId="106F9449" w14:textId="04AD0469" w:rsidR="009919A6" w:rsidRPr="006428D9" w:rsidRDefault="002C6629" w:rsidP="006428D9">
      <w:pPr>
        <w:ind w:leftChars="100" w:left="240"/>
        <w:rPr>
          <w:rFonts w:cstheme="minorHAnsi"/>
        </w:rPr>
      </w:pPr>
      <w:r w:rsidRPr="006428D9">
        <w:rPr>
          <w:rFonts w:cstheme="minorHAnsi"/>
        </w:rPr>
        <w:t>B</w:t>
      </w:r>
      <w:r w:rsidR="009919A6" w:rsidRPr="006428D9">
        <w:rPr>
          <w:rFonts w:cstheme="minorHAnsi"/>
        </w:rPr>
        <w:t>y analysing UK-wide Millennium Cohort Study</w:t>
      </w:r>
      <w:r w:rsidR="00DD128C" w:rsidRPr="006428D9">
        <w:rPr>
          <w:rFonts w:cstheme="minorHAnsi"/>
          <w:vertAlign w:val="superscript"/>
        </w:rPr>
        <w:t>i</w:t>
      </w:r>
      <w:r w:rsidR="0042543E" w:rsidRPr="006428D9">
        <w:rPr>
          <w:rStyle w:val="EndnoteReference"/>
          <w:rFonts w:cstheme="minorHAnsi"/>
        </w:rPr>
        <w:t xml:space="preserve"> </w:t>
      </w:r>
      <w:r w:rsidR="009919A6" w:rsidRPr="006428D9">
        <w:rPr>
          <w:rFonts w:cstheme="minorHAnsi"/>
        </w:rPr>
        <w:t xml:space="preserve">data, we found that young people with ADHD or behavioural problems, or with autism and Asperger’s syndrome experience significantly higher rates of exclusion than those without these conditions. </w:t>
      </w:r>
    </w:p>
    <w:p w14:paraId="23986F6A" w14:textId="77777777" w:rsidR="009919A6" w:rsidRPr="006428D9" w:rsidRDefault="009919A6" w:rsidP="006428D9">
      <w:pPr>
        <w:ind w:leftChars="100" w:left="240"/>
        <w:rPr>
          <w:rFonts w:cstheme="minorHAnsi"/>
        </w:rPr>
      </w:pPr>
    </w:p>
    <w:p w14:paraId="55A7DC9A" w14:textId="487B7E06" w:rsidR="008A608E" w:rsidRPr="006428D9" w:rsidRDefault="006428D9" w:rsidP="006428D9">
      <w:pPr>
        <w:ind w:leftChars="100" w:left="240"/>
        <w:rPr>
          <w:rFonts w:cstheme="minorHAnsi"/>
        </w:rPr>
      </w:pPr>
      <w:r w:rsidRPr="006428D9">
        <w:rPr>
          <w:rFonts w:cstheme="minorHAnsi"/>
        </w:rPr>
        <w:t>T</w:t>
      </w:r>
      <w:r w:rsidR="009919A6" w:rsidRPr="006428D9">
        <w:rPr>
          <w:rFonts w:cstheme="minorHAnsi"/>
        </w:rPr>
        <w:t>his could potentially be explained by the fact that, for example, symptoms of ADHD are often mischaracterised as persistent disruptive behaviour, according to previous research</w:t>
      </w:r>
      <w:r w:rsidR="00013DB7" w:rsidRPr="006428D9">
        <w:rPr>
          <w:rFonts w:cstheme="minorHAnsi"/>
        </w:rPr>
        <w:t>.</w:t>
      </w:r>
    </w:p>
    <w:p w14:paraId="3BE83549" w14:textId="2AEC3DC4" w:rsidR="008A608E" w:rsidRPr="006428D9" w:rsidRDefault="008A608E" w:rsidP="006428D9">
      <w:pPr>
        <w:ind w:leftChars="100" w:left="240"/>
        <w:rPr>
          <w:rFonts w:cstheme="minorHAnsi"/>
        </w:rPr>
      </w:pPr>
    </w:p>
    <w:p w14:paraId="4DC0AE7F" w14:textId="424AA4D1" w:rsidR="00013DB7" w:rsidRPr="006428D9" w:rsidRDefault="0078438E" w:rsidP="006428D9">
      <w:pPr>
        <w:ind w:leftChars="100" w:left="240"/>
        <w:rPr>
          <w:rFonts w:cstheme="minorHAnsi"/>
        </w:rPr>
      </w:pPr>
      <w:r w:rsidRPr="006428D9">
        <w:rPr>
          <w:rFonts w:cstheme="minorHAnsi"/>
        </w:rPr>
        <w:t>In addition, we found positive correlations with exclusion in relation to male gender, playing truant, drug use, police warning and arrest, higher cognitive ability and some minority ethnic backgrounds (mixed, other, Pakistani, black Caribbean). The causes of exclusion are multiple and likely to have interrelating and overlaying effects</w:t>
      </w:r>
      <w:r w:rsidR="00013DB7" w:rsidRPr="006428D9">
        <w:rPr>
          <w:rFonts w:cstheme="minorHAnsi"/>
        </w:rPr>
        <w:t>.</w:t>
      </w:r>
    </w:p>
    <w:p w14:paraId="73F311C1" w14:textId="147A892A" w:rsidR="00013DB7" w:rsidRPr="006428D9" w:rsidRDefault="00013DB7" w:rsidP="006428D9">
      <w:pPr>
        <w:ind w:leftChars="567" w:left="1361"/>
        <w:rPr>
          <w:rFonts w:cstheme="minorHAnsi"/>
        </w:rPr>
      </w:pPr>
    </w:p>
    <w:p w14:paraId="4F73A51C" w14:textId="77777777" w:rsidR="002C6629" w:rsidRPr="006428D9" w:rsidRDefault="002C6629" w:rsidP="006428D9">
      <w:pPr>
        <w:ind w:leftChars="100" w:left="240"/>
        <w:rPr>
          <w:rFonts w:cstheme="minorHAnsi"/>
          <w:b/>
          <w:bCs/>
        </w:rPr>
      </w:pPr>
      <w:r w:rsidRPr="006428D9">
        <w:rPr>
          <w:rFonts w:cstheme="minorHAnsi"/>
          <w:b/>
          <w:bCs/>
        </w:rPr>
        <w:t>What We Suggest</w:t>
      </w:r>
    </w:p>
    <w:p w14:paraId="2291F54C" w14:textId="77777777" w:rsidR="002C6629" w:rsidRPr="006428D9" w:rsidRDefault="002C6629" w:rsidP="006428D9">
      <w:pPr>
        <w:ind w:leftChars="100" w:left="240"/>
        <w:rPr>
          <w:rFonts w:cstheme="minorHAnsi"/>
        </w:rPr>
      </w:pPr>
    </w:p>
    <w:p w14:paraId="547C1B15" w14:textId="77777777" w:rsidR="002C6629" w:rsidRPr="006428D9" w:rsidRDefault="002C6629" w:rsidP="006428D9">
      <w:pPr>
        <w:ind w:leftChars="100" w:left="240"/>
        <w:rPr>
          <w:rFonts w:cstheme="minorHAnsi"/>
          <w:i/>
          <w:iCs/>
        </w:rPr>
      </w:pPr>
      <w:r w:rsidRPr="006428D9">
        <w:rPr>
          <w:rFonts w:cstheme="minorHAnsi"/>
          <w:i/>
          <w:iCs/>
        </w:rPr>
        <w:t>Screening for disruptive behaviour could help to identify issues and prevent exclusion</w:t>
      </w:r>
    </w:p>
    <w:p w14:paraId="7ADCDDA0" w14:textId="77777777" w:rsidR="002C6629" w:rsidRPr="006428D9" w:rsidRDefault="002C6629" w:rsidP="006428D9">
      <w:pPr>
        <w:ind w:leftChars="100" w:left="240"/>
        <w:rPr>
          <w:rFonts w:cstheme="minorHAnsi"/>
        </w:rPr>
      </w:pPr>
    </w:p>
    <w:p w14:paraId="4EFD0E3A" w14:textId="697732DC" w:rsidR="00013DB7" w:rsidRPr="006428D9" w:rsidRDefault="00013DB7" w:rsidP="006428D9">
      <w:pPr>
        <w:ind w:leftChars="100" w:left="240"/>
        <w:rPr>
          <w:rFonts w:cstheme="minorHAnsi"/>
        </w:rPr>
      </w:pPr>
      <w:r w:rsidRPr="006428D9">
        <w:rPr>
          <w:rFonts w:cstheme="minorHAnsi"/>
        </w:rPr>
        <w:t>Early intervention in the form of screening and assessment for pupils who display challenging or disruptive behaviour could well prove effective in identifying underlying issues which, if left unaddressed, can lead to exclusion.</w:t>
      </w:r>
    </w:p>
    <w:p w14:paraId="6C1AE3A6" w14:textId="5E9C3736" w:rsidR="0042543E" w:rsidRPr="006428D9" w:rsidRDefault="0042543E" w:rsidP="006428D9">
      <w:pPr>
        <w:ind w:leftChars="100" w:left="240"/>
        <w:rPr>
          <w:rFonts w:cstheme="minorHAnsi"/>
        </w:rPr>
      </w:pPr>
    </w:p>
    <w:p w14:paraId="36A1F512" w14:textId="1932FCDD" w:rsidR="0042543E" w:rsidRPr="006428D9" w:rsidRDefault="0042543E" w:rsidP="006428D9">
      <w:pPr>
        <w:ind w:leftChars="100" w:left="240"/>
        <w:rPr>
          <w:rFonts w:cstheme="minorHAnsi"/>
        </w:rPr>
      </w:pPr>
      <w:r w:rsidRPr="006428D9">
        <w:rPr>
          <w:rFonts w:cstheme="minorHAnsi"/>
        </w:rPr>
        <w:t>It would be helpful to carry out a similar analysis on Scottish school pupil data. The inclusion of school-level data including staff expertise in additional support needs (ASN) would be valuable, as would applying a sampling frame focussed on pupils with ASN alone. Mixed methods research including both qualitative and quantitative data would give richer results.</w:t>
      </w:r>
    </w:p>
    <w:p w14:paraId="29FEFFA4" w14:textId="77777777" w:rsidR="0042543E" w:rsidRPr="006428D9" w:rsidRDefault="0042543E" w:rsidP="006428D9">
      <w:pPr>
        <w:ind w:leftChars="100" w:left="240"/>
        <w:rPr>
          <w:rFonts w:cstheme="minorHAnsi"/>
        </w:rPr>
      </w:pPr>
    </w:p>
    <w:p w14:paraId="5D179D50" w14:textId="77777777" w:rsidR="00013DB7" w:rsidRPr="006428D9" w:rsidRDefault="00013DB7" w:rsidP="006428D9">
      <w:pPr>
        <w:ind w:leftChars="100" w:left="240"/>
        <w:rPr>
          <w:rFonts w:cstheme="minorHAnsi"/>
        </w:rPr>
      </w:pPr>
    </w:p>
    <w:p w14:paraId="508A2492" w14:textId="77777777" w:rsidR="002C6629" w:rsidRPr="006428D9" w:rsidRDefault="002C6629" w:rsidP="006428D9">
      <w:pPr>
        <w:ind w:leftChars="100" w:left="240"/>
        <w:rPr>
          <w:rFonts w:cstheme="minorHAnsi"/>
          <w:b/>
          <w:bCs/>
        </w:rPr>
      </w:pPr>
      <w:r w:rsidRPr="006428D9">
        <w:rPr>
          <w:rFonts w:cstheme="minorHAnsi"/>
          <w:b/>
          <w:bCs/>
        </w:rPr>
        <w:t>What We Did</w:t>
      </w:r>
    </w:p>
    <w:p w14:paraId="5EA9D9F7" w14:textId="77777777" w:rsidR="002C6629" w:rsidRPr="006428D9" w:rsidRDefault="002C6629" w:rsidP="006428D9">
      <w:pPr>
        <w:ind w:leftChars="100" w:left="240"/>
        <w:rPr>
          <w:rFonts w:cstheme="minorHAnsi"/>
        </w:rPr>
      </w:pPr>
    </w:p>
    <w:p w14:paraId="351BCC45" w14:textId="77777777" w:rsidR="002C6629" w:rsidRPr="006428D9" w:rsidRDefault="002C6629" w:rsidP="006428D9">
      <w:pPr>
        <w:ind w:leftChars="100" w:left="240"/>
        <w:rPr>
          <w:rFonts w:cstheme="minorHAnsi"/>
          <w:i/>
          <w:iCs/>
        </w:rPr>
      </w:pPr>
      <w:r w:rsidRPr="006428D9">
        <w:rPr>
          <w:rFonts w:cstheme="minorHAnsi"/>
          <w:i/>
          <w:iCs/>
        </w:rPr>
        <w:t>We examined how multiple factors in the Millennium Cohort data contributed to risk of exclusion</w:t>
      </w:r>
    </w:p>
    <w:p w14:paraId="18CF481B" w14:textId="461970CC" w:rsidR="0042543E" w:rsidRPr="006428D9" w:rsidRDefault="0042543E" w:rsidP="006428D9">
      <w:pPr>
        <w:ind w:leftChars="100" w:left="240"/>
        <w:rPr>
          <w:rFonts w:cstheme="minorHAnsi"/>
        </w:rPr>
      </w:pPr>
    </w:p>
    <w:p w14:paraId="030E091A" w14:textId="0FBC6813" w:rsidR="00C17BB8" w:rsidRPr="006428D9" w:rsidRDefault="00C17BB8" w:rsidP="006428D9">
      <w:pPr>
        <w:ind w:leftChars="100" w:left="240"/>
        <w:rPr>
          <w:rFonts w:cstheme="minorHAnsi"/>
        </w:rPr>
      </w:pPr>
      <w:r w:rsidRPr="006428D9">
        <w:rPr>
          <w:rFonts w:cstheme="minorHAnsi"/>
        </w:rPr>
        <w:t>We undertook an analysis of sweep 6 of the Millennium Cohort Study, administered in 2015, when participants were 14 years old. This is a UK-wide large dataset that includes data on temporary exclusion from school as well as individual, family and school level data.</w:t>
      </w:r>
    </w:p>
    <w:p w14:paraId="4C7FD501" w14:textId="2EEB3DBD" w:rsidR="00C17BB8" w:rsidRPr="006428D9" w:rsidRDefault="00C17BB8" w:rsidP="006428D9">
      <w:pPr>
        <w:ind w:leftChars="100" w:left="240"/>
        <w:rPr>
          <w:rFonts w:cstheme="minorHAnsi"/>
        </w:rPr>
      </w:pPr>
    </w:p>
    <w:p w14:paraId="11B0522C" w14:textId="77777777" w:rsidR="006428D9" w:rsidRPr="006428D9" w:rsidRDefault="00C17BB8" w:rsidP="006428D9">
      <w:pPr>
        <w:ind w:leftChars="100" w:left="240"/>
        <w:rPr>
          <w:rFonts w:cstheme="minorHAnsi"/>
        </w:rPr>
      </w:pPr>
      <w:r w:rsidRPr="006428D9">
        <w:rPr>
          <w:rFonts w:cstheme="minorHAnsi"/>
        </w:rPr>
        <w:t xml:space="preserve">We applied a binary logistic regression model to sweep 6 of the dataset. </w:t>
      </w:r>
    </w:p>
    <w:p w14:paraId="0BCD0696" w14:textId="77777777" w:rsidR="006428D9" w:rsidRPr="006428D9" w:rsidRDefault="006428D9" w:rsidP="006428D9">
      <w:pPr>
        <w:ind w:leftChars="100" w:left="240"/>
        <w:rPr>
          <w:rFonts w:cstheme="minorHAnsi"/>
        </w:rPr>
      </w:pPr>
    </w:p>
    <w:p w14:paraId="3969E52F" w14:textId="56EEBABE" w:rsidR="00C17BB8" w:rsidRPr="006428D9" w:rsidRDefault="00C17BB8" w:rsidP="006428D9">
      <w:pPr>
        <w:ind w:leftChars="100" w:left="240"/>
        <w:rPr>
          <w:rFonts w:cstheme="minorHAnsi"/>
        </w:rPr>
      </w:pPr>
      <w:bookmarkStart w:id="0" w:name="_GoBack"/>
      <w:bookmarkEnd w:id="0"/>
      <w:r w:rsidRPr="006428D9">
        <w:rPr>
          <w:rFonts w:cstheme="minorHAnsi"/>
        </w:rPr>
        <w:t xml:space="preserve">We began by identifying 4 categories of learning difficulties within the data: </w:t>
      </w:r>
    </w:p>
    <w:p w14:paraId="3DEBEDA0" w14:textId="77777777" w:rsidR="006428D9" w:rsidRPr="006428D9" w:rsidRDefault="006428D9" w:rsidP="006428D9">
      <w:pPr>
        <w:ind w:leftChars="100" w:left="240"/>
        <w:rPr>
          <w:rFonts w:cstheme="minorHAnsi"/>
        </w:rPr>
      </w:pPr>
    </w:p>
    <w:p w14:paraId="2E8A2161" w14:textId="2C3D1710" w:rsidR="00C17BB8" w:rsidRPr="006428D9" w:rsidRDefault="00C17BB8" w:rsidP="006428D9">
      <w:pPr>
        <w:ind w:leftChars="100" w:left="240"/>
        <w:rPr>
          <w:rFonts w:cstheme="minorHAnsi"/>
        </w:rPr>
      </w:pPr>
      <w:r w:rsidRPr="006428D9">
        <w:rPr>
          <w:rFonts w:cstheme="minorHAnsi"/>
        </w:rPr>
        <w:t>•</w:t>
      </w:r>
      <w:r w:rsidRPr="006428D9">
        <w:rPr>
          <w:rFonts w:cstheme="minorHAnsi"/>
        </w:rPr>
        <w:tab/>
        <w:t xml:space="preserve">Group 1: Dyslexia, dyspraxia and dyscalculia </w:t>
      </w:r>
    </w:p>
    <w:p w14:paraId="042F4FE6" w14:textId="729B571D" w:rsidR="00C17BB8" w:rsidRPr="006428D9" w:rsidRDefault="00C17BB8" w:rsidP="006428D9">
      <w:pPr>
        <w:ind w:leftChars="100" w:left="240"/>
        <w:rPr>
          <w:rFonts w:cstheme="minorHAnsi"/>
        </w:rPr>
      </w:pPr>
      <w:r w:rsidRPr="006428D9">
        <w:rPr>
          <w:rFonts w:cstheme="minorHAnsi"/>
        </w:rPr>
        <w:t>•</w:t>
      </w:r>
      <w:r w:rsidRPr="006428D9">
        <w:rPr>
          <w:rFonts w:cstheme="minorHAnsi"/>
        </w:rPr>
        <w:tab/>
        <w:t xml:space="preserve">Group 2: ADHD and behavioural problems </w:t>
      </w:r>
    </w:p>
    <w:p w14:paraId="2618CCE0" w14:textId="12DA14C9" w:rsidR="00C17BB8" w:rsidRPr="006428D9" w:rsidRDefault="00C17BB8" w:rsidP="006428D9">
      <w:pPr>
        <w:ind w:leftChars="100" w:left="240"/>
        <w:rPr>
          <w:rFonts w:cstheme="minorHAnsi"/>
        </w:rPr>
      </w:pPr>
      <w:r w:rsidRPr="006428D9">
        <w:rPr>
          <w:rFonts w:cstheme="minorHAnsi"/>
        </w:rPr>
        <w:lastRenderedPageBreak/>
        <w:t>•</w:t>
      </w:r>
      <w:r w:rsidRPr="006428D9">
        <w:rPr>
          <w:rFonts w:cstheme="minorHAnsi"/>
        </w:rPr>
        <w:tab/>
        <w:t xml:space="preserve">Group 3: Autism and Asperger’s Syndrome </w:t>
      </w:r>
    </w:p>
    <w:p w14:paraId="20786832" w14:textId="6BA1C5E2" w:rsidR="00C17BB8" w:rsidRPr="006428D9" w:rsidRDefault="00C17BB8" w:rsidP="006428D9">
      <w:pPr>
        <w:ind w:leftChars="100" w:left="240"/>
        <w:rPr>
          <w:rFonts w:cstheme="minorHAnsi"/>
        </w:rPr>
      </w:pPr>
      <w:r w:rsidRPr="006428D9">
        <w:rPr>
          <w:rFonts w:cstheme="minorHAnsi"/>
        </w:rPr>
        <w:t>•</w:t>
      </w:r>
      <w:r w:rsidRPr="006428D9">
        <w:rPr>
          <w:rFonts w:cstheme="minorHAnsi"/>
        </w:rPr>
        <w:tab/>
        <w:t xml:space="preserve">Group 4: Speech and developmental problems </w:t>
      </w:r>
    </w:p>
    <w:p w14:paraId="33B5A000" w14:textId="53D32DF0" w:rsidR="00C17BB8" w:rsidRPr="006428D9" w:rsidRDefault="00C17BB8" w:rsidP="006428D9">
      <w:pPr>
        <w:ind w:leftChars="100" w:left="240"/>
        <w:rPr>
          <w:rFonts w:cstheme="minorHAnsi"/>
        </w:rPr>
      </w:pPr>
    </w:p>
    <w:p w14:paraId="6361B179" w14:textId="1F74892C" w:rsidR="00C17BB8" w:rsidRPr="006428D9" w:rsidRDefault="00C17BB8" w:rsidP="006428D9">
      <w:pPr>
        <w:ind w:leftChars="100" w:left="240"/>
        <w:rPr>
          <w:rFonts w:cstheme="minorHAnsi"/>
        </w:rPr>
      </w:pPr>
      <w:r w:rsidRPr="006428D9">
        <w:rPr>
          <w:rFonts w:cstheme="minorHAnsi"/>
        </w:rPr>
        <w:t>Drawing on previous literature, we identified a range of factors that we added progressively to the model, to observe how the effect of learning difficulties on exclusion changed after taking account of these factors. These included cohort-member specific, parent and household related, and school related factors.</w:t>
      </w:r>
    </w:p>
    <w:p w14:paraId="4EC8BC3B" w14:textId="1179A8FF" w:rsidR="0042543E" w:rsidRPr="006428D9" w:rsidRDefault="0042543E" w:rsidP="006428D9">
      <w:pPr>
        <w:ind w:leftChars="100" w:left="240"/>
        <w:rPr>
          <w:rFonts w:cstheme="minorHAnsi"/>
        </w:rPr>
      </w:pPr>
    </w:p>
    <w:p w14:paraId="7E0980B9" w14:textId="1CE71A7C" w:rsidR="0042543E" w:rsidRPr="006428D9" w:rsidRDefault="0042543E" w:rsidP="006428D9">
      <w:pPr>
        <w:ind w:leftChars="100" w:left="240"/>
        <w:rPr>
          <w:rFonts w:cstheme="minorHAnsi"/>
        </w:rPr>
      </w:pPr>
      <w:r w:rsidRPr="006428D9">
        <w:rPr>
          <w:rFonts w:cstheme="minorHAnsi"/>
        </w:rPr>
        <w:t xml:space="preserve">At the Salvesen Mindroom Centre we hear repeatedly from families that their child with a learning difficulty has been excluded from school. This may occur through the formal process prescribed in the law, or by unlawful or ‘informal’ means. We wanted to understand what the predictors for exclusion might be in more detail. </w:t>
      </w:r>
    </w:p>
    <w:p w14:paraId="4D9C2E52" w14:textId="77777777" w:rsidR="0042543E" w:rsidRPr="006428D9" w:rsidRDefault="0042543E" w:rsidP="006428D9">
      <w:pPr>
        <w:ind w:leftChars="100" w:left="240"/>
        <w:rPr>
          <w:rFonts w:cstheme="minorHAnsi"/>
        </w:rPr>
      </w:pPr>
    </w:p>
    <w:p w14:paraId="7BA9D607" w14:textId="49F16D8E" w:rsidR="0042543E" w:rsidRPr="006428D9" w:rsidRDefault="0042543E" w:rsidP="006428D9">
      <w:pPr>
        <w:ind w:leftChars="100" w:left="240"/>
        <w:rPr>
          <w:rFonts w:cstheme="minorHAnsi"/>
        </w:rPr>
      </w:pPr>
      <w:r w:rsidRPr="006428D9">
        <w:rPr>
          <w:rFonts w:cstheme="minorHAnsi"/>
        </w:rPr>
        <w:t xml:space="preserve">The evidence to date shows that exclusion from school has negative consequences for children and young people, and may include: </w:t>
      </w:r>
    </w:p>
    <w:p w14:paraId="4E04B375" w14:textId="77777777" w:rsidR="006428D9" w:rsidRPr="006428D9" w:rsidRDefault="006428D9" w:rsidP="006428D9">
      <w:pPr>
        <w:ind w:leftChars="100" w:left="240"/>
        <w:rPr>
          <w:rFonts w:cstheme="minorHAnsi"/>
        </w:rPr>
      </w:pPr>
    </w:p>
    <w:p w14:paraId="3D84CD5E" w14:textId="77777777" w:rsidR="0042543E" w:rsidRPr="006428D9" w:rsidRDefault="0042543E" w:rsidP="006428D9">
      <w:pPr>
        <w:ind w:leftChars="100" w:left="240"/>
        <w:rPr>
          <w:rFonts w:cstheme="minorHAnsi"/>
        </w:rPr>
      </w:pPr>
      <w:r w:rsidRPr="006428D9">
        <w:rPr>
          <w:rFonts w:cstheme="minorHAnsi"/>
        </w:rPr>
        <w:t>•</w:t>
      </w:r>
      <w:r w:rsidRPr="006428D9">
        <w:rPr>
          <w:rFonts w:cstheme="minorHAnsi"/>
        </w:rPr>
        <w:tab/>
        <w:t>poor educational attainment and unemployment</w:t>
      </w:r>
    </w:p>
    <w:p w14:paraId="2AC76EAF" w14:textId="77777777" w:rsidR="0042543E" w:rsidRPr="006428D9" w:rsidRDefault="0042543E" w:rsidP="006428D9">
      <w:pPr>
        <w:ind w:leftChars="100" w:left="240"/>
        <w:rPr>
          <w:rFonts w:cstheme="minorHAnsi"/>
        </w:rPr>
      </w:pPr>
      <w:r w:rsidRPr="006428D9">
        <w:rPr>
          <w:rFonts w:cstheme="minorHAnsi"/>
        </w:rPr>
        <w:t>•</w:t>
      </w:r>
      <w:r w:rsidRPr="006428D9">
        <w:rPr>
          <w:rFonts w:cstheme="minorHAnsi"/>
        </w:rPr>
        <w:tab/>
        <w:t xml:space="preserve">reduced confidence and increased anxiety </w:t>
      </w:r>
    </w:p>
    <w:p w14:paraId="3FEDF9C1" w14:textId="77777777" w:rsidR="0042543E" w:rsidRPr="006428D9" w:rsidRDefault="0042543E" w:rsidP="006428D9">
      <w:pPr>
        <w:ind w:leftChars="100" w:left="240"/>
        <w:rPr>
          <w:rFonts w:cstheme="minorHAnsi"/>
        </w:rPr>
      </w:pPr>
      <w:r w:rsidRPr="006428D9">
        <w:rPr>
          <w:rFonts w:cstheme="minorHAnsi"/>
        </w:rPr>
        <w:t>•</w:t>
      </w:r>
      <w:r w:rsidRPr="006428D9">
        <w:rPr>
          <w:rFonts w:cstheme="minorHAnsi"/>
        </w:rPr>
        <w:tab/>
        <w:t xml:space="preserve">drug use and crime </w:t>
      </w:r>
    </w:p>
    <w:p w14:paraId="27933436" w14:textId="77777777" w:rsidR="0042543E" w:rsidRPr="006428D9" w:rsidRDefault="0042543E" w:rsidP="006428D9">
      <w:pPr>
        <w:ind w:leftChars="100" w:left="240"/>
        <w:rPr>
          <w:rFonts w:cstheme="minorHAnsi"/>
        </w:rPr>
      </w:pPr>
      <w:r w:rsidRPr="006428D9">
        <w:rPr>
          <w:rFonts w:cstheme="minorHAnsi"/>
        </w:rPr>
        <w:t>•</w:t>
      </w:r>
      <w:r w:rsidRPr="006428D9">
        <w:rPr>
          <w:rFonts w:cstheme="minorHAnsi"/>
        </w:rPr>
        <w:tab/>
        <w:t xml:space="preserve">mental and physical health issues </w:t>
      </w:r>
    </w:p>
    <w:p w14:paraId="5546BFF3" w14:textId="25138454" w:rsidR="0042543E" w:rsidRPr="006428D9" w:rsidRDefault="0042543E" w:rsidP="006428D9">
      <w:pPr>
        <w:ind w:leftChars="100" w:left="240"/>
        <w:rPr>
          <w:rFonts w:cstheme="minorHAnsi"/>
        </w:rPr>
      </w:pPr>
    </w:p>
    <w:p w14:paraId="36D96366" w14:textId="77777777" w:rsidR="002C6629" w:rsidRPr="006428D9" w:rsidRDefault="002C6629" w:rsidP="006428D9">
      <w:pPr>
        <w:ind w:leftChars="100" w:left="240"/>
        <w:rPr>
          <w:rFonts w:cstheme="minorHAnsi"/>
          <w:b/>
          <w:bCs/>
        </w:rPr>
      </w:pPr>
      <w:r w:rsidRPr="006428D9">
        <w:rPr>
          <w:rFonts w:cstheme="minorHAnsi"/>
          <w:b/>
          <w:bCs/>
        </w:rPr>
        <w:t>Why We Did It</w:t>
      </w:r>
    </w:p>
    <w:p w14:paraId="4CC707B0" w14:textId="77777777" w:rsidR="002C6629" w:rsidRPr="006428D9" w:rsidRDefault="002C6629" w:rsidP="006428D9">
      <w:pPr>
        <w:ind w:leftChars="100" w:left="240"/>
        <w:rPr>
          <w:rFonts w:cstheme="minorHAnsi"/>
        </w:rPr>
      </w:pPr>
    </w:p>
    <w:p w14:paraId="0A7EB74B" w14:textId="77777777" w:rsidR="002C6629" w:rsidRPr="006428D9" w:rsidRDefault="002C6629" w:rsidP="006428D9">
      <w:pPr>
        <w:ind w:leftChars="100" w:left="240"/>
        <w:rPr>
          <w:rFonts w:cstheme="minorHAnsi"/>
          <w:i/>
          <w:iCs/>
        </w:rPr>
      </w:pPr>
      <w:r w:rsidRPr="006428D9">
        <w:rPr>
          <w:rFonts w:cstheme="minorHAnsi"/>
          <w:i/>
          <w:iCs/>
        </w:rPr>
        <w:t>School exclusion has multiple negative consequences for young people</w:t>
      </w:r>
    </w:p>
    <w:p w14:paraId="78C8464E" w14:textId="77777777" w:rsidR="002C6629" w:rsidRPr="006428D9" w:rsidRDefault="002C6629" w:rsidP="006428D9">
      <w:pPr>
        <w:ind w:leftChars="100" w:left="240"/>
        <w:rPr>
          <w:rFonts w:cstheme="minorHAnsi"/>
        </w:rPr>
      </w:pPr>
    </w:p>
    <w:p w14:paraId="163EC04C" w14:textId="7C504F91" w:rsidR="0042543E" w:rsidRPr="006428D9" w:rsidRDefault="0042543E" w:rsidP="006428D9">
      <w:pPr>
        <w:ind w:leftChars="100" w:left="240"/>
        <w:rPr>
          <w:rFonts w:cstheme="minorHAnsi"/>
        </w:rPr>
      </w:pPr>
      <w:r w:rsidRPr="006428D9">
        <w:rPr>
          <w:rFonts w:cstheme="minorHAnsi"/>
        </w:rPr>
        <w:t>Scottish school pupil statistics show that the rate of exclusion for pupils with ASN is almost 5 times that of pupils with no ASN</w:t>
      </w:r>
      <w:r w:rsidR="00DD128C" w:rsidRPr="006428D9">
        <w:rPr>
          <w:rFonts w:cstheme="minorHAnsi"/>
          <w:vertAlign w:val="superscript"/>
        </w:rPr>
        <w:t>ii</w:t>
      </w:r>
      <w:r w:rsidRPr="006428D9">
        <w:rPr>
          <w:rFonts w:cstheme="minorHAnsi"/>
        </w:rPr>
        <w:t xml:space="preserve">. In addition, boys are more likely to be excluded from school than girls. </w:t>
      </w:r>
    </w:p>
    <w:p w14:paraId="0063D01F" w14:textId="77777777" w:rsidR="0042543E" w:rsidRPr="006428D9" w:rsidRDefault="0042543E" w:rsidP="006428D9">
      <w:pPr>
        <w:ind w:leftChars="100" w:left="240"/>
        <w:rPr>
          <w:rFonts w:cstheme="minorHAnsi"/>
        </w:rPr>
      </w:pPr>
    </w:p>
    <w:p w14:paraId="1033E4B2" w14:textId="77777777" w:rsidR="0042543E" w:rsidRPr="006428D9" w:rsidRDefault="0042543E" w:rsidP="006428D9">
      <w:pPr>
        <w:ind w:leftChars="100" w:left="240"/>
        <w:rPr>
          <w:rFonts w:cstheme="minorHAnsi"/>
        </w:rPr>
      </w:pPr>
      <w:r w:rsidRPr="006428D9">
        <w:rPr>
          <w:rFonts w:cstheme="minorHAnsi"/>
        </w:rPr>
        <w:t>League tables and the pressure to perform exacerbates exclusion rates. However schools with high quality pastoral care tend to have a lower rate of exclusion.</w:t>
      </w:r>
    </w:p>
    <w:p w14:paraId="31D93351" w14:textId="77777777" w:rsidR="0042543E" w:rsidRPr="006428D9" w:rsidRDefault="0042543E" w:rsidP="006428D9">
      <w:pPr>
        <w:ind w:leftChars="100" w:left="240"/>
        <w:rPr>
          <w:rFonts w:cstheme="minorHAnsi"/>
        </w:rPr>
      </w:pPr>
    </w:p>
    <w:p w14:paraId="74928A8A" w14:textId="77777777" w:rsidR="0042543E" w:rsidRPr="006428D9" w:rsidRDefault="0042543E" w:rsidP="006428D9">
      <w:pPr>
        <w:ind w:leftChars="100" w:left="240"/>
        <w:rPr>
          <w:rFonts w:cstheme="minorHAnsi"/>
        </w:rPr>
      </w:pPr>
      <w:r w:rsidRPr="006428D9">
        <w:rPr>
          <w:rFonts w:cstheme="minorHAnsi"/>
        </w:rPr>
        <w:t>i  https://cls.ucl.ac.uk/cls-studies/millennium-cohort-study/</w:t>
      </w:r>
    </w:p>
    <w:p w14:paraId="34D9B390" w14:textId="1D6C4739" w:rsidR="0042543E" w:rsidRPr="006428D9" w:rsidRDefault="0042543E" w:rsidP="006428D9">
      <w:pPr>
        <w:ind w:leftChars="100" w:left="240"/>
        <w:rPr>
          <w:rFonts w:cstheme="minorHAnsi"/>
        </w:rPr>
      </w:pPr>
      <w:r w:rsidRPr="006428D9">
        <w:rPr>
          <w:rFonts w:cstheme="minorHAnsi"/>
        </w:rPr>
        <w:t xml:space="preserve">ii https://www2.gov.scot/Topics/Statistics/Browse/School-Education/AttendanceAbsenceDatasets </w:t>
      </w:r>
    </w:p>
    <w:p w14:paraId="5DF5062F" w14:textId="77777777" w:rsidR="00DD128C" w:rsidRPr="006428D9" w:rsidRDefault="00DD128C" w:rsidP="006428D9">
      <w:pPr>
        <w:ind w:leftChars="100" w:left="240"/>
        <w:rPr>
          <w:rFonts w:cstheme="minorHAnsi"/>
        </w:rPr>
      </w:pPr>
    </w:p>
    <w:p w14:paraId="6DFAE286" w14:textId="44A1CB74" w:rsidR="00C05DED" w:rsidRPr="006428D9" w:rsidRDefault="0042543E" w:rsidP="006428D9">
      <w:pPr>
        <w:ind w:leftChars="100" w:left="240"/>
        <w:rPr>
          <w:rFonts w:cstheme="minorHAnsi"/>
        </w:rPr>
      </w:pPr>
      <w:r w:rsidRPr="006428D9">
        <w:rPr>
          <w:rFonts w:cstheme="minorHAnsi"/>
        </w:rPr>
        <w:t xml:space="preserve">You can cite this paper as: Aitken &amp; Wang, (2021), Learning Difficulties and Exclusion from School, Salvesen Mindroom Research Briefing, number 1. </w:t>
      </w:r>
    </w:p>
    <w:sectPr w:rsidR="00C05DED" w:rsidRPr="006428D9" w:rsidSect="00110EB7">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CFD7" w14:textId="77777777" w:rsidR="007C6E1D" w:rsidRDefault="007C6E1D" w:rsidP="009919A6">
      <w:r>
        <w:separator/>
      </w:r>
    </w:p>
  </w:endnote>
  <w:endnote w:type="continuationSeparator" w:id="0">
    <w:p w14:paraId="7D3B5CB9" w14:textId="77777777" w:rsidR="007C6E1D" w:rsidRDefault="007C6E1D"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Roman">
    <w:altName w:val="Corbel"/>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D942" w14:textId="77777777" w:rsidR="007C6E1D" w:rsidRDefault="007C6E1D" w:rsidP="009919A6">
      <w:r>
        <w:separator/>
      </w:r>
    </w:p>
  </w:footnote>
  <w:footnote w:type="continuationSeparator" w:id="0">
    <w:p w14:paraId="687F38FA" w14:textId="77777777" w:rsidR="007C6E1D" w:rsidRDefault="007C6E1D"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B4CE" w14:textId="77777777" w:rsidR="002C6629" w:rsidRDefault="002C6629" w:rsidP="002C6629">
    <w:pPr>
      <w:ind w:left="3402"/>
      <w:jc w:val="right"/>
    </w:pPr>
    <w:r w:rsidRPr="002C6629">
      <w:t>https://www.mindroom.org/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7"/>
    <w:rsid w:val="00013DB7"/>
    <w:rsid w:val="00013E68"/>
    <w:rsid w:val="0010377A"/>
    <w:rsid w:val="00110EB7"/>
    <w:rsid w:val="001456DB"/>
    <w:rsid w:val="0014743A"/>
    <w:rsid w:val="00164EB8"/>
    <w:rsid w:val="001A4375"/>
    <w:rsid w:val="0020240A"/>
    <w:rsid w:val="002C6629"/>
    <w:rsid w:val="003136FA"/>
    <w:rsid w:val="003D34ED"/>
    <w:rsid w:val="003F08FE"/>
    <w:rsid w:val="0042543E"/>
    <w:rsid w:val="004B64EB"/>
    <w:rsid w:val="004B6EBD"/>
    <w:rsid w:val="00532401"/>
    <w:rsid w:val="00565E71"/>
    <w:rsid w:val="005A7BDC"/>
    <w:rsid w:val="00610490"/>
    <w:rsid w:val="0062218A"/>
    <w:rsid w:val="006428D9"/>
    <w:rsid w:val="0068351A"/>
    <w:rsid w:val="006E6953"/>
    <w:rsid w:val="0078438E"/>
    <w:rsid w:val="007C6E1D"/>
    <w:rsid w:val="00803444"/>
    <w:rsid w:val="0084324B"/>
    <w:rsid w:val="008A608E"/>
    <w:rsid w:val="008C38A8"/>
    <w:rsid w:val="008F54CE"/>
    <w:rsid w:val="00917BE8"/>
    <w:rsid w:val="00934B9C"/>
    <w:rsid w:val="009919A6"/>
    <w:rsid w:val="009F551D"/>
    <w:rsid w:val="00AA2715"/>
    <w:rsid w:val="00B821A7"/>
    <w:rsid w:val="00B93A0C"/>
    <w:rsid w:val="00BF653A"/>
    <w:rsid w:val="00C17BB8"/>
    <w:rsid w:val="00C33B54"/>
    <w:rsid w:val="00CA215F"/>
    <w:rsid w:val="00D02837"/>
    <w:rsid w:val="00D26665"/>
    <w:rsid w:val="00DD128C"/>
    <w:rsid w:val="00E25B58"/>
    <w:rsid w:val="00E40716"/>
    <w:rsid w:val="00E709BA"/>
    <w:rsid w:val="00EE484F"/>
    <w:rsid w:val="00F52BD4"/>
    <w:rsid w:val="00FD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Roman" w:eastAsiaTheme="majorEastAsia" w:hAnsi="Avenir Roman" w:cstheme="majorBidi"/>
      <w:color w:val="FFFFFF" w:themeColor="background1"/>
      <w:kern w:val="28"/>
      <w:sz w:val="56"/>
      <w:szCs w:val="56"/>
      <w:lang w:eastAsia="en-GB"/>
    </w:rPr>
  </w:style>
  <w:style w:type="character" w:customStyle="1" w:styleId="TitleChar">
    <w:name w:val="Title Char"/>
    <w:basedOn w:val="DefaultParagraphFont"/>
    <w:link w:val="Title"/>
    <w:uiPriority w:val="10"/>
    <w:rsid w:val="009919A6"/>
    <w:rPr>
      <w:rFonts w:ascii="Avenir Roman" w:eastAsiaTheme="majorEastAsia" w:hAnsi="Avenir Roman"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
    <w:name w:val="Unresolved Mention"/>
    <w:basedOn w:val="DefaultParagraphFont"/>
    <w:uiPriority w:val="99"/>
    <w:semiHidden/>
    <w:unhideWhenUsed/>
    <w:rsid w:val="00013E68"/>
    <w:rPr>
      <w:color w:val="605E5C"/>
      <w:shd w:val="clear" w:color="auto" w:fill="E1DFDD"/>
    </w:rPr>
  </w:style>
  <w:style w:type="paragraph" w:styleId="Header">
    <w:name w:val="header"/>
    <w:basedOn w:val="Normal"/>
    <w:link w:val="HeaderChar"/>
    <w:uiPriority w:val="99"/>
    <w:unhideWhenUsed/>
    <w:rsid w:val="0010377A"/>
    <w:pPr>
      <w:tabs>
        <w:tab w:val="center" w:pos="4513"/>
        <w:tab w:val="right" w:pos="9026"/>
      </w:tabs>
    </w:pPr>
  </w:style>
  <w:style w:type="character" w:customStyle="1" w:styleId="HeaderChar">
    <w:name w:val="Header Char"/>
    <w:basedOn w:val="DefaultParagraphFont"/>
    <w:link w:val="Header"/>
    <w:uiPriority w:val="99"/>
    <w:rsid w:val="0010377A"/>
    <w:rPr>
      <w:rFonts w:eastAsiaTheme="minorEastAsia"/>
    </w:rPr>
  </w:style>
  <w:style w:type="paragraph" w:styleId="Footer">
    <w:name w:val="footer"/>
    <w:basedOn w:val="Normal"/>
    <w:link w:val="FooterChar"/>
    <w:uiPriority w:val="99"/>
    <w:unhideWhenUsed/>
    <w:rsid w:val="0010377A"/>
    <w:pPr>
      <w:tabs>
        <w:tab w:val="center" w:pos="4513"/>
        <w:tab w:val="right" w:pos="9026"/>
      </w:tabs>
    </w:pPr>
  </w:style>
  <w:style w:type="character" w:customStyle="1" w:styleId="FooterChar">
    <w:name w:val="Footer Char"/>
    <w:basedOn w:val="DefaultParagraphFont"/>
    <w:link w:val="Footer"/>
    <w:uiPriority w:val="99"/>
    <w:rsid w:val="001037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F810-B3EE-4B13-814A-A4B82366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MCALLISTER Kate</cp:lastModifiedBy>
  <cp:revision>3</cp:revision>
  <dcterms:created xsi:type="dcterms:W3CDTF">2021-05-20T10:56:00Z</dcterms:created>
  <dcterms:modified xsi:type="dcterms:W3CDTF">2021-05-20T11:43:00Z</dcterms:modified>
</cp:coreProperties>
</file>